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Calibri" w:cs="Calibri" w:eastAsia="Calibri" w:hAnsi="Calibri"/>
          <w:b/>
          <w:bCs/>
          <w:color w:val="0C2340"/>
          <w:sz w:val="72"/>
          <w:szCs w:val="72"/>
        </w:rPr>
        <w:t xml:space="preserve">G9-IPTS</w:t>
      </w:r>
    </w:p>
    <w:p>
      <w:pPr>
        <w:spacing w:after="80"/>
        <w:jc w:val="center"/>
      </w:pPr>
      <w:r>
        <w:rPr>
          <w:rFonts w:ascii="Calibri" w:cs="Calibri" w:eastAsia="Calibri" w:hAnsi="Calibri"/>
          <w:color w:val="1A2332"/>
          <w:sz w:val="28"/>
          <w:szCs w:val="28"/>
        </w:rPr>
        <w:t xml:space="preserve">Integrated Payment Transformation System</w:t>
      </w:r>
    </w:p>
    <w:p>
      <w:pPr>
        <w:pBdr>
          <w:bottom w:val="single" w:color="10B981" w:sz="6" w:space="1"/>
        </w:pBdr>
        <w:spacing w:after="400"/>
        <w:jc w:val="center"/>
      </w:pPr>
    </w:p>
    <w:p>
      <w:pPr>
        <w:spacing w:after="60"/>
        <w:jc w:val="center"/>
      </w:pPr>
      <w:r>
        <w:rPr>
          <w:rFonts w:ascii="Calibri" w:cs="Calibri" w:eastAsia="Calibri" w:hAnsi="Calibri"/>
          <w:b/>
          <w:bCs/>
          <w:color w:val="0C2340"/>
          <w:sz w:val="32"/>
          <w:szCs w:val="32"/>
        </w:rPr>
        <w:t xml:space="preserve">Executive Briefing Report</w:t>
      </w:r>
    </w:p>
    <w:p>
      <w:pPr>
        <w:spacing w:after="200"/>
        <w:jc w:val="center"/>
      </w:pPr>
      <w:r>
        <w:rPr>
          <w:rFonts w:ascii="Calibri" w:cs="Calibri" w:eastAsia="Calibri" w:hAnsi="Calibri"/>
          <w:i/>
          <w:iCs/>
          <w:color w:val="1A2332"/>
          <w:sz w:val="24"/>
          <w:szCs w:val="24"/>
        </w:rPr>
        <w:t xml:space="preserve">Senior Leadership &amp; Board-Level Summary</w:t>
      </w:r>
    </w:p>
    <w:p>
      <w:pPr>
        <w:spacing w:before="400"/>
      </w:pPr>
    </w:p>
    <w:p>
      <w:pPr>
        <w:spacing w:after="60"/>
        <w:jc w:val="center"/>
      </w:pPr>
      <w:r>
        <w:rPr>
          <w:rFonts w:ascii="Calibri" w:cs="Calibri" w:eastAsia="Calibri" w:hAnsi="Calibri"/>
          <w:color w:val="888888"/>
          <w:sz w:val="20"/>
          <w:szCs w:val="20"/>
        </w:rPr>
        <w:t xml:space="preserve">Prepared by</w:t>
      </w:r>
    </w:p>
    <w:p>
      <w:pPr>
        <w:spacing w:after="40"/>
        <w:jc w:val="center"/>
      </w:pPr>
      <w:r>
        <w:rPr>
          <w:rFonts w:ascii="Calibri" w:cs="Calibri" w:eastAsia="Calibri" w:hAnsi="Calibri"/>
          <w:b/>
          <w:bCs/>
          <w:color w:val="1A2332"/>
          <w:sz w:val="22"/>
          <w:szCs w:val="22"/>
        </w:rPr>
        <w:t xml:space="preserve">Mohamad Idriss  |  Rohit Jacob Isaac  |  Sriram Acharya Mudumbai</w:t>
      </w:r>
    </w:p>
    <w:p>
      <w:pPr>
        <w:spacing w:after="200"/>
        <w:jc w:val="center"/>
      </w:pPr>
      <w:r>
        <w:rPr>
          <w:rFonts w:ascii="Calibri" w:cs="Calibri" w:eastAsia="Calibri" w:hAnsi="Calibri"/>
          <w:b/>
          <w:bCs/>
          <w:color w:val="1A2332"/>
          <w:sz w:val="22"/>
          <w:szCs w:val="22"/>
        </w:rPr>
        <w:t xml:space="preserve">Walid Elmahdy  |  Vibin Chandrabose</w:t>
      </w:r>
    </w:p>
    <w:p>
      <w:pPr>
        <w:spacing w:before="400"/>
      </w:pPr>
    </w:p>
    <w:p>
      <w:pPr>
        <w:spacing w:after="80"/>
        <w:jc w:val="center"/>
      </w:pPr>
      <w:r>
        <w:rPr>
          <w:rFonts w:ascii="Calibri" w:cs="Calibri" w:eastAsia="Calibri" w:hAnsi="Calibri"/>
          <w:color w:val="666666"/>
          <w:sz w:val="24"/>
          <w:szCs w:val="24"/>
        </w:rPr>
        <w:t xml:space="preserve">Version 5.0  |  April 2026</w:t>
      </w:r>
    </w:p>
    <w:p>
      <w:pPr>
        <w:spacing w:before="600"/>
      </w:pPr>
    </w:p>
    <w:p>
      <w:pPr>
        <w:spacing w:after="40"/>
        <w:jc w:val="center"/>
      </w:pPr>
      <w:r>
        <w:rPr>
          <w:rFonts w:ascii="Calibri" w:cs="Calibri" w:eastAsia="Calibri" w:hAnsi="Calibri"/>
          <w:b/>
          <w:bCs/>
          <w:color w:val="CC0000"/>
          <w:sz w:val="20"/>
          <w:szCs w:val="20"/>
        </w:rPr>
        <w:t xml:space="preserve">CONFIDENTIAL</w:t>
      </w:r>
    </w:p>
    <w:p>
      <w:pPr>
        <w:jc w:val="center"/>
      </w:pPr>
      <w:r>
        <w:rPr>
          <w:rFonts w:ascii="Calibri" w:cs="Calibri" w:eastAsia="Calibri" w:hAnsi="Calibri"/>
          <w:color w:val="888888"/>
          <w:sz w:val="18"/>
          <w:szCs w:val="18"/>
        </w:rPr>
        <w:t xml:space="preserve">For Authorized Recipients Only</w:t>
      </w:r>
    </w:p>
    <w:p>
      <w:r>
        <w:br w:type="page"/>
      </w:r>
    </w:p>
    <w:p>
      <w:pPr>
        <w:pStyle w:val="Heading1"/>
        <w:spacing w:after="200" w:before="360"/>
      </w:pPr>
      <w:r>
        <w:rPr>
          <w:rFonts w:ascii="Calibri" w:cs="Calibri" w:eastAsia="Calibri" w:hAnsi="Calibri"/>
          <w:b/>
          <w:bCs/>
          <w:color w:val="0C2340"/>
          <w:sz w:val="32"/>
          <w:szCs w:val="32"/>
        </w:rPr>
        <w:t xml:space="preserve">Table of Contents</w:t>
      </w:r>
    </w:p>
    <w:p>
      <w:pPr>
        <w:spacing w:after="80"/>
      </w:pPr>
    </w:p>
    <w:p>
      <w:pPr>
        <w:tabs>
          <w:tab w:val="right" w:pos="9360" w:leader="dot"/>
        </w:tabs>
        <w:spacing w:after="100"/>
      </w:pPr>
      <w:r>
        <w:rPr>
          <w:rFonts w:ascii="Calibri" w:cs="Calibri" w:eastAsia="Calibri" w:hAnsi="Calibri"/>
          <w:color w:val="1A2332"/>
          <w:sz w:val="22"/>
          <w:szCs w:val="22"/>
        </w:rPr>
        <w:t xml:space="preserve">1.  Executive Summary</w:t>
      </w:r>
      <w:r>
        <w:rPr>
          <w:rFonts w:ascii="Calibri" w:cs="Calibri" w:eastAsia="Calibri" w:hAnsi="Calibri"/>
          <w:sz w:val="22"/>
          <w:szCs w:val="22"/>
        </w:rPr>
        <w:t xml:space="preserve">	</w:t>
      </w:r>
      <w:r>
        <w:rPr>
          <w:rFonts w:ascii="Calibri" w:cs="Calibri" w:eastAsia="Calibri" w:hAnsi="Calibri"/>
          <w:color w:val="666666"/>
          <w:sz w:val="22"/>
          <w:szCs w:val="22"/>
        </w:rPr>
        <w:t xml:space="preserve">3</w:t>
      </w:r>
    </w:p>
    <w:p>
      <w:pPr>
        <w:tabs>
          <w:tab w:val="right" w:pos="9360" w:leader="dot"/>
        </w:tabs>
        <w:spacing w:after="100"/>
      </w:pPr>
      <w:r>
        <w:rPr>
          <w:rFonts w:ascii="Calibri" w:cs="Calibri" w:eastAsia="Calibri" w:hAnsi="Calibri"/>
          <w:color w:val="1A2332"/>
          <w:sz w:val="22"/>
          <w:szCs w:val="22"/>
        </w:rPr>
        <w:t xml:space="preserve">2.  The Problem: Cross-Border Settlement Today</w:t>
      </w:r>
      <w:r>
        <w:rPr>
          <w:rFonts w:ascii="Calibri" w:cs="Calibri" w:eastAsia="Calibri" w:hAnsi="Calibri"/>
          <w:sz w:val="22"/>
          <w:szCs w:val="22"/>
        </w:rPr>
        <w:t xml:space="preserve">	</w:t>
      </w:r>
      <w:r>
        <w:rPr>
          <w:rFonts w:ascii="Calibri" w:cs="Calibri" w:eastAsia="Calibri" w:hAnsi="Calibri"/>
          <w:color w:val="666666"/>
          <w:sz w:val="22"/>
          <w:szCs w:val="22"/>
        </w:rPr>
        <w:t xml:space="preserve">5</w:t>
      </w:r>
    </w:p>
    <w:p>
      <w:pPr>
        <w:tabs>
          <w:tab w:val="right" w:pos="9360" w:leader="dot"/>
        </w:tabs>
        <w:spacing w:after="100"/>
      </w:pPr>
      <w:r>
        <w:rPr>
          <w:rFonts w:ascii="Calibri" w:cs="Calibri" w:eastAsia="Calibri" w:hAnsi="Calibri"/>
          <w:color w:val="1A2332"/>
          <w:sz w:val="22"/>
          <w:szCs w:val="22"/>
        </w:rPr>
        <w:t xml:space="preserve">3.  IPTS 7-Layer Convergent Architecture</w:t>
      </w:r>
      <w:r>
        <w:rPr>
          <w:rFonts w:ascii="Calibri" w:cs="Calibri" w:eastAsia="Calibri" w:hAnsi="Calibri"/>
          <w:sz w:val="22"/>
          <w:szCs w:val="22"/>
        </w:rPr>
        <w:t xml:space="preserve">	</w:t>
      </w:r>
      <w:r>
        <w:rPr>
          <w:rFonts w:ascii="Calibri" w:cs="Calibri" w:eastAsia="Calibri" w:hAnsi="Calibri"/>
          <w:color w:val="666666"/>
          <w:sz w:val="22"/>
          <w:szCs w:val="22"/>
        </w:rPr>
        <w:t xml:space="preserve">7</w:t>
      </w:r>
    </w:p>
    <w:p>
      <w:pPr>
        <w:tabs>
          <w:tab w:val="right" w:pos="9360" w:leader="dot"/>
        </w:tabs>
        <w:spacing w:after="100"/>
      </w:pPr>
      <w:r>
        <w:rPr>
          <w:rFonts w:ascii="Calibri" w:cs="Calibri" w:eastAsia="Calibri" w:hAnsi="Calibri"/>
          <w:color w:val="1A2332"/>
          <w:sz w:val="22"/>
          <w:szCs w:val="22"/>
        </w:rPr>
        <w:t xml:space="preserve">4.  System Walkthrough</w:t>
      </w:r>
      <w:r>
        <w:rPr>
          <w:rFonts w:ascii="Calibri" w:cs="Calibri" w:eastAsia="Calibri" w:hAnsi="Calibri"/>
          <w:sz w:val="22"/>
          <w:szCs w:val="22"/>
        </w:rPr>
        <w:t xml:space="preserve">	</w:t>
      </w:r>
      <w:r>
        <w:rPr>
          <w:rFonts w:ascii="Calibri" w:cs="Calibri" w:eastAsia="Calibri" w:hAnsi="Calibri"/>
          <w:color w:val="666666"/>
          <w:sz w:val="22"/>
          <w:szCs w:val="22"/>
        </w:rPr>
        <w:t xml:space="preserve">13</w:t>
      </w:r>
    </w:p>
    <w:p>
      <w:pPr>
        <w:tabs>
          <w:tab w:val="right" w:pos="9360" w:leader="dot"/>
        </w:tabs>
        <w:spacing w:after="100"/>
      </w:pPr>
      <w:r>
        <w:rPr>
          <w:rFonts w:ascii="Calibri" w:cs="Calibri" w:eastAsia="Calibri" w:hAnsi="Calibri"/>
          <w:color w:val="1A2332"/>
          <w:sz w:val="22"/>
          <w:szCs w:val="22"/>
        </w:rPr>
        <w:t xml:space="preserve">5.  AI/ML Capabilities &amp; Explainability</w:t>
      </w:r>
      <w:r>
        <w:rPr>
          <w:rFonts w:ascii="Calibri" w:cs="Calibri" w:eastAsia="Calibri" w:hAnsi="Calibri"/>
          <w:sz w:val="22"/>
          <w:szCs w:val="22"/>
        </w:rPr>
        <w:t xml:space="preserve">	</w:t>
      </w:r>
      <w:r>
        <w:rPr>
          <w:rFonts w:ascii="Calibri" w:cs="Calibri" w:eastAsia="Calibri" w:hAnsi="Calibri"/>
          <w:color w:val="666666"/>
          <w:sz w:val="22"/>
          <w:szCs w:val="22"/>
        </w:rPr>
        <w:t xml:space="preserve">19</w:t>
      </w:r>
    </w:p>
    <w:p>
      <w:pPr>
        <w:tabs>
          <w:tab w:val="right" w:pos="9360" w:leader="dot"/>
        </w:tabs>
        <w:spacing w:after="100"/>
      </w:pPr>
      <w:r>
        <w:rPr>
          <w:rFonts w:ascii="Calibri" w:cs="Calibri" w:eastAsia="Calibri" w:hAnsi="Calibri"/>
          <w:color w:val="1A2332"/>
          <w:sz w:val="22"/>
          <w:szCs w:val="22"/>
        </w:rPr>
        <w:t xml:space="preserve">6.  Four-Eyes Approval &amp; Operational Controls</w:t>
      </w:r>
      <w:r>
        <w:rPr>
          <w:rFonts w:ascii="Calibri" w:cs="Calibri" w:eastAsia="Calibri" w:hAnsi="Calibri"/>
          <w:sz w:val="22"/>
          <w:szCs w:val="22"/>
        </w:rPr>
        <w:t xml:space="preserve">	</w:t>
      </w:r>
      <w:r>
        <w:rPr>
          <w:rFonts w:ascii="Calibri" w:cs="Calibri" w:eastAsia="Calibri" w:hAnsi="Calibri"/>
          <w:color w:val="666666"/>
          <w:sz w:val="22"/>
          <w:szCs w:val="22"/>
        </w:rPr>
        <w:t xml:space="preserve">22</w:t>
      </w:r>
    </w:p>
    <w:p>
      <w:pPr>
        <w:tabs>
          <w:tab w:val="right" w:pos="9360" w:leader="dot"/>
        </w:tabs>
        <w:spacing w:after="100"/>
      </w:pPr>
      <w:r>
        <w:rPr>
          <w:rFonts w:ascii="Calibri" w:cs="Calibri" w:eastAsia="Calibri" w:hAnsi="Calibri"/>
          <w:color w:val="1A2332"/>
          <w:sz w:val="22"/>
          <w:szCs w:val="22"/>
        </w:rPr>
        <w:t xml:space="preserve">7.  Multi-Currency FX Engine</w:t>
      </w:r>
      <w:r>
        <w:rPr>
          <w:rFonts w:ascii="Calibri" w:cs="Calibri" w:eastAsia="Calibri" w:hAnsi="Calibri"/>
          <w:sz w:val="22"/>
          <w:szCs w:val="22"/>
        </w:rPr>
        <w:t xml:space="preserve">	</w:t>
      </w:r>
      <w:r>
        <w:rPr>
          <w:rFonts w:ascii="Calibri" w:cs="Calibri" w:eastAsia="Calibri" w:hAnsi="Calibri"/>
          <w:color w:val="666666"/>
          <w:sz w:val="22"/>
          <w:szCs w:val="22"/>
        </w:rPr>
        <w:t xml:space="preserve">24</w:t>
      </w:r>
    </w:p>
    <w:p>
      <w:pPr>
        <w:tabs>
          <w:tab w:val="right" w:pos="9360" w:leader="dot"/>
        </w:tabs>
        <w:spacing w:after="100"/>
      </w:pPr>
      <w:r>
        <w:rPr>
          <w:rFonts w:ascii="Calibri" w:cs="Calibri" w:eastAsia="Calibri" w:hAnsi="Calibri"/>
          <w:color w:val="1A2332"/>
          <w:sz w:val="22"/>
          <w:szCs w:val="22"/>
        </w:rPr>
        <w:t xml:space="preserve">8.  Security &amp; Compliance</w:t>
      </w:r>
      <w:r>
        <w:rPr>
          <w:rFonts w:ascii="Calibri" w:cs="Calibri" w:eastAsia="Calibri" w:hAnsi="Calibri"/>
          <w:sz w:val="22"/>
          <w:szCs w:val="22"/>
        </w:rPr>
        <w:t xml:space="preserve">	</w:t>
      </w:r>
      <w:r>
        <w:rPr>
          <w:rFonts w:ascii="Calibri" w:cs="Calibri" w:eastAsia="Calibri" w:hAnsi="Calibri"/>
          <w:color w:val="666666"/>
          <w:sz w:val="22"/>
          <w:szCs w:val="22"/>
        </w:rPr>
        <w:t xml:space="preserve">25</w:t>
      </w:r>
    </w:p>
    <w:p>
      <w:pPr>
        <w:tabs>
          <w:tab w:val="right" w:pos="9360" w:leader="dot"/>
        </w:tabs>
        <w:spacing w:after="100"/>
      </w:pPr>
      <w:r>
        <w:rPr>
          <w:rFonts w:ascii="Calibri" w:cs="Calibri" w:eastAsia="Calibri" w:hAnsi="Calibri"/>
          <w:color w:val="1A2332"/>
          <w:sz w:val="22"/>
          <w:szCs w:val="22"/>
        </w:rPr>
        <w:t xml:space="preserve">9.  ROI Analysis</w:t>
      </w:r>
      <w:r>
        <w:rPr>
          <w:rFonts w:ascii="Calibri" w:cs="Calibri" w:eastAsia="Calibri" w:hAnsi="Calibri"/>
          <w:sz w:val="22"/>
          <w:szCs w:val="22"/>
        </w:rPr>
        <w:t xml:space="preserve">	</w:t>
      </w:r>
      <w:r>
        <w:rPr>
          <w:rFonts w:ascii="Calibri" w:cs="Calibri" w:eastAsia="Calibri" w:hAnsi="Calibri"/>
          <w:color w:val="666666"/>
          <w:sz w:val="22"/>
          <w:szCs w:val="22"/>
        </w:rPr>
        <w:t xml:space="preserve">27</w:t>
      </w:r>
    </w:p>
    <w:p>
      <w:pPr>
        <w:tabs>
          <w:tab w:val="right" w:pos="9360" w:leader="dot"/>
        </w:tabs>
        <w:spacing w:after="100"/>
      </w:pPr>
      <w:r>
        <w:rPr>
          <w:rFonts w:ascii="Calibri" w:cs="Calibri" w:eastAsia="Calibri" w:hAnsi="Calibri"/>
          <w:color w:val="1A2332"/>
          <w:sz w:val="22"/>
          <w:szCs w:val="22"/>
        </w:rPr>
        <w:t xml:space="preserve">10.  Total Cost of Ownership (TCO)</w:t>
      </w:r>
      <w:r>
        <w:rPr>
          <w:rFonts w:ascii="Calibri" w:cs="Calibri" w:eastAsia="Calibri" w:hAnsi="Calibri"/>
          <w:sz w:val="22"/>
          <w:szCs w:val="22"/>
        </w:rPr>
        <w:t xml:space="preserve">	</w:t>
      </w:r>
      <w:r>
        <w:rPr>
          <w:rFonts w:ascii="Calibri" w:cs="Calibri" w:eastAsia="Calibri" w:hAnsi="Calibri"/>
          <w:color w:val="666666"/>
          <w:sz w:val="22"/>
          <w:szCs w:val="22"/>
        </w:rPr>
        <w:t xml:space="preserve">28</w:t>
      </w:r>
    </w:p>
    <w:p>
      <w:pPr>
        <w:tabs>
          <w:tab w:val="right" w:pos="9360" w:leader="dot"/>
        </w:tabs>
        <w:spacing w:after="100"/>
      </w:pPr>
      <w:r>
        <w:rPr>
          <w:rFonts w:ascii="Calibri" w:cs="Calibri" w:eastAsia="Calibri" w:hAnsi="Calibri"/>
          <w:color w:val="1A2332"/>
          <w:sz w:val="22"/>
          <w:szCs w:val="22"/>
        </w:rPr>
        <w:t xml:space="preserve">11.  Business Impact</w:t>
      </w:r>
      <w:r>
        <w:rPr>
          <w:rFonts w:ascii="Calibri" w:cs="Calibri" w:eastAsia="Calibri" w:hAnsi="Calibri"/>
          <w:sz w:val="22"/>
          <w:szCs w:val="22"/>
        </w:rPr>
        <w:t xml:space="preserve">	</w:t>
      </w:r>
      <w:r>
        <w:rPr>
          <w:rFonts w:ascii="Calibri" w:cs="Calibri" w:eastAsia="Calibri" w:hAnsi="Calibri"/>
          <w:color w:val="666666"/>
          <w:sz w:val="22"/>
          <w:szCs w:val="22"/>
        </w:rPr>
        <w:t xml:space="preserve">29</w:t>
      </w:r>
    </w:p>
    <w:p>
      <w:pPr>
        <w:tabs>
          <w:tab w:val="right" w:pos="9360" w:leader="dot"/>
        </w:tabs>
        <w:spacing w:after="100"/>
      </w:pPr>
      <w:r>
        <w:rPr>
          <w:rFonts w:ascii="Calibri" w:cs="Calibri" w:eastAsia="Calibri" w:hAnsi="Calibri"/>
          <w:color w:val="1A2332"/>
          <w:sz w:val="22"/>
          <w:szCs w:val="22"/>
        </w:rPr>
        <w:t xml:space="preserve">12.  Risk Assessment</w:t>
      </w:r>
      <w:r>
        <w:rPr>
          <w:rFonts w:ascii="Calibri" w:cs="Calibri" w:eastAsia="Calibri" w:hAnsi="Calibri"/>
          <w:sz w:val="22"/>
          <w:szCs w:val="22"/>
        </w:rPr>
        <w:t xml:space="preserve">	</w:t>
      </w:r>
      <w:r>
        <w:rPr>
          <w:rFonts w:ascii="Calibri" w:cs="Calibri" w:eastAsia="Calibri" w:hAnsi="Calibri"/>
          <w:color w:val="666666"/>
          <w:sz w:val="22"/>
          <w:szCs w:val="22"/>
        </w:rPr>
        <w:t xml:space="preserve">31</w:t>
      </w:r>
    </w:p>
    <w:p>
      <w:pPr>
        <w:tabs>
          <w:tab w:val="right" w:pos="9360" w:leader="dot"/>
        </w:tabs>
        <w:spacing w:after="100"/>
      </w:pPr>
      <w:r>
        <w:rPr>
          <w:rFonts w:ascii="Calibri" w:cs="Calibri" w:eastAsia="Calibri" w:hAnsi="Calibri"/>
          <w:color w:val="1A2332"/>
          <w:sz w:val="22"/>
          <w:szCs w:val="22"/>
        </w:rPr>
        <w:t xml:space="preserve">13.  Implementation Roadmap</w:t>
      </w:r>
      <w:r>
        <w:rPr>
          <w:rFonts w:ascii="Calibri" w:cs="Calibri" w:eastAsia="Calibri" w:hAnsi="Calibri"/>
          <w:sz w:val="22"/>
          <w:szCs w:val="22"/>
        </w:rPr>
        <w:t xml:space="preserve">	</w:t>
      </w:r>
      <w:r>
        <w:rPr>
          <w:rFonts w:ascii="Calibri" w:cs="Calibri" w:eastAsia="Calibri" w:hAnsi="Calibri"/>
          <w:color w:val="666666"/>
          <w:sz w:val="22"/>
          <w:szCs w:val="22"/>
        </w:rPr>
        <w:t xml:space="preserve">32</w:t>
      </w:r>
    </w:p>
    <w:p>
      <w:pPr>
        <w:tabs>
          <w:tab w:val="right" w:pos="9360" w:leader="dot"/>
        </w:tabs>
        <w:spacing w:after="100"/>
      </w:pPr>
      <w:r>
        <w:rPr>
          <w:rFonts w:ascii="Calibri" w:cs="Calibri" w:eastAsia="Calibri" w:hAnsi="Calibri"/>
          <w:color w:val="1A2332"/>
          <w:sz w:val="22"/>
          <w:szCs w:val="22"/>
        </w:rPr>
        <w:t xml:space="preserve">14.  Conclusion &amp; Recommendations</w:t>
      </w:r>
      <w:r>
        <w:rPr>
          <w:rFonts w:ascii="Calibri" w:cs="Calibri" w:eastAsia="Calibri" w:hAnsi="Calibri"/>
          <w:sz w:val="22"/>
          <w:szCs w:val="22"/>
        </w:rPr>
        <w:t xml:space="preserve">	</w:t>
      </w:r>
      <w:r>
        <w:rPr>
          <w:rFonts w:ascii="Calibri" w:cs="Calibri" w:eastAsia="Calibri" w:hAnsi="Calibri"/>
          <w:color w:val="666666"/>
          <w:sz w:val="22"/>
          <w:szCs w:val="22"/>
        </w:rPr>
        <w:t xml:space="preserve">33</w:t>
      </w:r>
    </w:p>
    <w:p>
      <w:r>
        <w:br w:type="page"/>
      </w:r>
    </w:p>
    <w:p>
      <w:pPr>
        <w:pStyle w:val="Heading1"/>
        <w:spacing w:after="200" w:before="360"/>
      </w:pPr>
      <w:r>
        <w:rPr>
          <w:rFonts w:ascii="Calibri" w:cs="Calibri" w:eastAsia="Calibri" w:hAnsi="Calibri"/>
          <w:b/>
          <w:bCs/>
          <w:color w:val="0C2340"/>
          <w:sz w:val="32"/>
          <w:szCs w:val="32"/>
        </w:rPr>
        <w:t xml:space="preserve">1. Executive Summary</w:t>
      </w:r>
    </w:p>
    <w:p>
      <w:pPr>
        <w:spacing w:after="120"/>
        <w:jc w:val="both"/>
      </w:pPr>
      <w:r>
        <w:rPr>
          <w:rFonts w:ascii="Calibri" w:cs="Calibri" w:eastAsia="Calibri" w:hAnsi="Calibri"/>
          <w:color w:val="333333"/>
          <w:sz w:val="22"/>
          <w:szCs w:val="22"/>
        </w:rPr>
        <w:t xml:space="preserve">The Integrated Payment Transformation System (IPTS) is an enterprise-grade financial settlement platform that collapses cross-border payment cycles from the traditional T+2 to T+5 window to near-real-time settlement in under 10 seconds. Built on a 7-layer convergent architecture, IPTS integrates blockchain-based atomic settlement, a 5-model AI/ML fraud detection ensemble with SHAP explainability, four-eyes dual approval for high-value transactions, multi-currency FX conversion, Zero Trust security, and GDPR-compliant data sovereignty into a unified platform.</w:t>
      </w:r>
    </w:p>
    <w:p>
      <w:pPr>
        <w:spacing w:after="80"/>
      </w:pPr>
    </w:p>
    <w:p>
      <w:pPr>
        <w:spacing w:after="120"/>
        <w:jc w:val="both"/>
      </w:pPr>
      <w:r>
        <w:rPr>
          <w:rFonts w:ascii="Calibri" w:cs="Calibri" w:eastAsia="Calibri" w:hAnsi="Calibri"/>
          <w:color w:val="333333"/>
          <w:sz w:val="22"/>
          <w:szCs w:val="22"/>
        </w:rPr>
        <w:t xml:space="preserve">This briefing provides senior leadership with a comprehensive overview of IPTS capabilities, including the significant enhancements delivered in Version 5.0: 17 new features spanning P2P transfers, ACH/Wire/SEPA payments, scheduled and QR code payments, multi-account management, beneficiary management, real-time ledger, virtual card generation, card controls, digital wallet provisioning, Spending 360 analytics, e-KYC verification, biometric controls, fraud alert monitoring, notification center, AI-powered support chat, and a fully redesigned 12-tab dashboard.</w:t>
      </w:r>
    </w:p>
    <w:p>
      <w:pPr>
        <w:spacing w:after="80"/>
      </w:pPr>
    </w:p>
    <w:p>
      <w:pPr>
        <w:pStyle w:val="Heading2"/>
        <w:spacing w:after="160" w:before="280"/>
      </w:pPr>
      <w:r>
        <w:rPr>
          <w:rFonts w:ascii="Calibri" w:cs="Calibri" w:eastAsia="Calibri" w:hAnsi="Calibri"/>
          <w:b/>
          <w:bCs/>
          <w:color w:val="1A2332"/>
          <w:sz w:val="26"/>
          <w:szCs w:val="26"/>
        </w:rPr>
        <w:t xml:space="preserve">1.1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 Metric</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 IPTS</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 IPTS v4.0</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 (2-5 business days)</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 (T+0)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 Rate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 (rule-based only)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 (5-model ensemble)</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 Rate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 (black box)</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 per transaction</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 annually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 annually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Annual Net Savings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Baseline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 per year</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USD only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 with FX</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 approver</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 dual approval</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3-Year ROI</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N/A</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color w:val="333333"/>
          <w:sz w:val="22"/>
          <w:szCs w:val="22"/>
        </w:rPr>
        <w:t xml:space="preserve">The platform addresses a $190 trillion cross-border payments market with a projected payback period of 5 months and cumulative 3-year net benefit of $18.15 million.</w:t>
      </w:r>
    </w:p>
    <w:p>
      <w:r>
        <w:br w:type="page"/>
      </w:r>
    </w:p>
    <w:p>
      <w:pPr>
        <w:pStyle w:val="Heading1"/>
        <w:spacing w:after="200" w:before="360"/>
      </w:pPr>
      <w:r>
        <w:rPr>
          <w:rFonts w:ascii="Calibri" w:cs="Calibri" w:eastAsia="Calibri" w:hAnsi="Calibri"/>
          <w:b/>
          <w:bCs/>
          <w:color w:val="0C2340"/>
          <w:sz w:val="32"/>
          <w:szCs w:val="32"/>
        </w:rPr>
        <w:t xml:space="preserve">2. The Problem: Cross-Border Settlement Today</w:t>
      </w:r>
    </w:p>
    <w:p>
      <w:pPr>
        <w:spacing w:after="120"/>
        <w:jc w:val="both"/>
      </w:pPr>
      <w:r>
        <w:rPr>
          <w:rFonts w:ascii="Calibri" w:cs="Calibri" w:eastAsia="Calibri" w:hAnsi="Calibri"/>
          <w:color w:val="333333"/>
          <w:sz w:val="22"/>
          <w:szCs w:val="22"/>
        </w:rPr>
        <w:t xml:space="preserve">The global cross-border payments market processes approximately $190 trillion annually, yet relies on infrastructure designed decades ago. Financial institutions face compounding challenges that erode margins, increase regulatory exposure, and degrade customer experience.</w:t>
      </w:r>
    </w:p>
    <w:p>
      <w:pPr>
        <w:spacing w:after="80"/>
      </w:pPr>
    </w:p>
    <w:p>
      <w:pPr>
        <w:pStyle w:val="Heading2"/>
        <w:spacing w:after="160" w:before="280"/>
      </w:pPr>
      <w:r>
        <w:rPr>
          <w:rFonts w:ascii="Calibri" w:cs="Calibri" w:eastAsia="Calibri" w:hAnsi="Calibri"/>
          <w:b/>
          <w:bCs/>
          <w:color w:val="1A2332"/>
          <w:sz w:val="26"/>
          <w:szCs w:val="26"/>
        </w:rPr>
        <w:t xml:space="preserve">2.1 Settlement Latency</w:t>
      </w:r>
    </w:p>
    <w:p>
      <w:pPr>
        <w:spacing w:after="120"/>
        <w:jc w:val="both"/>
      </w:pPr>
      <w:r>
        <w:rPr>
          <w:rFonts w:ascii="Calibri" w:cs="Calibri" w:eastAsia="Calibri" w:hAnsi="Calibri"/>
          <w:color w:val="333333"/>
          <w:sz w:val="22"/>
          <w:szCs w:val="22"/>
        </w:rPr>
        <w:t xml:space="preserve">Cross-border payments currently require T+2 to T+5 business days to reach finality. This delay stems from multi-hop correspondent banking chains, time zone mismatches, and batch-processing cycles. For corporates managing global supply chains, this latency traps working capital and creates FX exposure windows that are difficult to hedge cost-effectively.</w:t>
      </w:r>
    </w:p>
    <w:p>
      <w:pPr>
        <w:spacing w:after="80"/>
      </w:pPr>
    </w:p>
    <w:p>
      <w:pPr>
        <w:pStyle w:val="Heading2"/>
        <w:spacing w:after="160" w:before="280"/>
      </w:pPr>
      <w:r>
        <w:rPr>
          <w:rFonts w:ascii="Calibri" w:cs="Calibri" w:eastAsia="Calibri" w:hAnsi="Calibri"/>
          <w:b/>
          <w:bCs/>
          <w:color w:val="1A2332"/>
          <w:sz w:val="26"/>
          <w:szCs w:val="26"/>
        </w:rPr>
        <w:t xml:space="preserve">2.2 Trapped Liquidity</w:t>
      </w:r>
    </w:p>
    <w:p>
      <w:pPr>
        <w:spacing w:after="120"/>
        <w:jc w:val="both"/>
      </w:pPr>
      <w:r>
        <w:rPr>
          <w:rFonts w:ascii="Calibri" w:cs="Calibri" w:eastAsia="Calibri" w:hAnsi="Calibri"/>
          <w:color w:val="333333"/>
          <w:sz w:val="22"/>
          <w:szCs w:val="22"/>
        </w:rPr>
        <w:t xml:space="preserve">An estimated $27 trillion sits locked in Nostro/Vostro accounts globally. Correspondent banks must pre-fund these accounts to facilitate cross-border flows, creating massive opportunity costs. For mid-tier banks, Nostro funding requirements can represent 5-8% of total assets.</w:t>
      </w:r>
    </w:p>
    <w:p>
      <w:pPr>
        <w:spacing w:after="80"/>
      </w:pPr>
    </w:p>
    <w:p>
      <w:pPr>
        <w:pStyle w:val="Heading2"/>
        <w:spacing w:after="160" w:before="280"/>
      </w:pPr>
      <w:r>
        <w:rPr>
          <w:rFonts w:ascii="Calibri" w:cs="Calibri" w:eastAsia="Calibri" w:hAnsi="Calibri"/>
          <w:b/>
          <w:bCs/>
          <w:color w:val="1A2332"/>
          <w:sz w:val="26"/>
          <w:szCs w:val="26"/>
        </w:rPr>
        <w:t xml:space="preserve">2.3 Compliance Overhead</w:t>
      </w:r>
    </w:p>
    <w:p>
      <w:pPr>
        <w:spacing w:after="120"/>
        <w:jc w:val="both"/>
      </w:pPr>
      <w:r>
        <w:rPr>
          <w:rFonts w:ascii="Calibri" w:cs="Calibri" w:eastAsia="Calibri" w:hAnsi="Calibri"/>
          <w:color w:val="333333"/>
          <w:sz w:val="22"/>
          <w:szCs w:val="22"/>
        </w:rPr>
        <w:t xml:space="preserve">Financial institutions spend an average of $10.2 million annually on AML/KYC compliance operations. Manual transaction monitoring generates false positive rates of 15-25%, requiring large compliance teams to triage alerts. Regulatory fines for AML failures have exceeded $36 billion globally since 2008, creating existential risk for non-compliant institutions.</w:t>
      </w:r>
    </w:p>
    <w:p>
      <w:pPr>
        <w:spacing w:after="80"/>
      </w:pPr>
    </w:p>
    <w:p>
      <w:pPr>
        <w:pStyle w:val="Heading2"/>
        <w:spacing w:after="160" w:before="280"/>
      </w:pPr>
      <w:r>
        <w:rPr>
          <w:rFonts w:ascii="Calibri" w:cs="Calibri" w:eastAsia="Calibri" w:hAnsi="Calibri"/>
          <w:b/>
          <w:bCs/>
          <w:color w:val="1A2332"/>
          <w:sz w:val="26"/>
          <w:szCs w:val="26"/>
        </w:rPr>
        <w:t xml:space="preserve">2.4 Explainability Gap</w:t>
      </w:r>
    </w:p>
    <w:p>
      <w:pPr>
        <w:spacing w:after="120"/>
        <w:jc w:val="both"/>
      </w:pPr>
      <w:r>
        <w:rPr>
          <w:rFonts w:ascii="Calibri" w:cs="Calibri" w:eastAsia="Calibri" w:hAnsi="Calibri"/>
          <w:color w:val="333333"/>
          <w:sz w:val="22"/>
          <w:szCs w:val="22"/>
        </w:rPr>
        <w:t xml:space="preserve">A critical emerging challenge is the regulatory demand for algorithmic explainability. As financial institutions adopt AI/ML for fraud detection, regulators including the EU AI Act, FinCEN, and MAS increasingly require that automated risk decisions be transparent and auditable. Legacy ML implementations operate as 'black boxes', making it impossible to explain why a specific transaction was blocked. This creates regulatory risk and undermines trust in automated systems. IPTS addresses this directly with per-transaction SHAP explainability.</w:t>
      </w:r>
    </w:p>
    <w:p>
      <w:pPr>
        <w:spacing w:after="80"/>
      </w:pPr>
    </w:p>
    <w:p>
      <w:pPr>
        <w:pStyle w:val="Heading2"/>
        <w:spacing w:after="160" w:before="280"/>
      </w:pPr>
      <w:r>
        <w:rPr>
          <w:rFonts w:ascii="Calibri" w:cs="Calibri" w:eastAsia="Calibri" w:hAnsi="Calibri"/>
          <w:b/>
          <w:bCs/>
          <w:color w:val="1A2332"/>
          <w:sz w:val="26"/>
          <w:szCs w:val="26"/>
        </w:rPr>
        <w:t xml:space="preserve">2.5 Fragmented Infrastructure</w:t>
      </w:r>
    </w:p>
    <w:p>
      <w:pPr>
        <w:spacing w:after="120"/>
        <w:jc w:val="both"/>
      </w:pPr>
      <w:r>
        <w:rPr>
          <w:rFonts w:ascii="Calibri" w:cs="Calibri" w:eastAsia="Calibri" w:hAnsi="Calibri"/>
          <w:color w:val="333333"/>
          <w:sz w:val="22"/>
          <w:szCs w:val="22"/>
        </w:rPr>
        <w:t xml:space="preserve">The current ecosystem involves multiple intermediaries adding cost ($25-$65 per transaction), latency, and opacity. The absence of a unified platform means reconciliation is manual, error-prone, and resource-intensive.</w:t>
      </w:r>
    </w:p>
    <w:p>
      <w:pPr>
        <w:spacing w:after="80"/>
      </w:pPr>
    </w:p>
    <w:p>
      <w:pPr>
        <w:pStyle w:val="Heading2"/>
        <w:spacing w:after="160" w:before="280"/>
      </w:pPr>
      <w:r>
        <w:rPr>
          <w:rFonts w:ascii="Calibri" w:cs="Calibri" w:eastAsia="Calibri" w:hAnsi="Calibri"/>
          <w:b/>
          <w:bCs/>
          <w:color w:val="1A2332"/>
          <w:sz w:val="26"/>
          <w:szCs w:val="26"/>
        </w:rPr>
        <w:t xml:space="preserve">2.6 Market Opportunity</w:t>
      </w:r>
    </w:p>
    <w:p>
      <w:pPr>
        <w:spacing w:after="120"/>
        <w:jc w:val="both"/>
      </w:pPr>
      <w:r>
        <w:rPr>
          <w:rFonts w:ascii="Calibri" w:cs="Calibri" w:eastAsia="Calibri" w:hAnsi="Calibri"/>
          <w:color w:val="333333"/>
          <w:sz w:val="22"/>
          <w:szCs w:val="22"/>
        </w:rPr>
        <w:t xml:space="preserve">The $190 trillion cross-border payments market is at an inflection point. Institutions that modernize their settlement infrastructure will capture market share, reduce operational costs by 60-75%, and position themselves for the next decade of financial services innovation. IPTS directly addresses each of these pain points.</w:t>
      </w:r>
    </w:p>
    <w:p>
      <w:r>
        <w:br w:type="page"/>
      </w:r>
    </w:p>
    <w:p>
      <w:pPr>
        <w:pStyle w:val="Heading1"/>
        <w:spacing w:after="200" w:before="360"/>
      </w:pPr>
      <w:r>
        <w:rPr>
          <w:rFonts w:ascii="Calibri" w:cs="Calibri" w:eastAsia="Calibri" w:hAnsi="Calibri"/>
          <w:b/>
          <w:bCs/>
          <w:color w:val="0C2340"/>
          <w:sz w:val="32"/>
          <w:szCs w:val="32"/>
        </w:rPr>
        <w:t xml:space="preserve">3. IPTS 7-Layer Convergent Architecture</w:t>
      </w:r>
    </w:p>
    <w:p>
      <w:pPr>
        <w:spacing w:after="120"/>
        <w:jc w:val="both"/>
      </w:pPr>
      <w:r>
        <w:rPr>
          <w:rFonts w:ascii="Calibri" w:cs="Calibri" w:eastAsia="Calibri" w:hAnsi="Calibri"/>
          <w:color w:val="333333"/>
          <w:sz w:val="22"/>
          <w:szCs w:val="22"/>
        </w:rPr>
        <w:t xml:space="preserve">IPTS implements a 7-Layer Convergent Architecture where each layer encapsulates a specific domain concern. This separation enables independent scaling, testing, and regulatory auditing while maintaining cohesive end-to-end transaction processing.</w:t>
      </w:r>
    </w:p>
    <w:p>
      <w:pPr>
        <w:spacing w:after="80"/>
      </w:pPr>
    </w:p>
    <w:p>
      <w:pPr>
        <w:pStyle w:val="Heading2"/>
        <w:spacing w:after="160" w:before="280"/>
      </w:pPr>
      <w:r>
        <w:rPr>
          <w:rFonts w:ascii="Calibri" w:cs="Calibri" w:eastAsia="Calibri" w:hAnsi="Calibri"/>
          <w:b/>
          <w:bCs/>
          <w:color w:val="1A2332"/>
          <w:sz w:val="26"/>
          <w:szCs w:val="26"/>
        </w:rPr>
        <w:t xml:space="preserve">3.1 Architecture Overview</w:t>
      </w:r>
    </w:p>
    <w:p>
      <w:pPr>
        <w:spacing w:after="80" w:before="200"/>
        <w:jc w:val="center"/>
      </w:pPr>
      <w:r>
        <w:drawing>
          <wp:inline distT="0" distB="0" distL="0" distR="0">
            <wp:extent cx="5524500" cy="6667500"/>
            <wp:effectExtent t="0" r="0" b="0" l="0"/>
            <wp:docPr id="1" name="ipts_seven_layer_convergent_architecture" descr="Complete overview of the IPTS 7-layer architecture" title="IPTS Seven-Layer Converg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666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 IPTS Seven-Layer Convergent Architecture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Name</w:t>
            </w:r>
          </w:p>
        </w:tc>
        <w:tc>
          <w:tcPr>
            <w:tcW w:type="dxa" w:w="5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Key Capabilities (v4.0)</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1</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Interaction</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Digital portals, multi-currency payment forms, SHAP charts, SLA tracking, health monitoring</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Integration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messaging, API gateway, FX engine with 13 currencies, rate limiting</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3</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Intelligence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explainability, VelocityTracker, NLP sanctions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JWT auth, RBAC, four-eyes dual approval ($100K+), rate limiting, security headers</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Compliance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HITL triage with SLA countdown, case management, SAR filing, sanctions DB, SWIFT GPI</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Distributed Ledger</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smart contracts, atomic swaps, Nostro/Vostro, multi-sig approval, compliance oracle</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7</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&amp; Infrastructure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Hash anchoring, GDPR PII vault, health monitoring, local macOS + Colab deployment</w:t>
            </w:r>
          </w:p>
        </w:tc>
      </w:tr>
    </w:tbl>
    <w:p>
      <w:r>
        <w:br w:type="page"/>
      </w:r>
    </w:p>
    <w:p>
      <w:pPr>
        <w:pStyle w:val="Heading2"/>
        <w:spacing w:after="160" w:before="280"/>
      </w:pPr>
      <w:r>
        <w:rPr>
          <w:rFonts w:ascii="Calibri" w:cs="Calibri" w:eastAsia="Calibri" w:hAnsi="Calibri"/>
          <w:b/>
          <w:bCs/>
          <w:color w:val="1A2332"/>
          <w:sz w:val="26"/>
          <w:szCs w:val="26"/>
        </w:rPr>
        <w:t xml:space="preserve">3.2 Layer 1 — Interaction Architecture</w:t>
      </w:r>
    </w:p>
    <w:p>
      <w:pPr>
        <w:spacing w:after="120"/>
        <w:jc w:val="both"/>
      </w:pPr>
      <w:r>
        <w:rPr>
          <w:rFonts w:ascii="Calibri" w:cs="Calibri" w:eastAsia="Calibri" w:hAnsi="Calibri"/>
          <w:color w:val="333333"/>
          <w:sz w:val="22"/>
          <w:szCs w:val="22"/>
        </w:rPr>
        <w:t xml:space="preserve">The Interaction Layer serves as the primary interface with digital portals, wallet integrations, and automated triggers feeding into a unified request pipeline.</w:t>
      </w:r>
    </w:p>
    <w:p>
      <w:pPr>
        <w:spacing w:after="80" w:before="200"/>
        <w:jc w:val="center"/>
      </w:pPr>
      <w:r>
        <w:drawing>
          <wp:inline distT="0" distB="0" distL="0" distR="0">
            <wp:extent cx="4762500" cy="2857500"/>
            <wp:effectExtent t="0" r="0" b="0" l="0"/>
            <wp:docPr id="1" name="ipts_layer1_interaction_architecture" descr="Layer 1 architecture" title="Interac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 Layer 1 — Interaction Architecture</w:t>
      </w:r>
    </w:p>
    <w:p>
      <w:pPr>
        <w:spacing w:after="80"/>
      </w:pPr>
    </w:p>
    <w:p>
      <w:pPr>
        <w:pStyle w:val="Heading2"/>
        <w:spacing w:after="160" w:before="280"/>
      </w:pPr>
      <w:r>
        <w:rPr>
          <w:rFonts w:ascii="Calibri" w:cs="Calibri" w:eastAsia="Calibri" w:hAnsi="Calibri"/>
          <w:b/>
          <w:bCs/>
          <w:color w:val="1A2332"/>
          <w:sz w:val="26"/>
          <w:szCs w:val="26"/>
        </w:rPr>
        <w:t xml:space="preserve">3.3 Layer 2 — Integration Architecture</w:t>
      </w:r>
    </w:p>
    <w:p>
      <w:pPr>
        <w:spacing w:after="120"/>
        <w:jc w:val="both"/>
      </w:pPr>
      <w:r>
        <w:rPr>
          <w:rFonts w:ascii="Calibri" w:cs="Calibri" w:eastAsia="Calibri" w:hAnsi="Calibri"/>
          <w:color w:val="333333"/>
          <w:sz w:val="22"/>
          <w:szCs w:val="22"/>
        </w:rPr>
        <w:t xml:space="preserve">The Integration Layer connects IPTS with the financial ecosystem through an API Gateway with ISO 20022 parsing, format adaptation, and data enrichment via an event bus.</w:t>
      </w:r>
    </w:p>
    <w:p>
      <w:pPr>
        <w:spacing w:after="80" w:before="200"/>
        <w:jc w:val="center"/>
      </w:pPr>
      <w:r>
        <w:drawing>
          <wp:inline distT="0" distB="0" distL="0" distR="0">
            <wp:extent cx="4762500" cy="3143250"/>
            <wp:effectExtent t="0" r="0" b="0" l="0"/>
            <wp:docPr id="1" name="ipts_layer1_integration_architecture" descr="Layer 2 architecture" title="Integra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432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3: Layer 2 — Integration Architecture</w:t>
      </w:r>
    </w:p>
    <w:p>
      <w:pPr>
        <w:spacing w:after="80"/>
      </w:pPr>
    </w:p>
    <w:p>
      <w:pPr>
        <w:pStyle w:val="Heading2"/>
        <w:spacing w:after="160" w:before="280"/>
      </w:pPr>
      <w:r>
        <w:rPr>
          <w:rFonts w:ascii="Calibri" w:cs="Calibri" w:eastAsia="Calibri" w:hAnsi="Calibri"/>
          <w:b/>
          <w:bCs/>
          <w:color w:val="1A2332"/>
          <w:sz w:val="26"/>
          <w:szCs w:val="26"/>
        </w:rPr>
        <w:t xml:space="preserve">3.4 Layer 3 — Intelligence Engine</w:t>
      </w:r>
    </w:p>
    <w:p>
      <w:pPr>
        <w:spacing w:after="120"/>
        <w:jc w:val="both"/>
      </w:pPr>
      <w:r>
        <w:rPr>
          <w:rFonts w:ascii="Calibri" w:cs="Calibri" w:eastAsia="Calibri" w:hAnsi="Calibri"/>
          <w:color w:val="333333"/>
          <w:sz w:val="22"/>
          <w:szCs w:val="22"/>
        </w:rPr>
        <w:t xml:space="preserve">The Intelligence Layer houses the 5-model ML ensemble with SHAP explainability. The AML/KYC screening engine applies a weighted composite scoring system: rule-based (30%), ML ensemble (40%), NLP watchlist (15%), and graph analytics (15%). The VelocityTracker provides real-time behavioral features, and force-override triggers automatically block high-risk transactions.</w:t>
      </w:r>
    </w:p>
    <w:p>
      <w:pPr>
        <w:spacing w:after="80"/>
      </w:pPr>
    </w:p>
    <w:p>
      <w:pPr>
        <w:pStyle w:val="Heading2"/>
        <w:spacing w:after="160" w:before="280"/>
      </w:pPr>
      <w:r>
        <w:rPr>
          <w:rFonts w:ascii="Calibri" w:cs="Calibri" w:eastAsia="Calibri" w:hAnsi="Calibri"/>
          <w:b/>
          <w:bCs/>
          <w:color w:val="1A2332"/>
          <w:sz w:val="26"/>
          <w:szCs w:val="26"/>
        </w:rPr>
        <w:t xml:space="preserve">3.5 Layer 4 — Zero Trust Security</w:t>
      </w:r>
    </w:p>
    <w:p>
      <w:pPr>
        <w:spacing w:after="120"/>
        <w:jc w:val="both"/>
      </w:pPr>
      <w:r>
        <w:rPr>
          <w:rFonts w:ascii="Calibri" w:cs="Calibri" w:eastAsia="Calibri" w:hAnsi="Calibri"/>
          <w:color w:val="333333"/>
          <w:sz w:val="22"/>
          <w:szCs w:val="22"/>
        </w:rPr>
        <w:t xml:space="preserve">Implements Zero Trust with JWT authentication, RBAC, four-eyes dual approval for transactions &gt;= $100K, Continuous Verification, and Threat Intelligence integration.</w:t>
      </w:r>
    </w:p>
    <w:p>
      <w:pPr>
        <w:spacing w:after="80" w:before="200"/>
        <w:jc w:val="center"/>
      </w:pPr>
      <w:r>
        <w:drawing>
          <wp:inline distT="0" distB="0" distL="0" distR="0">
            <wp:extent cx="4762500" cy="3048000"/>
            <wp:effectExtent t="0" r="0" b="0" l="0"/>
            <wp:docPr id="1" name="ipts_layer2_security_architecture" descr="Layer 4 architecture" title="Security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4: Layer 4 — Zero Trust Security Architecture</w:t>
      </w:r>
    </w:p>
    <w:p>
      <w:pPr>
        <w:spacing w:after="80"/>
      </w:pPr>
    </w:p>
    <w:p>
      <w:pPr>
        <w:pStyle w:val="Heading2"/>
        <w:spacing w:after="160" w:before="280"/>
      </w:pPr>
      <w:r>
        <w:rPr>
          <w:rFonts w:ascii="Calibri" w:cs="Calibri" w:eastAsia="Calibri" w:hAnsi="Calibri"/>
          <w:b/>
          <w:bCs/>
          <w:color w:val="1A2332"/>
          <w:sz w:val="26"/>
          <w:szCs w:val="26"/>
        </w:rPr>
        <w:t xml:space="preserve">3.6 Layer 5 — Compliance &amp; Case Management</w:t>
      </w:r>
    </w:p>
    <w:p>
      <w:pPr>
        <w:spacing w:after="120"/>
        <w:jc w:val="both"/>
      </w:pPr>
      <w:r>
        <w:rPr>
          <w:rFonts w:ascii="Calibri" w:cs="Calibri" w:eastAsia="Calibri" w:hAnsi="Calibri"/>
          <w:color w:val="333333"/>
          <w:sz w:val="22"/>
          <w:szCs w:val="22"/>
        </w:rPr>
        <w:t xml:space="preserve">Provides HITL triage with SLA countdown tracking (Critical 4h, High 24h, Medium 72h, Low 7d), full case management lifecycle, SAR filing workflows, and real-time sanctions screening.</w:t>
      </w:r>
    </w:p>
    <w:p>
      <w:pPr>
        <w:spacing w:after="80"/>
      </w:pPr>
    </w:p>
    <w:p>
      <w:pPr>
        <w:pStyle w:val="Heading2"/>
        <w:spacing w:after="160" w:before="280"/>
      </w:pPr>
      <w:r>
        <w:rPr>
          <w:rFonts w:ascii="Calibri" w:cs="Calibri" w:eastAsia="Calibri" w:hAnsi="Calibri"/>
          <w:b/>
          <w:bCs/>
          <w:color w:val="1A2332"/>
          <w:sz w:val="26"/>
          <w:szCs w:val="26"/>
        </w:rPr>
        <w:t xml:space="preserve">3.7 Layer 6 — Data Architecture</w:t>
      </w:r>
    </w:p>
    <w:p>
      <w:pPr>
        <w:spacing w:after="120"/>
        <w:jc w:val="both"/>
      </w:pPr>
      <w:r>
        <w:rPr>
          <w:rFonts w:ascii="Calibri" w:cs="Calibri" w:eastAsia="Calibri" w:hAnsi="Calibri"/>
          <w:color w:val="333333"/>
          <w:sz w:val="22"/>
          <w:szCs w:val="22"/>
        </w:rPr>
        <w:t xml:space="preserve">Ensures data integrity with SHA-256 hash anchoring, tamper-evident audit trails, GDPR Compliance Vault with right-to-erasure, and a four_eyes_approvals table for dual-approval tracking.</w:t>
      </w:r>
    </w:p>
    <w:p>
      <w:pPr>
        <w:spacing w:after="80" w:before="200"/>
        <w:jc w:val="center"/>
      </w:pPr>
      <w:r>
        <w:drawing>
          <wp:inline distT="0" distB="0" distL="0" distR="0">
            <wp:extent cx="4762500" cy="3048000"/>
            <wp:effectExtent t="0" r="0" b="0" l="0"/>
            <wp:docPr id="1" name="ipts_layer6_data_architecture" descr="Layer 6 architecture" title="Data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5: Layer 6 — Data Architecture</w:t>
      </w:r>
    </w:p>
    <w:p>
      <w:pPr>
        <w:spacing w:after="80"/>
      </w:pPr>
    </w:p>
    <w:p>
      <w:pPr>
        <w:pStyle w:val="Heading2"/>
        <w:spacing w:after="160" w:before="280"/>
      </w:pPr>
      <w:r>
        <w:rPr>
          <w:rFonts w:ascii="Calibri" w:cs="Calibri" w:eastAsia="Calibri" w:hAnsi="Calibri"/>
          <w:b/>
          <w:bCs/>
          <w:color w:val="1A2332"/>
          <w:sz w:val="26"/>
          <w:szCs w:val="26"/>
        </w:rPr>
        <w:t xml:space="preserve">3.8 Layer 7 — Infrastructure</w:t>
      </w:r>
    </w:p>
    <w:p>
      <w:pPr>
        <w:spacing w:after="120"/>
        <w:jc w:val="both"/>
      </w:pPr>
      <w:r>
        <w:rPr>
          <w:rFonts w:ascii="Calibri" w:cs="Calibri" w:eastAsia="Calibri" w:hAnsi="Calibri"/>
          <w:color w:val="333333"/>
          <w:sz w:val="22"/>
          <w:szCs w:val="22"/>
        </w:rPr>
        <w:t xml:space="preserve">Runtime foundation with Ganache blockchain, Flask API, health monitoring (/api/health polled every 30s), local macOS deployment via run_local.sh, and Google Colab support.</w:t>
      </w:r>
    </w:p>
    <w:p>
      <w:pPr>
        <w:spacing w:after="80" w:before="200"/>
        <w:jc w:val="center"/>
      </w:pPr>
      <w:r>
        <w:drawing>
          <wp:inline distT="0" distB="0" distL="0" distR="0">
            <wp:extent cx="4762500" cy="3048000"/>
            <wp:effectExtent t="0" r="0" b="0" l="0"/>
            <wp:docPr id="1" name="ipts_layer7_infrastructure_architecture" descr="Layer 7 architecture" title="Infrastructur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6: Layer 7 — Infrastructure Architecture</w:t>
      </w:r>
    </w:p>
    <w:p>
      <w:r>
        <w:br w:type="page"/>
      </w:r>
    </w:p>
    <w:p>
      <w:pPr>
        <w:pStyle w:val="Heading1"/>
        <w:spacing w:after="200" w:before="360"/>
      </w:pPr>
      <w:r>
        <w:rPr>
          <w:rFonts w:ascii="Calibri" w:cs="Calibri" w:eastAsia="Calibri" w:hAnsi="Calibri"/>
          <w:b/>
          <w:bCs/>
          <w:color w:val="0C2340"/>
          <w:sz w:val="32"/>
          <w:szCs w:val="32"/>
        </w:rPr>
        <w:t xml:space="preserve">4. System Walkthrough</w:t>
      </w:r>
    </w:p>
    <w:p>
      <w:pPr>
        <w:spacing w:after="120"/>
        <w:jc w:val="both"/>
      </w:pPr>
      <w:r>
        <w:rPr>
          <w:rFonts w:ascii="Calibri" w:cs="Calibri" w:eastAsia="Calibri" w:hAnsi="Calibri"/>
          <w:color w:val="333333"/>
          <w:sz w:val="22"/>
          <w:szCs w:val="22"/>
        </w:rPr>
        <w:t xml:space="preserve">The following screenshots demonstrate the fully operational IPTS platform v5.0, captured from the live system running locally on macOS. The platform now features 12 functional tabs, 5 payment channels, virtual card services, spending analytics, E-KYC verification, and real-time notifications.</w:t>
      </w:r>
    </w:p>
    <w:p>
      <w:pPr>
        <w:spacing w:after="80"/>
      </w:pPr>
    </w:p>
    <w:p>
      <w:pPr>
        <w:pStyle w:val="Heading2"/>
        <w:spacing w:after="160" w:before="280"/>
      </w:pPr>
      <w:r>
        <w:rPr>
          <w:rFonts w:ascii="Calibri" w:cs="Calibri" w:eastAsia="Calibri" w:hAnsi="Calibri"/>
          <w:b/>
          <w:bCs/>
          <w:color w:val="1A2332"/>
          <w:sz w:val="26"/>
          <w:szCs w:val="26"/>
        </w:rPr>
        <w:t xml:space="preserve">4.1 Dashboard — Multi-Account, KPIs &amp; Notifications</w:t>
      </w:r>
    </w:p>
    <w:p>
      <w:pPr>
        <w:spacing w:after="120"/>
        <w:jc w:val="both"/>
      </w:pPr>
      <w:r>
        <w:rPr>
          <w:rFonts w:ascii="Calibri" w:cs="Calibri" w:eastAsia="Calibri" w:hAnsi="Calibri"/>
          <w:color w:val="333333"/>
          <w:sz w:val="22"/>
          <w:szCs w:val="22"/>
        </w:rPr>
        <w:t xml:space="preserve">The main dashboard provides KPI cards, multi-account overview (Checking, Savings, Business), a real-time ledger panel, live FX rates ticker, settlement volume chart, AML telemetry, and a notification bell with badge count polled via SSE.</w:t>
      </w:r>
    </w:p>
    <w:p>
      <w:pPr>
        <w:spacing w:after="80" w:before="200"/>
        <w:jc w:val="center"/>
      </w:pPr>
      <w:r>
        <w:drawing>
          <wp:inline distT="0" distB="0" distL="0" distR="0">
            <wp:extent cx="5524500" cy="2952750"/>
            <wp:effectExtent t="0" r="0" b="0" l="0"/>
            <wp:docPr id="1" name="Dashboard_MultiAccount" descr="Dashboard with multi-account cards, KPIs, and notification bell"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7: Dashboard — Multi-Account Cards, KPIs, and Notification Bell</w:t>
      </w:r>
    </w:p>
    <w:p>
      <w:pPr>
        <w:spacing w:after="80"/>
      </w:pPr>
    </w:p>
    <w:p>
      <w:pPr>
        <w:pStyle w:val="Heading2"/>
        <w:spacing w:after="160" w:before="280"/>
      </w:pPr>
      <w:r>
        <w:rPr>
          <w:rFonts w:ascii="Calibri" w:cs="Calibri" w:eastAsia="Calibri" w:hAnsi="Calibri"/>
          <w:b/>
          <w:bCs/>
          <w:color w:val="1A2332"/>
          <w:sz w:val="26"/>
          <w:szCs w:val="26"/>
        </w:rPr>
        <w:t xml:space="preserve">4.2 Dashboard — Real-Time Ledger &amp; Notifications</w:t>
      </w:r>
    </w:p>
    <w:p>
      <w:pPr>
        <w:spacing w:after="120"/>
        <w:jc w:val="both"/>
      </w:pPr>
      <w:r>
        <w:rPr>
          <w:rFonts w:ascii="Calibri" w:cs="Calibri" w:eastAsia="Calibri" w:hAnsi="Calibri"/>
          <w:color w:val="333333"/>
          <w:sz w:val="22"/>
          <w:szCs w:val="22"/>
        </w:rPr>
        <w:t xml:space="preserve">The real-time ledger shows the latest transactions with direction (debit/credit), counterparty, status, and balance. The notification center provides a dropdown panel with unread alerts for settlements, P2P transfers, card generation, and KYC verification events.</w:t>
      </w:r>
    </w:p>
    <w:p>
      <w:pPr>
        <w:spacing w:after="80" w:before="200"/>
        <w:jc w:val="center"/>
      </w:pPr>
      <w:r>
        <w:drawing>
          <wp:inline distT="0" distB="0" distL="0" distR="0">
            <wp:extent cx="5524500" cy="2952750"/>
            <wp:effectExtent t="0" r="0" b="0" l="0"/>
            <wp:docPr id="1" name="Dashboard_Ledger" descr="Real-time ledger panel" title="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8: Dashboard — Real-Time Ledger and Transaction History</w:t>
      </w:r>
    </w:p>
    <w:p>
      <w:pPr>
        <w:spacing w:after="80"/>
      </w:pPr>
    </w:p>
    <w:p>
      <w:pPr>
        <w:pStyle w:val="Heading2"/>
        <w:spacing w:after="160" w:before="280"/>
      </w:pPr>
      <w:r>
        <w:rPr>
          <w:rFonts w:ascii="Calibri" w:cs="Calibri" w:eastAsia="Calibri" w:hAnsi="Calibri"/>
          <w:b/>
          <w:bCs/>
          <w:color w:val="1A2332"/>
          <w:sz w:val="26"/>
          <w:szCs w:val="26"/>
        </w:rPr>
        <w:t xml:space="preserve">4.3 Payment Hub — 5 Payment Channels</w:t>
      </w:r>
    </w:p>
    <w:p>
      <w:pPr>
        <w:spacing w:after="120"/>
        <w:jc w:val="both"/>
      </w:pPr>
      <w:r>
        <w:rPr>
          <w:rFonts w:ascii="Calibri" w:cs="Calibri" w:eastAsia="Calibri" w:hAnsi="Calibri"/>
          <w:color w:val="333333"/>
          <w:sz w:val="22"/>
          <w:szCs w:val="22"/>
        </w:rPr>
        <w:t xml:space="preserve">The Payments tab now features 5 sub-tabs: Settlement (multi-currency with SHAP), P2P Transfer (by username/email/phone), ACH/Wire/SEPA (external bank transfers with fee calculation), Scheduled Payments (recurring daily/weekly/bi-weekly/monthly), and QR Pay (generate/scan QR codes).</w:t>
      </w:r>
    </w:p>
    <w:p>
      <w:pPr>
        <w:spacing w:after="80" w:before="200"/>
        <w:jc w:val="center"/>
      </w:pPr>
      <w:r>
        <w:drawing>
          <wp:inline distT="0" distB="0" distL="0" distR="0">
            <wp:extent cx="5524500" cy="2952750"/>
            <wp:effectExtent t="0" r="0" b="0" l="0"/>
            <wp:docPr id="1" name="Payment_Settlement" descr="Payment settlement with FX preview" title="Payment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9: Payments — Settlement with FX Preview and SHAP Contributions</w:t>
      </w:r>
    </w:p>
    <w:p>
      <w:pPr>
        <w:spacing w:after="80"/>
      </w:pPr>
    </w:p>
    <w:p>
      <w:pPr>
        <w:spacing w:after="80" w:before="200"/>
        <w:jc w:val="center"/>
      </w:pPr>
      <w:r>
        <w:drawing>
          <wp:inline distT="0" distB="0" distL="0" distR="0">
            <wp:extent cx="2667000" cy="1714500"/>
            <wp:effectExtent t="0" r="0" b="0" l="0"/>
            <wp:docPr id="1" name="Payment_P2P" descr="P2P transfer form" title="P2P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Payment_ACH_Wire_SEPA" descr="External bank transfer" title="ACH/Wire/SE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10: P2P Transfer (left) and ACH/Wire/SEPA External Transfer (right)</w:t>
      </w:r>
    </w:p>
    <w:p>
      <w:pPr>
        <w:spacing w:after="80"/>
      </w:pPr>
    </w:p>
    <w:p>
      <w:pPr>
        <w:spacing w:after="80" w:before="200"/>
        <w:jc w:val="center"/>
      </w:pPr>
      <w:r>
        <w:drawing>
          <wp:inline distT="0" distB="0" distL="0" distR="0">
            <wp:extent cx="2667000" cy="1714500"/>
            <wp:effectExtent t="0" r="0" b="0" l="0"/>
            <wp:docPr id="1" name="Payment_Scheduled" descr="Scheduled payment form" title="Scheduled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Payment_QR_Pay" descr="QR code payment" title="QR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11: Scheduled Payments (left) and QR Pay (right)</w:t>
      </w:r>
    </w:p>
    <w:p>
      <w:r>
        <w:br w:type="page"/>
      </w:r>
    </w:p>
    <w:p>
      <w:pPr>
        <w:pStyle w:val="Heading2"/>
        <w:spacing w:after="160" w:before="280"/>
      </w:pPr>
      <w:r>
        <w:rPr>
          <w:rFonts w:ascii="Calibri" w:cs="Calibri" w:eastAsia="Calibri" w:hAnsi="Calibri"/>
          <w:b/>
          <w:bCs/>
          <w:color w:val="1A2332"/>
          <w:sz w:val="26"/>
          <w:szCs w:val="26"/>
        </w:rPr>
        <w:t xml:space="preserve">4.4 Beneficiary Management</w:t>
      </w:r>
    </w:p>
    <w:p>
      <w:pPr>
        <w:spacing w:after="120"/>
        <w:jc w:val="both"/>
      </w:pPr>
      <w:r>
        <w:rPr>
          <w:rFonts w:ascii="Calibri" w:cs="Calibri" w:eastAsia="Calibri" w:hAnsi="Calibri"/>
          <w:color w:val="333333"/>
          <w:sz w:val="22"/>
          <w:szCs w:val="22"/>
        </w:rPr>
        <w:t xml:space="preserve">A dedicated Beneficiaries tab enables account owners to add, edit, and manage beneficiaries with full details including account numbers, SWIFT codes, bank names, countries, currencies, and risk levels. Added beneficiaries automatically appear in the Settlement payment dropdown.</w:t>
      </w:r>
    </w:p>
    <w:p>
      <w:pPr>
        <w:spacing w:after="80" w:before="200"/>
        <w:jc w:val="center"/>
      </w:pPr>
      <w:r>
        <w:drawing>
          <wp:inline distT="0" distB="0" distL="0" distR="0">
            <wp:extent cx="5524500" cy="2952750"/>
            <wp:effectExtent t="0" r="0" b="0" l="0"/>
            <wp:docPr id="1" name="Beneficiaries_Tab" descr="Beneficiary management tab" title="Benefici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12: Beneficiary Management — Add, Edit, Delete with Risk Levels</w:t>
      </w:r>
    </w:p>
    <w:p>
      <w:pPr>
        <w:spacing w:after="80"/>
      </w:pPr>
    </w:p>
    <w:p>
      <w:pPr>
        <w:pStyle w:val="Heading2"/>
        <w:spacing w:after="160" w:before="280"/>
      </w:pPr>
      <w:r>
        <w:rPr>
          <w:rFonts w:ascii="Calibri" w:cs="Calibri" w:eastAsia="Calibri" w:hAnsi="Calibri"/>
          <w:b/>
          <w:bCs/>
          <w:color w:val="1A2332"/>
          <w:sz w:val="26"/>
          <w:szCs w:val="26"/>
        </w:rPr>
        <w:t xml:space="preserve">4.5 Spending 360 Analytics</w:t>
      </w:r>
    </w:p>
    <w:p>
      <w:pPr>
        <w:spacing w:after="120"/>
        <w:jc w:val="both"/>
      </w:pPr>
      <w:r>
        <w:rPr>
          <w:rFonts w:ascii="Calibri" w:cs="Calibri" w:eastAsia="Calibri" w:hAnsi="Calibri"/>
          <w:color w:val="333333"/>
          <w:sz w:val="22"/>
          <w:szCs w:val="22"/>
        </w:rPr>
        <w:t xml:space="preserve">The Spending 360 dashboard provides comprehensive analytics including KPI cards (Total Sent, Total Received, Avg Risk Score, Highest Transaction, Account Balance), monthly spending trend charts, risk distribution, currency breakdown, activity by hour, and top beneficiary rankings.</w:t>
      </w:r>
    </w:p>
    <w:p>
      <w:pPr>
        <w:spacing w:after="80" w:before="200"/>
        <w:jc w:val="center"/>
      </w:pPr>
      <w:r>
        <w:drawing>
          <wp:inline distT="0" distB="0" distL="0" distR="0">
            <wp:extent cx="5524500" cy="2952750"/>
            <wp:effectExtent t="0" r="0" b="0" l="0"/>
            <wp:docPr id="1" name="Spending_360_Overview" descr="Spending 360 analytics dashboard" title="Spending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13: Spending 360 — KPI Cards and Monthly Spending Trend</w:t>
      </w:r>
    </w:p>
    <w:p>
      <w:pPr>
        <w:spacing w:after="80"/>
      </w:pPr>
    </w:p>
    <w:p>
      <w:pPr>
        <w:spacing w:after="80" w:before="200"/>
        <w:jc w:val="center"/>
      </w:pPr>
      <w:r>
        <w:drawing>
          <wp:inline distT="0" distB="0" distL="0" distR="0">
            <wp:extent cx="5524500" cy="2952750"/>
            <wp:effectExtent t="0" r="0" b="0" l="0"/>
            <wp:docPr id="1" name="Spending_360_Charts" descr="Spending analytics charts" title="Spending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14: Spending 360 — Currency Breakdown and Activity Heatmap</w:t>
      </w:r>
    </w:p>
    <w:p>
      <w:pPr>
        <w:spacing w:after="80"/>
      </w:pPr>
    </w:p>
    <w:p>
      <w:pPr>
        <w:pStyle w:val="Heading2"/>
        <w:spacing w:after="160" w:before="280"/>
      </w:pPr>
      <w:r>
        <w:rPr>
          <w:rFonts w:ascii="Calibri" w:cs="Calibri" w:eastAsia="Calibri" w:hAnsi="Calibri"/>
          <w:b/>
          <w:bCs/>
          <w:color w:val="1A2332"/>
          <w:sz w:val="26"/>
          <w:szCs w:val="26"/>
        </w:rPr>
        <w:t xml:space="preserve">4.6 Virtual Card Services</w:t>
      </w:r>
    </w:p>
    <w:p>
      <w:pPr>
        <w:spacing w:after="120"/>
        <w:jc w:val="both"/>
      </w:pPr>
      <w:r>
        <w:rPr>
          <w:rFonts w:ascii="Calibri" w:cs="Calibri" w:eastAsia="Calibri" w:hAnsi="Calibri"/>
          <w:color w:val="333333"/>
          <w:sz w:val="22"/>
          <w:szCs w:val="22"/>
        </w:rPr>
        <w:t xml:space="preserve">The Cards tab enables generation of Visa and Mastercard virtual cards with masked numbers, gradient styling, and spending controls. Cards can be frozen/unfrozen, provisioned to Apple Pay/Google Pay/Samsung Pay, or permanently cancelled.</w:t>
      </w:r>
    </w:p>
    <w:p>
      <w:pPr>
        <w:spacing w:after="80" w:before="200"/>
        <w:jc w:val="center"/>
      </w:pPr>
      <w:r>
        <w:drawing>
          <wp:inline distT="0" distB="0" distL="0" distR="0">
            <wp:extent cx="5524500" cy="2952750"/>
            <wp:effectExtent t="0" r="0" b="0" l="0"/>
            <wp:docPr id="1" name="Cards_Tab" descr="Virtual card gallery" title="Virtual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15: Virtual Cards — Generate, Freeze, Provision to Digital Wallets</w:t>
      </w:r>
    </w:p>
    <w:p>
      <w:r>
        <w:br w:type="page"/>
      </w:r>
    </w:p>
    <w:p>
      <w:pPr>
        <w:pStyle w:val="Heading2"/>
        <w:spacing w:after="160" w:before="280"/>
      </w:pPr>
      <w:r>
        <w:rPr>
          <w:rFonts w:ascii="Calibri" w:cs="Calibri" w:eastAsia="Calibri" w:hAnsi="Calibri"/>
          <w:b/>
          <w:bCs/>
          <w:color w:val="1A2332"/>
          <w:sz w:val="26"/>
          <w:szCs w:val="26"/>
        </w:rPr>
        <w:t xml:space="preserve">4.7 Security — E-KYC &amp; Fraud Monitoring</w:t>
      </w:r>
    </w:p>
    <w:p>
      <w:pPr>
        <w:spacing w:after="120"/>
        <w:jc w:val="both"/>
      </w:pPr>
      <w:r>
        <w:rPr>
          <w:rFonts w:ascii="Calibri" w:cs="Calibri" w:eastAsia="Calibri" w:hAnsi="Calibri"/>
          <w:color w:val="333333"/>
          <w:sz w:val="22"/>
          <w:szCs w:val="22"/>
        </w:rPr>
        <w:t xml:space="preserve">The Security tab features a 3-phase E-KYC verification flow (document upload, AI processing, identity verified with confidence score), biometric control toggles (Face ID, fingerprint), and a real-time fraud alert feed with severity levels and acknowledgment controls.</w:t>
      </w:r>
    </w:p>
    <w:p>
      <w:pPr>
        <w:spacing w:after="80" w:before="200"/>
        <w:jc w:val="center"/>
      </w:pPr>
      <w:r>
        <w:drawing>
          <wp:inline distT="0" distB="0" distL="0" distR="0">
            <wp:extent cx="5524500" cy="2952750"/>
            <wp:effectExtent t="0" r="0" b="0" l="0"/>
            <wp:docPr id="1" name="Security_KYC" descr="E-KYC verification flow" title="E-KY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16: Security — E-KYC Verification and Biometric Controls</w:t>
      </w:r>
    </w:p>
    <w:p>
      <w:pPr>
        <w:spacing w:after="80"/>
      </w:pPr>
    </w:p>
    <w:p>
      <w:pPr>
        <w:pStyle w:val="Heading2"/>
        <w:spacing w:after="160" w:before="280"/>
      </w:pPr>
      <w:r>
        <w:rPr>
          <w:rFonts w:ascii="Calibri" w:cs="Calibri" w:eastAsia="Calibri" w:hAnsi="Calibri"/>
          <w:b/>
          <w:bCs/>
          <w:color w:val="1A2332"/>
          <w:sz w:val="26"/>
          <w:szCs w:val="26"/>
        </w:rPr>
        <w:t xml:space="preserve">4.8 Documents &amp; Support</w:t>
      </w:r>
    </w:p>
    <w:p>
      <w:pPr>
        <w:spacing w:after="120"/>
        <w:jc w:val="both"/>
      </w:pPr>
      <w:r>
        <w:rPr>
          <w:rFonts w:ascii="Calibri" w:cs="Calibri" w:eastAsia="Calibri" w:hAnsi="Calibri"/>
          <w:color w:val="333333"/>
          <w:sz w:val="22"/>
          <w:szCs w:val="22"/>
        </w:rPr>
        <w:t xml:space="preserve">The Documents tab provides auto-generated monthly statements with download capabilities. A floating AI-powered Support Chat widget (bottom-right) responds to account, payment, security, and card queries. The Notification Center provides real-time SSE-powered alerts with mark-as-read functionality.</w:t>
      </w:r>
    </w:p>
    <w:p>
      <w:pPr>
        <w:spacing w:after="80" w:before="200"/>
        <w:jc w:val="center"/>
      </w:pPr>
      <w:r>
        <w:drawing>
          <wp:inline distT="0" distB="0" distL="0" distR="0">
            <wp:extent cx="2667000" cy="1714500"/>
            <wp:effectExtent t="0" r="0" b="0" l="0"/>
            <wp:docPr id="1" name="Documents_Tab" descr="Document center" title="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Support_Chat" descr="AI support chat bot" title="Support 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17: Documents Center (left) and AI Support Chat (right)</w:t>
      </w:r>
    </w:p>
    <w:p>
      <w:r>
        <w:br w:type="page"/>
      </w:r>
    </w:p>
    <w:p>
      <w:pPr>
        <w:pStyle w:val="Heading1"/>
        <w:spacing w:after="200" w:before="360"/>
      </w:pPr>
      <w:r>
        <w:rPr>
          <w:rFonts w:ascii="Calibri" w:cs="Calibri" w:eastAsia="Calibri" w:hAnsi="Calibri"/>
          <w:b/>
          <w:bCs/>
          <w:color w:val="0C2340"/>
          <w:sz w:val="32"/>
          <w:szCs w:val="32"/>
        </w:rPr>
        <w:t xml:space="preserve">5. AI/ML Capabilities &amp; Explainability</w:t>
      </w:r>
    </w:p>
    <w:p>
      <w:pPr>
        <w:spacing w:after="120"/>
        <w:jc w:val="both"/>
      </w:pPr>
      <w:r>
        <w:rPr>
          <w:rFonts w:ascii="Calibri" w:cs="Calibri" w:eastAsia="Calibri" w:hAnsi="Calibri"/>
          <w:color w:val="333333"/>
          <w:sz w:val="22"/>
          <w:szCs w:val="22"/>
        </w:rPr>
        <w:t xml:space="preserve">IPTS v5.0 deploys a 5-model machine learning ensemble trained on 15,000 synthetic transactions using a 16-dimensional feature vector that includes 8 real-time velocity features computed by the VelocityTracker. This represents a significant upgrade from the previous 4-model, 8-feature architecture.</w:t>
      </w:r>
    </w:p>
    <w:p>
      <w:pPr>
        <w:spacing w:after="80"/>
      </w:pPr>
    </w:p>
    <w:p>
      <w:pPr>
        <w:pStyle w:val="Heading2"/>
        <w:spacing w:after="160" w:before="280"/>
      </w:pPr>
      <w:r>
        <w:rPr>
          <w:rFonts w:ascii="Calibri" w:cs="Calibri" w:eastAsia="Calibri" w:hAnsi="Calibri"/>
          <w:b/>
          <w:bCs/>
          <w:color w:val="1A2332"/>
          <w:sz w:val="26"/>
          <w:szCs w:val="26"/>
        </w:rPr>
        <w:t xml:space="preserve">5.1 Five-Model Ensemble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1800"/>
        <w:gridCol w:w="20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Model</w:t>
            </w:r>
          </w:p>
        </w:tc>
        <w:tc>
          <w:tcPr>
            <w:tcW w:type="dxa" w:w="1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Type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Configuration</w:t>
            </w:r>
          </w:p>
        </w:tc>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F1 Score</w:t>
            </w:r>
          </w:p>
        </w:tc>
        <w:tc>
          <w:tcPr>
            <w:tcW w:type="dxa" w:w="20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Role in Ensemble</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Isolation Forest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Unsupervised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 est., 3% contamination</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92.8%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Anomaly detection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Random Forest</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 est., SMOTE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97.3%</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Classification + SHAP fallback</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XGBoost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300 est., class-weighted</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Primary classifier + SHAP source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Autoencoder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Semi-supervised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64-32-16-32-64 MLP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93.5%</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Reconstruction anomaly</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Sequence Detector</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Pattern-based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Sliding window, velocity</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96.3%</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Temporal pattern detection</w:t>
            </w:r>
          </w:p>
        </w:tc>
      </w:tr>
    </w:tbl>
    <w:p>
      <w:pPr>
        <w:spacing w:after="80"/>
      </w:pPr>
    </w:p>
    <w:p>
      <w:pPr>
        <w:pStyle w:val="Heading2"/>
        <w:spacing w:after="160" w:before="280"/>
      </w:pPr>
      <w:r>
        <w:rPr>
          <w:rFonts w:ascii="Calibri" w:cs="Calibri" w:eastAsia="Calibri" w:hAnsi="Calibri"/>
          <w:b/>
          <w:bCs/>
          <w:color w:val="1A2332"/>
          <w:sz w:val="26"/>
          <w:szCs w:val="26"/>
        </w:rPr>
        <w:t xml:space="preserve">5.2 16-Feature Vector with Velocity Tracking</w:t>
      </w:r>
    </w:p>
    <w:p>
      <w:pPr>
        <w:spacing w:after="120"/>
        <w:jc w:val="both"/>
      </w:pPr>
      <w:r>
        <w:rPr>
          <w:rFonts w:ascii="Calibri" w:cs="Calibri" w:eastAsia="Calibri" w:hAnsi="Calibri"/>
          <w:color w:val="333333"/>
          <w:sz w:val="22"/>
          <w:szCs w:val="22"/>
        </w:rPr>
        <w:t xml:space="preserve">Each transaction is scored using 16 features: 8 static transaction attributes (amount, hour, day, frequency, round number flag, country risk, sender/receiver IDs) and 8 real-time behavioral features computed by the VelocityTracker (velocity at 1h/24h/7d windows, average amount, standard deviation, z-score, unique receivers, new receiver flag). This dual-source approach enables detection of both per-transaction anomalies and behavioral pattern shifts.</w:t>
      </w:r>
    </w:p>
    <w:p>
      <w:pPr>
        <w:spacing w:after="80"/>
      </w:pPr>
    </w:p>
    <w:p>
      <w:pPr>
        <w:pStyle w:val="Heading2"/>
        <w:spacing w:after="160" w:before="280"/>
      </w:pPr>
      <w:r>
        <w:rPr>
          <w:rFonts w:ascii="Calibri" w:cs="Calibri" w:eastAsia="Calibri" w:hAnsi="Calibri"/>
          <w:b/>
          <w:bCs/>
          <w:color w:val="1A2332"/>
          <w:sz w:val="26"/>
          <w:szCs w:val="26"/>
        </w:rPr>
        <w:t xml:space="preserve">5.3 SHAP Explainability</w:t>
      </w:r>
    </w:p>
    <w:p>
      <w:pPr>
        <w:spacing w:after="120"/>
        <w:jc w:val="both"/>
      </w:pPr>
      <w:r>
        <w:rPr>
          <w:rFonts w:ascii="Calibri" w:cs="Calibri" w:eastAsia="Calibri" w:hAnsi="Calibri"/>
          <w:color w:val="333333"/>
          <w:sz w:val="22"/>
          <w:szCs w:val="22"/>
        </w:rPr>
        <w:t xml:space="preserve">Every risk decision in IPTS v5.0 is fully explainable. The system uses SHAP (SHapley Additive exPlanations) to decompose each risk score into per-feature contributions:</w:t>
      </w:r>
    </w:p>
    <w:p>
      <w:pPr>
        <w:spacing w:after="80"/>
      </w:pPr>
    </w:p>
    <w:p>
      <w:pPr>
        <w:pStyle w:val="ListParagraph"/>
        <w:numPr>
          <w:ilvl w:val="0"/>
          <w:numId w:val="2"/>
        </w:numPr>
        <w:spacing w:after="60"/>
      </w:pPr>
      <w:r>
        <w:rPr>
          <w:rFonts w:ascii="Calibri" w:cs="Calibri" w:eastAsia="Calibri" w:hAnsi="Calibri"/>
          <w:b/>
          <w:bCs/>
          <w:color w:val="1A2332"/>
          <w:sz w:val="22"/>
          <w:szCs w:val="22"/>
        </w:rPr>
        <w:t xml:space="preserve">TreeExplainer: </w:t>
      </w:r>
      <w:r>
        <w:rPr>
          <w:rFonts w:ascii="Calibri" w:cs="Calibri" w:eastAsia="Calibri" w:hAnsi="Calibri"/>
          <w:color w:val="333333"/>
          <w:sz w:val="22"/>
          <w:szCs w:val="22"/>
        </w:rPr>
        <w:t xml:space="preserve">Uses XGBoost's tree structure to compute exact Shapley values in polynomial time. Each feature receives a signed contribution score indicating its positive (risk-increasing) or negative (risk-decreasing) impact.</w:t>
      </w:r>
    </w:p>
    <w:p>
      <w:pPr>
        <w:pStyle w:val="ListParagraph"/>
        <w:numPr>
          <w:ilvl w:val="0"/>
          <w:numId w:val="2"/>
        </w:numPr>
        <w:spacing w:after="60"/>
      </w:pPr>
      <w:r>
        <w:rPr>
          <w:rFonts w:ascii="Calibri" w:cs="Calibri" w:eastAsia="Calibri" w:hAnsi="Calibri"/>
          <w:b/>
          <w:bCs/>
          <w:color w:val="1A2332"/>
          <w:sz w:val="22"/>
          <w:szCs w:val="22"/>
        </w:rPr>
        <w:t xml:space="preserve">RF Fallback: </w:t>
      </w:r>
      <w:r>
        <w:rPr>
          <w:rFonts w:ascii="Calibri" w:cs="Calibri" w:eastAsia="Calibri" w:hAnsi="Calibri"/>
          <w:color w:val="333333"/>
          <w:sz w:val="22"/>
          <w:szCs w:val="22"/>
        </w:rPr>
        <w:t xml:space="preserve">If TreeExplainer fails, Random Forest feature_importances_ are multiplied by per-feature deviations from population means to produce approximate contribution scores.</w:t>
      </w:r>
    </w:p>
    <w:p>
      <w:pPr>
        <w:pStyle w:val="ListParagraph"/>
        <w:numPr>
          <w:ilvl w:val="0"/>
          <w:numId w:val="2"/>
        </w:numPr>
        <w:spacing w:after="60"/>
      </w:pPr>
      <w:r>
        <w:rPr>
          <w:rFonts w:ascii="Calibri" w:cs="Calibri" w:eastAsia="Calibri" w:hAnsi="Calibri"/>
          <w:b/>
          <w:bCs/>
          <w:color w:val="1A2332"/>
          <w:sz w:val="22"/>
          <w:szCs w:val="22"/>
        </w:rPr>
        <w:t xml:space="preserve">Frontend Integration: </w:t>
      </w:r>
      <w:r>
        <w:rPr>
          <w:rFonts w:ascii="Calibri" w:cs="Calibri" w:eastAsia="Calibri" w:hAnsi="Calibri"/>
          <w:color w:val="333333"/>
          <w:sz w:val="22"/>
          <w:szCs w:val="22"/>
        </w:rPr>
        <w:t xml:space="preserve">SHAP values are displayed inline in settlement results and as horizontal bar charts in the AI/ML tab. Compliance officers can review the AI reasoning behind every blocked transaction.</w:t>
      </w:r>
    </w:p>
    <w:p>
      <w:pPr>
        <w:pStyle w:val="ListParagraph"/>
        <w:numPr>
          <w:ilvl w:val="0"/>
          <w:numId w:val="2"/>
        </w:numPr>
        <w:spacing w:after="60"/>
      </w:pPr>
      <w:r>
        <w:rPr>
          <w:rFonts w:ascii="Calibri" w:cs="Calibri" w:eastAsia="Calibri" w:hAnsi="Calibri"/>
          <w:b/>
          <w:bCs/>
          <w:color w:val="1A2332"/>
          <w:sz w:val="22"/>
          <w:szCs w:val="22"/>
        </w:rPr>
        <w:t xml:space="preserve">API Response: </w:t>
      </w:r>
      <w:r>
        <w:rPr>
          <w:rFonts w:ascii="Calibri" w:cs="Calibri" w:eastAsia="Calibri" w:hAnsi="Calibri"/>
          <w:color w:val="333333"/>
          <w:sz w:val="22"/>
          <w:szCs w:val="22"/>
        </w:rPr>
        <w:t xml:space="preserve">The settlement API returns shap_values as a JSON dictionary with all 16 feature names mapped to their contribution scores.</w:t>
      </w:r>
    </w:p>
    <w:p>
      <w:pPr>
        <w:spacing w:after="80"/>
      </w:pPr>
    </w:p>
    <w:p>
      <w:pPr>
        <w:spacing w:after="120"/>
        <w:jc w:val="both"/>
      </w:pPr>
      <w:r>
        <w:rPr>
          <w:rFonts w:ascii="Calibri" w:cs="Calibri" w:eastAsia="Calibri" w:hAnsi="Calibri"/>
          <w:color w:val="333333"/>
          <w:sz w:val="22"/>
          <w:szCs w:val="22"/>
        </w:rPr>
        <w:t xml:space="preserve">This level of explainability satisfies emerging regulatory requirements under the EU AI Act, FinCEN's guidelines on algorithmic decision-making, and MAS's FEAT principles for responsible AI in financial services.</w:t>
      </w:r>
    </w:p>
    <w:p>
      <w:pPr>
        <w:spacing w:after="80"/>
      </w:pPr>
    </w:p>
    <w:p>
      <w:pPr>
        <w:pStyle w:val="Heading2"/>
        <w:spacing w:after="160" w:before="280"/>
      </w:pPr>
      <w:r>
        <w:rPr>
          <w:rFonts w:ascii="Calibri" w:cs="Calibri" w:eastAsia="Calibri" w:hAnsi="Calibri"/>
          <w:b/>
          <w:bCs/>
          <w:color w:val="1A2332"/>
          <w:sz w:val="26"/>
          <w:szCs w:val="26"/>
        </w:rPr>
        <w:t xml:space="preserve">5.4 Graph Analytics</w:t>
      </w:r>
    </w:p>
    <w:p>
      <w:pPr>
        <w:spacing w:after="120"/>
        <w:jc w:val="both"/>
      </w:pPr>
      <w:r>
        <w:rPr>
          <w:rFonts w:ascii="Calibri" w:cs="Calibri" w:eastAsia="Calibri" w:hAnsi="Calibri"/>
          <w:color w:val="333333"/>
          <w:sz w:val="22"/>
          <w:szCs w:val="22"/>
        </w:rPr>
        <w:t xml:space="preserve">NetworkX-based graph analysis provides PageRank centrality computation, label propagation community detection, and targeted cycle detection on the fraud subgraph to identify potential laundering rings. These graph-derived signals contribute 15% of the composite risk score.</w:t>
      </w:r>
    </w:p>
    <w:p>
      <w:pPr>
        <w:spacing w:after="80"/>
      </w:pPr>
    </w:p>
    <w:p>
      <w:pPr>
        <w:pStyle w:val="Heading2"/>
        <w:spacing w:after="160" w:before="280"/>
      </w:pPr>
      <w:r>
        <w:rPr>
          <w:rFonts w:ascii="Calibri" w:cs="Calibri" w:eastAsia="Calibri" w:hAnsi="Calibri"/>
          <w:b/>
          <w:bCs/>
          <w:color w:val="1A2332"/>
          <w:sz w:val="26"/>
          <w:szCs w:val="26"/>
        </w:rPr>
        <w:t xml:space="preserve">5.5 Continuous Learning</w:t>
      </w:r>
    </w:p>
    <w:p>
      <w:pPr>
        <w:spacing w:after="120"/>
        <w:jc w:val="both"/>
      </w:pPr>
      <w:r>
        <w:rPr>
          <w:rFonts w:ascii="Calibri" w:cs="Calibri" w:eastAsia="Calibri" w:hAnsi="Calibri"/>
          <w:color w:val="333333"/>
          <w:sz w:val="22"/>
          <w:szCs w:val="22"/>
        </w:rPr>
        <w:t xml:space="preserve">Authorized users (Admin and Data Scientist roles) can trigger on-demand model retraining, which regenerates synthetic data, retrains all five models on the 16-feature vector, recomputes graph analytics, and updates feature importance rankings without platform downtime.</w:t>
      </w:r>
    </w:p>
    <w:p>
      <w:r>
        <w:br w:type="page"/>
      </w:r>
    </w:p>
    <w:p>
      <w:pPr>
        <w:pStyle w:val="Heading1"/>
        <w:spacing w:after="200" w:before="360"/>
      </w:pPr>
      <w:r>
        <w:rPr>
          <w:rFonts w:ascii="Calibri" w:cs="Calibri" w:eastAsia="Calibri" w:hAnsi="Calibri"/>
          <w:b/>
          <w:bCs/>
          <w:color w:val="0C2340"/>
          <w:sz w:val="32"/>
          <w:szCs w:val="32"/>
        </w:rPr>
        <w:t xml:space="preserve">6. Four-Eyes Approval &amp; Operational Controls</w:t>
      </w:r>
    </w:p>
    <w:p>
      <w:pPr>
        <w:spacing w:after="120"/>
        <w:jc w:val="both"/>
      </w:pPr>
      <w:r>
        <w:rPr>
          <w:rFonts w:ascii="Calibri" w:cs="Calibri" w:eastAsia="Calibri" w:hAnsi="Calibri"/>
          <w:color w:val="333333"/>
          <w:sz w:val="22"/>
          <w:szCs w:val="22"/>
        </w:rPr>
        <w:t xml:space="preserve">IPTS v5.0 introduces a four-eyes dual approval mechanism that enforces segregation of duties for high-value transaction approvals, addressing a critical regulatory requirement for financial institutions.</w:t>
      </w:r>
    </w:p>
    <w:p>
      <w:pPr>
        <w:spacing w:after="80"/>
      </w:pPr>
    </w:p>
    <w:p>
      <w:pPr>
        <w:pStyle w:val="Heading2"/>
        <w:spacing w:after="160" w:before="280"/>
      </w:pPr>
      <w:r>
        <w:rPr>
          <w:rFonts w:ascii="Calibri" w:cs="Calibri" w:eastAsia="Calibri" w:hAnsi="Calibri"/>
          <w:b/>
          <w:bCs/>
          <w:color w:val="1A2332"/>
          <w:sz w:val="26"/>
          <w:szCs w:val="26"/>
        </w:rPr>
        <w:t xml:space="preserve">6.1 Four-Eyes Mechanism</w:t>
      </w:r>
    </w:p>
    <w:p>
      <w:pPr>
        <w:spacing w:after="120"/>
        <w:jc w:val="both"/>
      </w:pPr>
      <w:r>
        <w:rPr>
          <w:rFonts w:ascii="Calibri" w:cs="Calibri" w:eastAsia="Calibri" w:hAnsi="Calibri"/>
          <w:color w:val="333333"/>
          <w:sz w:val="22"/>
          <w:szCs w:val="22"/>
        </w:rPr>
        <w:t xml:space="preserve">Any blocked transaction with an amount &gt;= $100,000 requires approval from two independent compliance officers:</w:t>
      </w:r>
    </w:p>
    <w:p>
      <w:pPr>
        <w:spacing w:after="80"/>
      </w:pPr>
    </w:p>
    <w:p>
      <w:pPr>
        <w:spacing w:after="120"/>
        <w:jc w:val="both"/>
      </w:pPr>
      <w:r>
        <w:rPr>
          <w:rFonts w:ascii="Calibri" w:cs="Calibri" w:eastAsia="Calibri" w:hAnsi="Calibri"/>
          <w:b/>
          <w:bCs/>
          <w:color w:val="1A2332"/>
          <w:sz w:val="22"/>
          <w:szCs w:val="22"/>
        </w:rPr>
        <w:t xml:space="preserve">Step 1 — First Approval: </w:t>
      </w:r>
      <w:r>
        <w:rPr>
          <w:rFonts w:ascii="Calibri" w:cs="Calibri" w:eastAsia="Calibri" w:hAnsi="Calibri"/>
          <w:color w:val="333333"/>
          <w:sz w:val="22"/>
          <w:szCs w:val="22"/>
        </w:rPr>
        <w:t xml:space="preserve">A compliance officer reviews the transaction in the HITL queue and clicks Approve. The system records this as the first approval and updates the status to 'awaiting_second_approval'.</w:t>
      </w:r>
    </w:p>
    <w:p>
      <w:pPr>
        <w:spacing w:after="120"/>
        <w:jc w:val="both"/>
      </w:pPr>
      <w:r>
        <w:rPr>
          <w:rFonts w:ascii="Calibri" w:cs="Calibri" w:eastAsia="Calibri" w:hAnsi="Calibri"/>
          <w:b/>
          <w:bCs/>
          <w:color w:val="1A2332"/>
          <w:sz w:val="22"/>
          <w:szCs w:val="22"/>
        </w:rPr>
        <w:t xml:space="preserve">Step 2 — Enforcement: </w:t>
      </w:r>
      <w:r>
        <w:rPr>
          <w:rFonts w:ascii="Calibri" w:cs="Calibri" w:eastAsia="Calibri" w:hAnsi="Calibri"/>
          <w:color w:val="333333"/>
          <w:sz w:val="22"/>
          <w:szCs w:val="22"/>
        </w:rPr>
        <w:t xml:space="preserve">The system prevents the same user from providing the second approval. An alert dialog informs the first approver that a different officer must confirm.</w:t>
      </w:r>
    </w:p>
    <w:p>
      <w:pPr>
        <w:spacing w:after="120"/>
        <w:jc w:val="both"/>
      </w:pPr>
      <w:r>
        <w:rPr>
          <w:rFonts w:ascii="Calibri" w:cs="Calibri" w:eastAsia="Calibri" w:hAnsi="Calibri"/>
          <w:b/>
          <w:bCs/>
          <w:color w:val="1A2332"/>
          <w:sz w:val="22"/>
          <w:szCs w:val="22"/>
        </w:rPr>
        <w:t xml:space="preserve">Step 3 — Second Approval: </w:t>
      </w:r>
      <w:r>
        <w:rPr>
          <w:rFonts w:ascii="Calibri" w:cs="Calibri" w:eastAsia="Calibri" w:hAnsi="Calibri"/>
          <w:color w:val="333333"/>
          <w:sz w:val="22"/>
          <w:szCs w:val="22"/>
        </w:rPr>
        <w:t xml:space="preserve">A different compliance officer reviews and approves. The transaction is then released for blockchain settlement.</w:t>
      </w:r>
    </w:p>
    <w:p>
      <w:pPr>
        <w:spacing w:after="80"/>
      </w:pPr>
    </w:p>
    <w:p>
      <w:pPr>
        <w:spacing w:after="120"/>
        <w:jc w:val="both"/>
      </w:pPr>
      <w:r>
        <w:rPr>
          <w:rFonts w:ascii="Calibri" w:cs="Calibri" w:eastAsia="Calibri" w:hAnsi="Calibri"/>
          <w:color w:val="333333"/>
          <w:sz w:val="22"/>
          <w:szCs w:val="22"/>
        </w:rPr>
        <w:t xml:space="preserve">The HITL queue displays three-state badges: 'Required' (orange, no approvals yet), '1 of 2' (yellow, first approval recorded), and '2 of 2' (green, fully approved). All approval actions are logged to the audit trail with officer identity, timestamp, and the four-eyes approval record.</w:t>
      </w:r>
    </w:p>
    <w:p>
      <w:pPr>
        <w:spacing w:after="80"/>
      </w:pPr>
    </w:p>
    <w:p>
      <w:pPr>
        <w:pStyle w:val="Heading2"/>
        <w:spacing w:after="160" w:before="280"/>
      </w:pPr>
      <w:r>
        <w:rPr>
          <w:rFonts w:ascii="Calibri" w:cs="Calibri" w:eastAsia="Calibri" w:hAnsi="Calibri"/>
          <w:b/>
          <w:bCs/>
          <w:color w:val="1A2332"/>
          <w:sz w:val="26"/>
          <w:szCs w:val="26"/>
        </w:rPr>
        <w:t xml:space="preserve">6.2 SLA Tracking</w:t>
      </w:r>
    </w:p>
    <w:p>
      <w:pPr>
        <w:spacing w:after="120"/>
        <w:jc w:val="both"/>
      </w:pPr>
      <w:r>
        <w:rPr>
          <w:rFonts w:ascii="Calibri" w:cs="Calibri" w:eastAsia="Calibri" w:hAnsi="Calibri"/>
          <w:color w:val="333333"/>
          <w:sz w:val="22"/>
          <w:szCs w:val="22"/>
        </w:rPr>
        <w:t xml:space="preserve">Compliance cases are assigned SLA windows based on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Severity</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SLA Window</w:t>
            </w:r>
          </w:p>
        </w:tc>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Use Case</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CRITICAL</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Sanctions matches, terrorist financing alerts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HIGH</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24 hours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High-value blocked transactions, structuring</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B8860B"/>
                <w:sz w:val="20"/>
                <w:szCs w:val="20"/>
              </w:rPr>
              <w:t xml:space="preserve">MEDIUM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72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AML-flagged transactions, jurisdiction risk</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168 hours (7 days)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Routine review, informational alerts</w:t>
            </w:r>
          </w:p>
        </w:tc>
      </w:tr>
    </w:tbl>
    <w:p>
      <w:pPr>
        <w:spacing w:after="80"/>
      </w:pPr>
    </w:p>
    <w:p>
      <w:pPr>
        <w:spacing w:after="120"/>
        <w:jc w:val="both"/>
      </w:pPr>
      <w:r>
        <w:rPr>
          <w:rFonts w:ascii="Calibri" w:cs="Calibri" w:eastAsia="Calibri" w:hAnsi="Calibri"/>
          <w:color w:val="333333"/>
          <w:sz w:val="22"/>
          <w:szCs w:val="22"/>
        </w:rPr>
        <w:t xml:space="preserve">The frontend displays countdown badges in the Case Management tab. Cases approaching SLA breach are highlighted in red to ensure timely resolution.</w:t>
      </w:r>
    </w:p>
    <w:p>
      <w:pPr>
        <w:spacing w:after="80"/>
      </w:pPr>
    </w:p>
    <w:p>
      <w:pPr>
        <w:pStyle w:val="Heading2"/>
        <w:spacing w:after="160" w:before="280"/>
      </w:pPr>
      <w:r>
        <w:rPr>
          <w:rFonts w:ascii="Calibri" w:cs="Calibri" w:eastAsia="Calibri" w:hAnsi="Calibri"/>
          <w:b/>
          <w:bCs/>
          <w:color w:val="1A2332"/>
          <w:sz w:val="26"/>
          <w:szCs w:val="26"/>
        </w:rPr>
        <w:t xml:space="preserve">6.3 Health Monitoring</w:t>
      </w:r>
    </w:p>
    <w:p>
      <w:pPr>
        <w:spacing w:after="120"/>
        <w:jc w:val="both"/>
      </w:pPr>
      <w:r>
        <w:rPr>
          <w:rFonts w:ascii="Calibri" w:cs="Calibri" w:eastAsia="Calibri" w:hAnsi="Calibri"/>
          <w:color w:val="333333"/>
          <w:sz w:val="22"/>
          <w:szCs w:val="22"/>
        </w:rPr>
        <w:t xml:space="preserve">The /api/health endpoint reports the status of all critical components (Flask API, Ganache blockchain, ML models, database). The frontend polls this every 30 seconds and displays a colored status dot: green (all systems healthy), yellow (degraded), red (offline). This provides continuous operational awareness without manual checks.</w:t>
      </w:r>
    </w:p>
    <w:p>
      <w:r>
        <w:br w:type="page"/>
      </w:r>
    </w:p>
    <w:p>
      <w:pPr>
        <w:pStyle w:val="Heading1"/>
        <w:spacing w:after="200" w:before="360"/>
      </w:pPr>
      <w:r>
        <w:rPr>
          <w:rFonts w:ascii="Calibri" w:cs="Calibri" w:eastAsia="Calibri" w:hAnsi="Calibri"/>
          <w:b/>
          <w:bCs/>
          <w:color w:val="0C2340"/>
          <w:sz w:val="32"/>
          <w:szCs w:val="32"/>
        </w:rPr>
        <w:t xml:space="preserve">7. Multi-Currency FX Engine</w:t>
      </w:r>
    </w:p>
    <w:p>
      <w:pPr>
        <w:spacing w:after="120"/>
        <w:jc w:val="both"/>
      </w:pPr>
      <w:r>
        <w:rPr>
          <w:rFonts w:ascii="Calibri" w:cs="Calibri" w:eastAsia="Calibri" w:hAnsi="Calibri"/>
          <w:color w:val="333333"/>
          <w:sz w:val="22"/>
          <w:szCs w:val="22"/>
        </w:rPr>
        <w:t xml:space="preserve">IPTS v4.0 supports real-time foreign exchange conversion across 13 currencies, enabling true multi-currency cross-border settlements.</w:t>
      </w:r>
    </w:p>
    <w:p>
      <w:pPr>
        <w:spacing w:after="80"/>
      </w:pPr>
    </w:p>
    <w:p>
      <w:pPr>
        <w:pStyle w:val="Heading2"/>
        <w:spacing w:after="160" w:before="280"/>
      </w:pPr>
      <w:r>
        <w:rPr>
          <w:rFonts w:ascii="Calibri" w:cs="Calibri" w:eastAsia="Calibri" w:hAnsi="Calibri"/>
          <w:b/>
          <w:bCs/>
          <w:color w:val="1A2332"/>
          <w:sz w:val="26"/>
          <w:szCs w:val="26"/>
        </w:rPr>
        <w:t xml:space="preserve">7.1 Capabilities</w:t>
      </w:r>
    </w:p>
    <w:p>
      <w:pPr>
        <w:pStyle w:val="ListParagraph"/>
        <w:numPr>
          <w:ilvl w:val="0"/>
          <w:numId w:val="2"/>
        </w:numPr>
        <w:spacing w:after="60"/>
      </w:pPr>
      <w:r>
        <w:rPr>
          <w:rFonts w:ascii="Calibri" w:cs="Calibri" w:eastAsia="Calibri" w:hAnsi="Calibri"/>
          <w:color w:val="333333"/>
          <w:sz w:val="22"/>
          <w:szCs w:val="22"/>
        </w:rPr>
        <w:t xml:space="preserve">Live exchange rates via /api/fx/rates endpoint with rates relative to USD</w:t>
      </w:r>
    </w:p>
    <w:p>
      <w:pPr>
        <w:pStyle w:val="ListParagraph"/>
        <w:numPr>
          <w:ilvl w:val="0"/>
          <w:numId w:val="2"/>
        </w:numPr>
        <w:spacing w:after="60"/>
      </w:pPr>
      <w:r>
        <w:rPr>
          <w:rFonts w:ascii="Calibri" w:cs="Calibri" w:eastAsia="Calibri" w:hAnsi="Calibri"/>
          <w:color w:val="333333"/>
          <w:sz w:val="22"/>
          <w:szCs w:val="22"/>
        </w:rPr>
        <w:t xml:space="preserve">Payment form currency selector with automatic FX preview showing USD equivalent</w:t>
      </w:r>
    </w:p>
    <w:p>
      <w:pPr>
        <w:pStyle w:val="ListParagraph"/>
        <w:numPr>
          <w:ilvl w:val="0"/>
          <w:numId w:val="2"/>
        </w:numPr>
        <w:spacing w:after="60"/>
      </w:pPr>
      <w:r>
        <w:rPr>
          <w:rFonts w:ascii="Calibri" w:cs="Calibri" w:eastAsia="Calibri" w:hAnsi="Calibri"/>
          <w:color w:val="333333"/>
          <w:sz w:val="22"/>
          <w:szCs w:val="22"/>
        </w:rPr>
        <w:t xml:space="preserve">AML jurisdiction warnings for high-risk currencies (BRL, CNY, INR, AED, SAR)</w:t>
      </w:r>
    </w:p>
    <w:p>
      <w:pPr>
        <w:pStyle w:val="ListParagraph"/>
        <w:numPr>
          <w:ilvl w:val="0"/>
          <w:numId w:val="2"/>
        </w:numPr>
        <w:spacing w:after="60"/>
      </w:pPr>
      <w:r>
        <w:rPr>
          <w:rFonts w:ascii="Calibri" w:cs="Calibri" w:eastAsia="Calibri" w:hAnsi="Calibri"/>
          <w:color w:val="333333"/>
          <w:sz w:val="22"/>
          <w:szCs w:val="22"/>
        </w:rPr>
        <w:t xml:space="preserve">Standalone FX converter tool in the Compliance tab for ad-hoc conversions</w:t>
      </w:r>
    </w:p>
    <w:p>
      <w:pPr>
        <w:pStyle w:val="ListParagraph"/>
        <w:numPr>
          <w:ilvl w:val="0"/>
          <w:numId w:val="2"/>
        </w:numPr>
        <w:spacing w:after="60"/>
      </w:pPr>
      <w:r>
        <w:rPr>
          <w:rFonts w:ascii="Calibri" w:cs="Calibri" w:eastAsia="Calibri" w:hAnsi="Calibri"/>
          <w:color w:val="333333"/>
          <w:sz w:val="22"/>
          <w:szCs w:val="22"/>
        </w:rPr>
        <w:t xml:space="preserve">All settlements are ultimately denominated in USD for blockchain recording</w:t>
      </w:r>
    </w:p>
    <w:p>
      <w:pPr>
        <w:spacing w:after="80"/>
      </w:pPr>
    </w:p>
    <w:p>
      <w:pPr>
        <w:pStyle w:val="Heading2"/>
        <w:spacing w:after="160" w:before="280"/>
      </w:pPr>
      <w:r>
        <w:rPr>
          <w:rFonts w:ascii="Calibri" w:cs="Calibri" w:eastAsia="Calibri" w:hAnsi="Calibri"/>
          <w:b/>
          <w:bCs/>
          <w:color w:val="1A2332"/>
          <w:sz w:val="26"/>
          <w:szCs w:val="26"/>
        </w:rPr>
        <w:t xml:space="preserve">7.2 Supported Currencies</w:t>
      </w:r>
    </w:p>
    <w:p>
      <w:pPr>
        <w:spacing w:after="120"/>
        <w:jc w:val="both"/>
      </w:pPr>
      <w:r>
        <w:rPr>
          <w:rFonts w:ascii="Calibri" w:cs="Calibri" w:eastAsia="Calibri" w:hAnsi="Calibri"/>
          <w:color w:val="333333"/>
          <w:sz w:val="22"/>
          <w:szCs w:val="22"/>
        </w:rPr>
        <w:t xml:space="preserve">The FX engine supports: USD, EUR, GBP, JPY, CHF, AUD, CAD, CNY, INR, SGD, AED, SAR, and BRL. Currencies from elevated-risk jurisdictions (CNY, INR, BRL, AED, SAR) trigger automatic AML warning banners in the payment form, alerting the operator to enhanced due diligence requirements.</w:t>
      </w:r>
    </w:p>
    <w:p>
      <w:r>
        <w:br w:type="page"/>
      </w:r>
    </w:p>
    <w:p>
      <w:pPr>
        <w:pStyle w:val="Heading1"/>
        <w:spacing w:after="200" w:before="360"/>
      </w:pPr>
      <w:r>
        <w:rPr>
          <w:rFonts w:ascii="Calibri" w:cs="Calibri" w:eastAsia="Calibri" w:hAnsi="Calibri"/>
          <w:b/>
          <w:bCs/>
          <w:color w:val="0C2340"/>
          <w:sz w:val="32"/>
          <w:szCs w:val="32"/>
        </w:rPr>
        <w:t xml:space="preserve">8. Security &amp; Compliance</w:t>
      </w:r>
    </w:p>
    <w:p>
      <w:pPr>
        <w:spacing w:after="120"/>
        <w:jc w:val="both"/>
      </w:pPr>
      <w:r>
        <w:rPr>
          <w:rFonts w:ascii="Calibri" w:cs="Calibri" w:eastAsia="Calibri" w:hAnsi="Calibri"/>
          <w:color w:val="333333"/>
          <w:sz w:val="22"/>
          <w:szCs w:val="22"/>
        </w:rPr>
        <w:t xml:space="preserve">IPTS implements defense-in-depth security across all layers, combining Zero Trust access control, four-eyes approval, GDPR-compliant data sovereignty, and comprehensive regulatory mapping.</w:t>
      </w:r>
    </w:p>
    <w:p>
      <w:pPr>
        <w:spacing w:after="80"/>
      </w:pPr>
    </w:p>
    <w:p>
      <w:pPr>
        <w:pStyle w:val="Heading2"/>
        <w:spacing w:after="160" w:before="280"/>
      </w:pPr>
      <w:r>
        <w:rPr>
          <w:rFonts w:ascii="Calibri" w:cs="Calibri" w:eastAsia="Calibri" w:hAnsi="Calibri"/>
          <w:b/>
          <w:bCs/>
          <w:color w:val="1A2332"/>
          <w:sz w:val="26"/>
          <w:szCs w:val="26"/>
        </w:rPr>
        <w:t xml:space="preserve">8.1 Zero Trust Architecture</w:t>
      </w:r>
    </w:p>
    <w:p>
      <w:pPr>
        <w:pStyle w:val="ListParagraph"/>
        <w:numPr>
          <w:ilvl w:val="0"/>
          <w:numId w:val="2"/>
        </w:numPr>
        <w:spacing w:after="60"/>
      </w:pPr>
      <w:r>
        <w:rPr>
          <w:rFonts w:ascii="Calibri" w:cs="Calibri" w:eastAsia="Calibri" w:hAnsi="Calibri"/>
          <w:b/>
          <w:bCs/>
          <w:color w:val="1A2332"/>
          <w:sz w:val="22"/>
          <w:szCs w:val="22"/>
        </w:rPr>
        <w:t xml:space="preserve">JWT Authentication: </w:t>
      </w:r>
      <w:r>
        <w:rPr>
          <w:rFonts w:ascii="Calibri" w:cs="Calibri" w:eastAsia="Calibri" w:hAnsi="Calibri"/>
          <w:color w:val="333333"/>
          <w:sz w:val="22"/>
          <w:szCs w:val="22"/>
        </w:rPr>
        <w:t xml:space="preserve">HS256 tokens with 1-hour expiry, validated via @zero_trust_required decorator on every endpoint.</w:t>
      </w:r>
    </w:p>
    <w:p>
      <w:pPr>
        <w:pStyle w:val="ListParagraph"/>
        <w:numPr>
          <w:ilvl w:val="0"/>
          <w:numId w:val="2"/>
        </w:numPr>
        <w:spacing w:after="60"/>
      </w:pPr>
      <w:r>
        <w:rPr>
          <w:rFonts w:ascii="Calibri" w:cs="Calibri" w:eastAsia="Calibri" w:hAnsi="Calibri"/>
          <w:b/>
          <w:bCs/>
          <w:color w:val="1A2332"/>
          <w:sz w:val="22"/>
          <w:szCs w:val="22"/>
        </w:rPr>
        <w:t xml:space="preserve">RBAC: </w:t>
      </w:r>
      <w:r>
        <w:rPr>
          <w:rFonts w:ascii="Calibri" w:cs="Calibri" w:eastAsia="Calibri" w:hAnsi="Calibri"/>
          <w:color w:val="333333"/>
          <w:sz w:val="22"/>
          <w:szCs w:val="22"/>
        </w:rPr>
        <w:t xml:space="preserve">5 roles (Admin, Operator, Auditor, Compliance, Data Scientist) with granular 11-feature permission matrix.</w:t>
      </w:r>
    </w:p>
    <w:p>
      <w:pPr>
        <w:pStyle w:val="ListParagraph"/>
        <w:numPr>
          <w:ilvl w:val="0"/>
          <w:numId w:val="2"/>
        </w:numPr>
        <w:spacing w:after="60"/>
      </w:pPr>
      <w:r>
        <w:rPr>
          <w:rFonts w:ascii="Calibri" w:cs="Calibri" w:eastAsia="Calibri" w:hAnsi="Calibri"/>
          <w:b/>
          <w:bCs/>
          <w:color w:val="1A2332"/>
          <w:sz w:val="22"/>
          <w:szCs w:val="22"/>
        </w:rPr>
        <w:t xml:space="preserve">Four-Eyes: </w:t>
      </w:r>
      <w:r>
        <w:rPr>
          <w:rFonts w:ascii="Calibri" w:cs="Calibri" w:eastAsia="Calibri" w:hAnsi="Calibri"/>
          <w:color w:val="333333"/>
          <w:sz w:val="22"/>
          <w:szCs w:val="22"/>
        </w:rPr>
        <w:t xml:space="preserve">Dual approval for transactions &gt;= $100K with same-user enforcement.</w:t>
      </w:r>
    </w:p>
    <w:p>
      <w:pPr>
        <w:pStyle w:val="ListParagraph"/>
        <w:numPr>
          <w:ilvl w:val="0"/>
          <w:numId w:val="2"/>
        </w:numPr>
        <w:spacing w:after="60"/>
      </w:pPr>
      <w:r>
        <w:rPr>
          <w:rFonts w:ascii="Calibri" w:cs="Calibri" w:eastAsia="Calibri" w:hAnsi="Calibri"/>
          <w:b/>
          <w:bCs/>
          <w:color w:val="1A2332"/>
          <w:sz w:val="22"/>
          <w:szCs w:val="22"/>
        </w:rPr>
        <w:t xml:space="preserve">Rate Limiting: </w:t>
      </w:r>
      <w:r>
        <w:rPr>
          <w:rFonts w:ascii="Calibri" w:cs="Calibri" w:eastAsia="Calibri" w:hAnsi="Calibri"/>
          <w:color w:val="333333"/>
          <w:sz w:val="22"/>
          <w:szCs w:val="22"/>
        </w:rPr>
        <w:t xml:space="preserve">100 requests per minute per IP.</w:t>
      </w:r>
    </w:p>
    <w:p>
      <w:pPr>
        <w:pStyle w:val="ListParagraph"/>
        <w:numPr>
          <w:ilvl w:val="0"/>
          <w:numId w:val="2"/>
        </w:numPr>
        <w:spacing w:after="60"/>
      </w:pPr>
      <w:r>
        <w:rPr>
          <w:rFonts w:ascii="Calibri" w:cs="Calibri" w:eastAsia="Calibri" w:hAnsi="Calibri"/>
          <w:b/>
          <w:bCs/>
          <w:color w:val="1A2332"/>
          <w:sz w:val="22"/>
          <w:szCs w:val="22"/>
        </w:rPr>
        <w:t xml:space="preserve">Security Headers: </w:t>
      </w:r>
      <w:r>
        <w:rPr>
          <w:rFonts w:ascii="Calibri" w:cs="Calibri" w:eastAsia="Calibri" w:hAnsi="Calibri"/>
          <w:color w:val="333333"/>
          <w:sz w:val="22"/>
          <w:szCs w:val="22"/>
        </w:rPr>
        <w:t xml:space="preserve">HSTS, X-Frame-Options: DENY, X-XSS-Protection, X-Content-Type-Options: nosniff.</w:t>
      </w:r>
    </w:p>
    <w:p>
      <w:pPr>
        <w:spacing w:after="80"/>
      </w:pPr>
    </w:p>
    <w:p>
      <w:pPr>
        <w:pStyle w:val="Heading2"/>
        <w:spacing w:after="160" w:before="280"/>
      </w:pPr>
      <w:r>
        <w:rPr>
          <w:rFonts w:ascii="Calibri" w:cs="Calibri" w:eastAsia="Calibri" w:hAnsi="Calibri"/>
          <w:b/>
          <w:bCs/>
          <w:color w:val="1A2332"/>
          <w:sz w:val="26"/>
          <w:szCs w:val="26"/>
        </w:rPr>
        <w:t xml:space="preserve">8.2 GDPR Dual-Storage</w:t>
      </w:r>
    </w:p>
    <w:p>
      <w:pPr>
        <w:spacing w:after="120"/>
        <w:jc w:val="both"/>
      </w:pPr>
      <w:r>
        <w:rPr>
          <w:rFonts w:ascii="Calibri" w:cs="Calibri" w:eastAsia="Calibri" w:hAnsi="Calibri"/>
          <w:color w:val="333333"/>
          <w:sz w:val="22"/>
          <w:szCs w:val="22"/>
        </w:rPr>
        <w:t xml:space="preserve">On-chain blockchain ledger stores settlement records with SHA-256 hash anchors. Off-chain SQLite vault stores encrypted PII with consent tracking. Right-to-erasure API anonymizes PII while preserving on-chain hash integrity.</w:t>
      </w:r>
    </w:p>
    <w:p>
      <w:pPr>
        <w:spacing w:after="80"/>
      </w:pPr>
    </w:p>
    <w:p>
      <w:pPr>
        <w:pStyle w:val="Heading2"/>
        <w:spacing w:after="160" w:before="280"/>
      </w:pPr>
      <w:r>
        <w:rPr>
          <w:rFonts w:ascii="Calibri" w:cs="Calibri" w:eastAsia="Calibri" w:hAnsi="Calibri"/>
          <w:b/>
          <w:bCs/>
          <w:color w:val="1A2332"/>
          <w:sz w:val="26"/>
          <w:szCs w:val="26"/>
        </w:rPr>
        <w:t xml:space="preserve">8.3 Regulatory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Regulation</w:t>
            </w:r>
          </w:p>
        </w:tc>
        <w:tc>
          <w:tcPr>
            <w:tcW w:type="dxa" w:w="3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Requirement</w:t>
            </w:r>
          </w:p>
        </w:tc>
        <w:tc>
          <w:tcPr>
            <w:tcW w:type="dxa" w:w="3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IPTS Implementation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FATF Travel Rule</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Originator/beneficiary info on transfers &gt; $1,000</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payload with full counterparty data anchored on-chain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EU AI Act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Algorithmic explainability for high-risk AI systems</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Per-transaction SHAP values with 16-feature decomposition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6AMLD (EU)</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Enhanced due diligence, predicate offence coverage</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 NLP + graph analytics for risk scoring</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GDPR</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minimization, right to erasure, consent management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Off-chain PII vault with hash anchoring, erasure API, consent tracking</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FinCEN BSA</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SAR filing, CTR reporting, AML program requirements</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Automated SAR filing, $100K auto-block, case management, four-eyes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PCI DSS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Secure data, access controls, monitoring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AES-256 at rest, TLS 1.3 in transit, audit logging, RBAC, health monitoring</w:t>
            </w:r>
          </w:p>
        </w:tc>
      </w:tr>
    </w:tbl>
    <w:p>
      <w:r>
        <w:br w:type="page"/>
      </w:r>
    </w:p>
    <w:p>
      <w:pPr>
        <w:pStyle w:val="Heading1"/>
        <w:spacing w:after="200" w:before="360"/>
      </w:pPr>
      <w:r>
        <w:rPr>
          <w:rFonts w:ascii="Calibri" w:cs="Calibri" w:eastAsia="Calibri" w:hAnsi="Calibri"/>
          <w:b/>
          <w:bCs/>
          <w:color w:val="0C2340"/>
          <w:sz w:val="32"/>
          <w:szCs w:val="32"/>
        </w:rPr>
        <w:t xml:space="preserve">9. ROI Analysis</w:t>
      </w:r>
    </w:p>
    <w:p>
      <w:pPr>
        <w:spacing w:after="120"/>
        <w:jc w:val="both"/>
      </w:pPr>
      <w:r>
        <w:rPr>
          <w:rFonts w:ascii="Calibri" w:cs="Calibri" w:eastAsia="Calibri" w:hAnsi="Calibri"/>
          <w:color w:val="333333"/>
          <w:sz w:val="22"/>
          <w:szCs w:val="22"/>
        </w:rPr>
        <w:t xml:space="preserve">The financial case for IPTS is built on quantifiable cost reductions across compliance operations, settlement processing, fraud losses, and trapped liquidity.</w:t>
      </w:r>
    </w:p>
    <w:p>
      <w:pPr>
        <w:spacing w:after="80"/>
      </w:pPr>
    </w:p>
    <w:p>
      <w:pPr>
        <w:pStyle w:val="Heading2"/>
        <w:spacing w:after="160" w:before="280"/>
      </w:pPr>
      <w:r>
        <w:rPr>
          <w:rFonts w:ascii="Calibri" w:cs="Calibri" w:eastAsia="Calibri" w:hAnsi="Calibri"/>
          <w:b/>
          <w:bCs/>
          <w:color w:val="1A2332"/>
          <w:sz w:val="26"/>
          <w:szCs w:val="26"/>
        </w:rPr>
        <w:t xml:space="preserve">9.1 Annual Cost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c>
          <w:tcPr>
            <w:tcW w:type="dxa" w:w="3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Category</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Current ($M)</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With IPTS ($M)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Operations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Processing</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$0.55M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Losses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$1.80M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$0.40M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Trapped Liquidity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$0.30M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Fines (Avg)</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$0.50M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$0.20M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TOTAL ANNUAL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$10.20M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w:t>
            </w:r>
          </w:p>
        </w:tc>
      </w:tr>
    </w:tbl>
    <w:p>
      <w:pPr>
        <w:spacing w:after="80"/>
      </w:pPr>
    </w:p>
    <w:p>
      <w:pPr>
        <w:spacing w:after="120"/>
        <w:jc w:val="both"/>
      </w:pPr>
      <w:r>
        <w:rPr>
          <w:rFonts w:ascii="Calibri" w:cs="Calibri" w:eastAsia="Calibri" w:hAnsi="Calibri"/>
          <w:b/>
          <w:bCs/>
          <w:color w:val="1A2332"/>
          <w:sz w:val="22"/>
          <w:szCs w:val="22"/>
        </w:rPr>
        <w:t xml:space="preserve">Annual Savings: </w:t>
      </w:r>
      <w:r>
        <w:rPr>
          <w:rFonts w:ascii="Calibri" w:cs="Calibri" w:eastAsia="Calibri" w:hAnsi="Calibri"/>
          <w:color w:val="333333"/>
          <w:sz w:val="22"/>
          <w:szCs w:val="22"/>
        </w:rPr>
        <w:t xml:space="preserve">$7.65M (75% reduction in operational costs)</w:t>
      </w:r>
    </w:p>
    <w:p>
      <w:pPr>
        <w:spacing w:after="80"/>
      </w:pPr>
    </w:p>
    <w:p>
      <w:pPr>
        <w:pStyle w:val="Heading2"/>
        <w:spacing w:after="160" w:before="280"/>
      </w:pPr>
      <w:r>
        <w:rPr>
          <w:rFonts w:ascii="Calibri" w:cs="Calibri" w:eastAsia="Calibri" w:hAnsi="Calibri"/>
          <w:b/>
          <w:bCs/>
          <w:color w:val="1A2332"/>
          <w:sz w:val="26"/>
          <w:szCs w:val="26"/>
        </w:rPr>
        <w:t xml:space="preserve">9.2 3-Year ROI Projection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1</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2</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3</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Investment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$3.20M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$4.00M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$4.80M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Savings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$15.30M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$22.95M</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Net Benefit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$4.45M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$11.30M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$18.15M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ROI</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+139%</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+238%</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b/>
          <w:bCs/>
          <w:color w:val="1A2332"/>
          <w:sz w:val="22"/>
          <w:szCs w:val="22"/>
        </w:rPr>
        <w:t xml:space="preserve">Payback Period: </w:t>
      </w:r>
      <w:r>
        <w:rPr>
          <w:rFonts w:ascii="Calibri" w:cs="Calibri" w:eastAsia="Calibri" w:hAnsi="Calibri"/>
          <w:color w:val="333333"/>
          <w:sz w:val="22"/>
          <w:szCs w:val="22"/>
        </w:rPr>
        <w:t xml:space="preserve">5 months from initial deployment.</w:t>
      </w:r>
    </w:p>
    <w:p>
      <w:r>
        <w:br w:type="page"/>
      </w:r>
    </w:p>
    <w:p>
      <w:pPr>
        <w:pStyle w:val="Heading1"/>
        <w:spacing w:after="200" w:before="360"/>
      </w:pPr>
      <w:r>
        <w:rPr>
          <w:rFonts w:ascii="Calibri" w:cs="Calibri" w:eastAsia="Calibri" w:hAnsi="Calibri"/>
          <w:b/>
          <w:bCs/>
          <w:color w:val="0C2340"/>
          <w:sz w:val="32"/>
          <w:szCs w:val="32"/>
        </w:rPr>
        <w:t xml:space="preserve">10. Total Cost of Ownership (TCO)</w:t>
      </w:r>
    </w:p>
    <w:p>
      <w:pPr>
        <w:spacing w:after="120"/>
        <w:jc w:val="both"/>
      </w:pPr>
      <w:r>
        <w:rPr>
          <w:rFonts w:ascii="Calibri" w:cs="Calibri" w:eastAsia="Calibri" w:hAnsi="Calibri"/>
          <w:color w:val="333333"/>
          <w:sz w:val="22"/>
          <w:szCs w:val="22"/>
        </w:rPr>
        <w:t xml:space="preserve">The TCO model captures all costs over a 3-year horizon.</w:t>
      </w:r>
    </w:p>
    <w:p>
      <w:pPr>
        <w:spacing w:after="80"/>
      </w:pPr>
    </w:p>
    <w:p>
      <w:pPr>
        <w:pStyle w:val="Heading2"/>
        <w:spacing w:after="160" w:before="280"/>
      </w:pPr>
      <w:r>
        <w:rPr>
          <w:rFonts w:ascii="Calibri" w:cs="Calibri" w:eastAsia="Calibri" w:hAnsi="Calibri"/>
          <w:b/>
          <w:bCs/>
          <w:color w:val="1A2332"/>
          <w:sz w:val="26"/>
          <w:szCs w:val="26"/>
        </w:rPr>
        <w:t xml:space="preserve">10.1 Year 1 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Component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 of Total</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Platform Development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37.5%</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AI/ML Development &amp; Training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12.5%</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Infrastructure</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$350,000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10.9%</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Security &amp; Compliance Tooling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$250,000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7.8%</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Cloud Infrastructure &amp; Hosting</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$480,000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15.0%</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&amp; Testing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$320,000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Training &amp; Change Management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6.3%</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YEAR 1 TOTAL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$3,200,000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100%</w:t>
            </w:r>
          </w:p>
        </w:tc>
      </w:tr>
    </w:tbl>
    <w:p>
      <w:pPr>
        <w:spacing w:after="80"/>
      </w:pPr>
    </w:p>
    <w:p>
      <w:pPr>
        <w:pStyle w:val="Heading2"/>
        <w:spacing w:after="160" w:before="280"/>
      </w:pPr>
      <w:r>
        <w:rPr>
          <w:rFonts w:ascii="Calibri" w:cs="Calibri" w:eastAsia="Calibri" w:hAnsi="Calibri"/>
          <w:b/>
          <w:bCs/>
          <w:color w:val="1A2332"/>
          <w:sz w:val="26"/>
          <w:szCs w:val="26"/>
        </w:rPr>
        <w:t xml:space="preserve">10.2 3-Year Summary</w:t>
      </w:r>
    </w:p>
    <w:p>
      <w:pPr>
        <w:pStyle w:val="ListParagraph"/>
        <w:numPr>
          <w:ilvl w:val="0"/>
          <w:numId w:val="2"/>
        </w:numPr>
        <w:spacing w:after="60"/>
      </w:pPr>
      <w:r>
        <w:rPr>
          <w:rFonts w:ascii="Calibri" w:cs="Calibri" w:eastAsia="Calibri" w:hAnsi="Calibri"/>
          <w:b/>
          <w:bCs/>
          <w:color w:val="1A2332"/>
          <w:sz w:val="22"/>
          <w:szCs w:val="22"/>
        </w:rPr>
        <w:t xml:space="preserve">Year 1: </w:t>
      </w:r>
      <w:r>
        <w:rPr>
          <w:rFonts w:ascii="Calibri" w:cs="Calibri" w:eastAsia="Calibri" w:hAnsi="Calibri"/>
          <w:color w:val="333333"/>
          <w:sz w:val="22"/>
          <w:szCs w:val="22"/>
        </w:rPr>
        <w:t xml:space="preserve">$3,200,000 (initial development + infrastructure)</w:t>
      </w:r>
    </w:p>
    <w:p>
      <w:pPr>
        <w:pStyle w:val="ListParagraph"/>
        <w:numPr>
          <w:ilvl w:val="0"/>
          <w:numId w:val="2"/>
        </w:numPr>
        <w:spacing w:after="60"/>
      </w:pPr>
      <w:r>
        <w:rPr>
          <w:rFonts w:ascii="Calibri" w:cs="Calibri" w:eastAsia="Calibri" w:hAnsi="Calibri"/>
          <w:b/>
          <w:bCs/>
          <w:color w:val="1A2332"/>
          <w:sz w:val="22"/>
          <w:szCs w:val="22"/>
        </w:rPr>
        <w:t xml:space="preserve">Year 2: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Year 3: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3-Year Total TCO: </w:t>
      </w:r>
      <w:r>
        <w:rPr>
          <w:rFonts w:ascii="Calibri" w:cs="Calibri" w:eastAsia="Calibri" w:hAnsi="Calibri"/>
          <w:color w:val="333333"/>
          <w:sz w:val="22"/>
          <w:szCs w:val="22"/>
        </w:rPr>
        <w:t xml:space="preserve">$4,800,000</w:t>
      </w:r>
    </w:p>
    <w:p>
      <w:pPr>
        <w:pStyle w:val="ListParagraph"/>
        <w:numPr>
          <w:ilvl w:val="0"/>
          <w:numId w:val="2"/>
        </w:numPr>
        <w:spacing w:after="60"/>
      </w:pPr>
      <w:r>
        <w:rPr>
          <w:rFonts w:ascii="Calibri" w:cs="Calibri" w:eastAsia="Calibri" w:hAnsi="Calibri"/>
          <w:b/>
          <w:bCs/>
          <w:color w:val="1A2332"/>
          <w:sz w:val="22"/>
          <w:szCs w:val="22"/>
        </w:rPr>
        <w:t xml:space="preserve">3-Year Total Savings: </w:t>
      </w:r>
      <w:r>
        <w:rPr>
          <w:rFonts w:ascii="Calibri" w:cs="Calibri" w:eastAsia="Calibri" w:hAnsi="Calibri"/>
          <w:color w:val="333333"/>
          <w:sz w:val="22"/>
          <w:szCs w:val="22"/>
        </w:rPr>
        <w:t xml:space="preserve">$22,950,000</w:t>
      </w:r>
    </w:p>
    <w:p>
      <w:pPr>
        <w:pStyle w:val="ListParagraph"/>
        <w:numPr>
          <w:ilvl w:val="0"/>
          <w:numId w:val="2"/>
        </w:numPr>
        <w:spacing w:after="60"/>
      </w:pPr>
      <w:r>
        <w:rPr>
          <w:rFonts w:ascii="Calibri" w:cs="Calibri" w:eastAsia="Calibri" w:hAnsi="Calibri"/>
          <w:b/>
          <w:bCs/>
          <w:color w:val="1A2332"/>
          <w:sz w:val="22"/>
          <w:szCs w:val="22"/>
        </w:rPr>
        <w:t xml:space="preserve">3-Year Net Benefit: </w:t>
      </w:r>
      <w:r>
        <w:rPr>
          <w:rFonts w:ascii="Calibri" w:cs="Calibri" w:eastAsia="Calibri" w:hAnsi="Calibri"/>
          <w:color w:val="333333"/>
          <w:sz w:val="22"/>
          <w:szCs w:val="22"/>
        </w:rPr>
        <w:t xml:space="preserve">$18,150,000 (3.78x return on investment)</w:t>
      </w:r>
    </w:p>
    <w:p>
      <w:r>
        <w:br w:type="page"/>
      </w:r>
    </w:p>
    <w:p>
      <w:pPr>
        <w:pStyle w:val="Heading1"/>
        <w:spacing w:after="200" w:before="360"/>
      </w:pPr>
      <w:r>
        <w:rPr>
          <w:rFonts w:ascii="Calibri" w:cs="Calibri" w:eastAsia="Calibri" w:hAnsi="Calibri"/>
          <w:b/>
          <w:bCs/>
          <w:color w:val="0C2340"/>
          <w:sz w:val="32"/>
          <w:szCs w:val="32"/>
        </w:rPr>
        <w:t xml:space="preserve">11. Business Impact</w:t>
      </w:r>
    </w:p>
    <w:p>
      <w:pPr>
        <w:spacing w:after="80"/>
      </w:pPr>
    </w:p>
    <w:p>
      <w:pPr>
        <w:pStyle w:val="Heading2"/>
        <w:spacing w:after="160" w:before="280"/>
      </w:pPr>
      <w:r>
        <w:rPr>
          <w:rFonts w:ascii="Calibri" w:cs="Calibri" w:eastAsia="Calibri" w:hAnsi="Calibri"/>
          <w:b/>
          <w:bCs/>
          <w:color w:val="1A2332"/>
          <w:sz w:val="26"/>
          <w:szCs w:val="26"/>
        </w:rPr>
        <w:t xml:space="preserve">11.1 Operational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w:t>
            </w:r>
          </w:p>
        </w:tc>
        <w:tc>
          <w:tcPr>
            <w:tcW w:type="dxa" w:w="2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Improvement</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99.9%</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+53-55%</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-88%</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$10.2M/yr</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$2.55M/yr</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-75%</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 (USD)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+1200%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Dual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Payment Channels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 (Settlement)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5 channels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+400%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Card Services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Virtual cards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Identity (KYC)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Manual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E-KYC automated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UI Tabs/Features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tabs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12 tabs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+71%</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Audit Trail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Partial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 automated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bl>
    <w:p>
      <w:pPr>
        <w:spacing w:after="80"/>
      </w:pPr>
    </w:p>
    <w:p>
      <w:pPr>
        <w:pStyle w:val="Heading2"/>
        <w:spacing w:after="160" w:before="280"/>
      </w:pPr>
      <w:r>
        <w:rPr>
          <w:rFonts w:ascii="Calibri" w:cs="Calibri" w:eastAsia="Calibri" w:hAnsi="Calibri"/>
          <w:b/>
          <w:bCs/>
          <w:color w:val="1A2332"/>
          <w:sz w:val="26"/>
          <w:szCs w:val="26"/>
        </w:rPr>
        <w:t xml:space="preserve">11.2 Strategic Outcomes</w:t>
      </w:r>
    </w:p>
    <w:p>
      <w:pPr>
        <w:pStyle w:val="Heading3"/>
        <w:spacing w:after="120" w:before="200"/>
      </w:pPr>
      <w:r>
        <w:rPr>
          <w:rFonts w:ascii="Calibri" w:cs="Calibri" w:eastAsia="Calibri" w:hAnsi="Calibri"/>
          <w:b/>
          <w:bCs/>
          <w:color w:val="1A2332"/>
          <w:sz w:val="22"/>
          <w:szCs w:val="22"/>
        </w:rPr>
        <w:t xml:space="preserve">Regulatory Confidence</w:t>
      </w:r>
    </w:p>
    <w:p>
      <w:pPr>
        <w:spacing w:after="120"/>
        <w:jc w:val="both"/>
      </w:pPr>
      <w:r>
        <w:rPr>
          <w:rFonts w:ascii="Calibri" w:cs="Calibri" w:eastAsia="Calibri" w:hAnsi="Calibri"/>
          <w:color w:val="333333"/>
          <w:sz w:val="22"/>
          <w:szCs w:val="22"/>
        </w:rPr>
        <w:t xml:space="preserve">SHAP explainability satisfies EU AI Act requirements and FinCEN guidelines. Four-eyes approval demonstrates segregation of duties. SLA tracking proves timely case resolution. These capabilities position the organization favorably with regulators and reduce examination findings.</w:t>
      </w:r>
    </w:p>
    <w:p>
      <w:pPr>
        <w:spacing w:after="80"/>
      </w:pPr>
    </w:p>
    <w:p>
      <w:pPr>
        <w:pStyle w:val="Heading3"/>
        <w:spacing w:after="120" w:before="200"/>
      </w:pPr>
      <w:r>
        <w:rPr>
          <w:rFonts w:ascii="Calibri" w:cs="Calibri" w:eastAsia="Calibri" w:hAnsi="Calibri"/>
          <w:b/>
          <w:bCs/>
          <w:color w:val="1A2332"/>
          <w:sz w:val="22"/>
          <w:szCs w:val="22"/>
        </w:rPr>
        <w:t xml:space="preserve">Customer Experience</w:t>
      </w:r>
    </w:p>
    <w:p>
      <w:pPr>
        <w:spacing w:after="120"/>
        <w:jc w:val="both"/>
      </w:pPr>
      <w:r>
        <w:rPr>
          <w:rFonts w:ascii="Calibri" w:cs="Calibri" w:eastAsia="Calibri" w:hAnsi="Calibri"/>
          <w:color w:val="333333"/>
          <w:sz w:val="22"/>
          <w:szCs w:val="22"/>
        </w:rPr>
        <w:t xml:space="preserve">Near-real-time settlement, multi-currency support, and transparent risk scoring build trust with corporate clients. The 13-currency FX engine enables true international service without manual currency conversion.</w:t>
      </w:r>
    </w:p>
    <w:p>
      <w:pPr>
        <w:spacing w:after="80"/>
      </w:pPr>
    </w:p>
    <w:p>
      <w:pPr>
        <w:pStyle w:val="Heading3"/>
        <w:spacing w:after="120" w:before="200"/>
      </w:pPr>
      <w:r>
        <w:rPr>
          <w:rFonts w:ascii="Calibri" w:cs="Calibri" w:eastAsia="Calibri" w:hAnsi="Calibri"/>
          <w:b/>
          <w:bCs/>
          <w:color w:val="1A2332"/>
          <w:sz w:val="22"/>
          <w:szCs w:val="22"/>
        </w:rPr>
        <w:t xml:space="preserve">Revenue Growth (12-18%)</w:t>
      </w:r>
    </w:p>
    <w:p>
      <w:pPr>
        <w:spacing w:after="120"/>
        <w:jc w:val="both"/>
      </w:pPr>
      <w:r>
        <w:rPr>
          <w:rFonts w:ascii="Calibri" w:cs="Calibri" w:eastAsia="Calibri" w:hAnsi="Calibri"/>
          <w:color w:val="333333"/>
          <w:sz w:val="22"/>
          <w:szCs w:val="22"/>
        </w:rPr>
        <w:t xml:space="preserve">Faster settlement, multi-currency support, and AI-driven risk management attract premium clients. The platform's competitive pricing enabled by automation creates a 12-18% revenue growth opportunity within 24 months.</w:t>
      </w:r>
    </w:p>
    <w:p>
      <w:pPr>
        <w:spacing w:after="80"/>
      </w:pPr>
    </w:p>
    <w:p>
      <w:pPr>
        <w:pStyle w:val="Heading3"/>
        <w:spacing w:after="120" w:before="200"/>
      </w:pPr>
      <w:r>
        <w:rPr>
          <w:rFonts w:ascii="Calibri" w:cs="Calibri" w:eastAsia="Calibri" w:hAnsi="Calibri"/>
          <w:b/>
          <w:bCs/>
          <w:color w:val="1A2332"/>
          <w:sz w:val="22"/>
          <w:szCs w:val="22"/>
        </w:rPr>
        <w:t xml:space="preserve">Risk Reduction</w:t>
      </w:r>
    </w:p>
    <w:p>
      <w:pPr>
        <w:spacing w:after="120"/>
        <w:jc w:val="both"/>
      </w:pPr>
      <w:r>
        <w:rPr>
          <w:rFonts w:ascii="Calibri" w:cs="Calibri" w:eastAsia="Calibri" w:hAnsi="Calibri"/>
          <w:color w:val="333333"/>
          <w:sz w:val="22"/>
          <w:szCs w:val="22"/>
        </w:rPr>
        <w:t xml:space="preserve">The 5-model ensemble reduces fraud losses by 78%. Four-eyes approval prevents single-point-of-failure in approvals. Blockchain immutability provides irrefutable settlement records. GDPR dual-storage eliminates data sovereignty risk.</w:t>
      </w:r>
    </w:p>
    <w:p>
      <w:r>
        <w:br w:type="page"/>
      </w:r>
    </w:p>
    <w:p>
      <w:pPr>
        <w:pStyle w:val="Heading1"/>
        <w:spacing w:after="200" w:before="360"/>
      </w:pPr>
      <w:r>
        <w:rPr>
          <w:rFonts w:ascii="Calibri" w:cs="Calibri" w:eastAsia="Calibri" w:hAnsi="Calibri"/>
          <w:b/>
          <w:bCs/>
          <w:color w:val="0C2340"/>
          <w:sz w:val="32"/>
          <w:szCs w:val="32"/>
        </w:rPr>
        <w:t xml:space="preserve">12.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100"/>
        <w:gridCol w:w="5160"/>
      </w:tblGrid>
      <w:tr>
        <w:tc>
          <w:tcPr>
            <w:tcW w:type="dxa" w:w="20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Risk</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Likelihood</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Impact</w:t>
            </w:r>
          </w:p>
        </w:tc>
        <w:tc>
          <w:tcPr>
            <w:tcW w:type="dxa" w:w="5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Mitigation Strategy</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Change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High</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Modular compliance layer, SHAP for AI Act compliance, regulatory mapping covers FATF, 6AMLD, GDPR, FinCEN, EU AI Act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Complexity</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Phased implementation, API Gateway with ISO 20022, event bus architecture, local + cloud deployment options</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Model Drift</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On-demand retraining, 5-model ensemble redundancy, 16-feature vector with velocity tracking, continuous F1 monitoring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Performance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Layer 2 scaling planned, off-chain PII storage, smart contract optimization, 7-contract modular architecture</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Talent &amp; Expertise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$200K training budget, operational simplicity by design, comprehensive documentation</w:t>
            </w:r>
          </w:p>
        </w:tc>
      </w:tr>
    </w:tbl>
    <w:p>
      <w:pPr>
        <w:spacing w:after="80"/>
      </w:pPr>
    </w:p>
    <w:p>
      <w:pPr>
        <w:spacing w:after="120"/>
        <w:jc w:val="both"/>
      </w:pPr>
      <w:r>
        <w:rPr>
          <w:rFonts w:ascii="Calibri" w:cs="Calibri" w:eastAsia="Calibri" w:hAnsi="Calibri"/>
          <w:color w:val="333333"/>
          <w:sz w:val="22"/>
          <w:szCs w:val="22"/>
        </w:rPr>
        <w:t xml:space="preserve">Overall risk posture: Moderate with effective mitigation. The phased implementation approach allows progressive risk reduction through gate-based validation.</w:t>
      </w:r>
    </w:p>
    <w:p>
      <w:r>
        <w:br w:type="page"/>
      </w:r>
    </w:p>
    <w:p>
      <w:pPr>
        <w:pStyle w:val="Heading1"/>
        <w:spacing w:after="200" w:before="360"/>
      </w:pPr>
      <w:r>
        <w:rPr>
          <w:rFonts w:ascii="Calibri" w:cs="Calibri" w:eastAsia="Calibri" w:hAnsi="Calibri"/>
          <w:b/>
          <w:bCs/>
          <w:color w:val="0C2340"/>
          <w:sz w:val="32"/>
          <w:szCs w:val="32"/>
        </w:rPr>
        <w:t xml:space="preserve">13. Implementation Roadmap</w:t>
      </w:r>
    </w:p>
    <w:p>
      <w:pPr>
        <w:spacing w:after="120"/>
        <w:jc w:val="both"/>
      </w:pPr>
      <w:r>
        <w:rPr>
          <w:rFonts w:ascii="Calibri" w:cs="Calibri" w:eastAsia="Calibri" w:hAnsi="Calibri"/>
          <w:color w:val="333333"/>
          <w:sz w:val="22"/>
          <w:szCs w:val="22"/>
        </w:rPr>
        <w:t xml:space="preserve">6-phase, 12-month roadmap with defined gate criteria at each phase boundary.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2800"/>
        <w:gridCol w:w="2360"/>
      </w:tblGrid>
      <w:tr>
        <w:tc>
          <w:tcPr>
            <w:tcW w:type="dxa" w:w="16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Phase</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Duration</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Timeline</w:t>
            </w:r>
          </w:p>
        </w:tc>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Deliverables</w:t>
            </w:r>
          </w:p>
        </w:tc>
        <w:tc>
          <w:tcPr>
            <w:tcW w:type="dxa" w:w="23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Gate Criteria</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1. Foundation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M1-M2</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Core platform, 7 smart contracts, database schema, API framework</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Contracts deployed, APIs functional</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 Intelligence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M3-M4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VelocityTracker, graph analytics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F1 &gt; 95%, SHAP validated, velocity working</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 Integration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M5-M6</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SWIFT GPI, case management, HITL, four-eyes, FX engine</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E2E settlement tested, four-eyes validated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4. Security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M7-M8</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GDPR vault, RBAC, SLA tracking, health monitoring, pen testing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 audit passed, GDPR compliant</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5. Pilot</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M9-M10</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Controlled production pilot, multi-currency corridors, performance tuning</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Pilot KPIs met, UAT &gt; 90%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6. Scale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M11-M12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Full production rollout, all 13 currencies, monitoring, training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Production SLA met, all corridors live</w:t>
            </w:r>
          </w:p>
        </w:tc>
      </w:tr>
    </w:tbl>
    <w:p>
      <w:pPr>
        <w:spacing w:after="80"/>
      </w:pPr>
    </w:p>
    <w:p>
      <w:pPr>
        <w:spacing w:after="120"/>
        <w:jc w:val="both"/>
      </w:pPr>
      <w:r>
        <w:rPr>
          <w:rFonts w:ascii="Calibri" w:cs="Calibri" w:eastAsia="Calibri" w:hAnsi="Calibri"/>
          <w:b/>
          <w:bCs/>
          <w:color w:val="1A2332"/>
          <w:sz w:val="22"/>
          <w:szCs w:val="22"/>
        </w:rPr>
        <w:t xml:space="preserve">Total Timeline: </w:t>
      </w:r>
      <w:r>
        <w:rPr>
          <w:rFonts w:ascii="Calibri" w:cs="Calibri" w:eastAsia="Calibri" w:hAnsi="Calibri"/>
          <w:color w:val="333333"/>
          <w:sz w:val="22"/>
          <w:szCs w:val="22"/>
        </w:rPr>
        <w:t xml:space="preserve">12 months. Team Size: 8-12 engineers.</w:t>
      </w:r>
    </w:p>
    <w:p>
      <w:r>
        <w:br w:type="page"/>
      </w:r>
    </w:p>
    <w:p>
      <w:pPr>
        <w:pStyle w:val="Heading1"/>
        <w:spacing w:after="200" w:before="360"/>
      </w:pPr>
      <w:r>
        <w:rPr>
          <w:rFonts w:ascii="Calibri" w:cs="Calibri" w:eastAsia="Calibri" w:hAnsi="Calibri"/>
          <w:b/>
          <w:bCs/>
          <w:color w:val="0C2340"/>
          <w:sz w:val="32"/>
          <w:szCs w:val="32"/>
        </w:rPr>
        <w:t xml:space="preserve">14. Conclusion &amp; Recommendations</w:t>
      </w:r>
    </w:p>
    <w:p>
      <w:pPr>
        <w:spacing w:after="120"/>
        <w:jc w:val="both"/>
      </w:pPr>
      <w:r>
        <w:rPr>
          <w:rFonts w:ascii="Calibri" w:cs="Calibri" w:eastAsia="Calibri" w:hAnsi="Calibri"/>
          <w:color w:val="333333"/>
          <w:sz w:val="22"/>
          <w:szCs w:val="22"/>
        </w:rPr>
        <w:t xml:space="preserve">IPTS v5.0 represents a transformational platform that addresses the fundamental challenges of cross-border settlement through blockchain, explainable AI, enterprise-grade operational controls, and a comprehensive digital banking experience including multi-channel payments, virtual card services, spending analytics, and E-KYC verification.</w:t>
      </w:r>
    </w:p>
    <w:p>
      <w:pPr>
        <w:spacing w:after="80"/>
      </w:pPr>
    </w:p>
    <w:p>
      <w:pPr>
        <w:pStyle w:val="Heading2"/>
        <w:spacing w:after="160" w:before="280"/>
      </w:pPr>
      <w:r>
        <w:rPr>
          <w:rFonts w:ascii="Calibri" w:cs="Calibri" w:eastAsia="Calibri" w:hAnsi="Calibri"/>
          <w:b/>
          <w:bCs/>
          <w:color w:val="1A2332"/>
          <w:sz w:val="26"/>
          <w:szCs w:val="26"/>
        </w:rPr>
        <w:t xml:space="preserve">14.1 Key Takeaways</w:t>
      </w:r>
    </w:p>
    <w:p>
      <w:pPr>
        <w:spacing w:after="80"/>
      </w:pP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Settlement cycles reduced from T+2-T+5 to under 10 seconds with blockchain finality via 7 smart contracts.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5-model AI/ML ensemble with 16-feature vector and real-time velocity tracking achieves 98-100% fraud detection with &lt; 3% false positives.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Full SHAP explainability on every transaction satisfies EU AI Act and FinCEN algorithmic accountability requirements.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Four-eyes dual approval for transactions &gt;= $100K ensures segregation of duties and regulatory compliance.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Multi-currency FX engine supporting 13 currencies with AML jurisdiction warnings enables true international settlement.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SLA tracking with severity-based countdown (4h to 7d) ensures timely compliance case resolution.</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Health monitoring with 30-second polling provides continuous operational awareness.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5 payment channels (Settlement, P2P, ACH/Wire/SEPA, Scheduled, QR Pay) cover all enterprise payment needs.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Virtual card services with instant issuance, freeze/unfreeze, and spending limits enhance corporate card management.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Spending 360 analytics with category breakdowns, trend charts, and exportable reports drive financial insights.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E-KYC identity verification with biometric controls and fraud alert monitoring strengthen compliance posture.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Beneficiary management with SWIFT/IBAN validation and favorite marking streamlines recurring payments.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Real-time notification center with SSE-powered alerts and AI support chat improve user experience.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3-year ROI of 287% with 5-month payback period, delivering $18.15M cumulative net benefit.</w:t>
      </w:r>
    </w:p>
    <w:p>
      <w:pPr>
        <w:spacing w:after="80"/>
      </w:pPr>
    </w:p>
    <w:p>
      <w:pPr>
        <w:pStyle w:val="Heading2"/>
        <w:spacing w:after="160" w:before="280"/>
      </w:pPr>
      <w:r>
        <w:rPr>
          <w:rFonts w:ascii="Calibri" w:cs="Calibri" w:eastAsia="Calibri" w:hAnsi="Calibri"/>
          <w:b/>
          <w:bCs/>
          <w:color w:val="1A2332"/>
          <w:sz w:val="26"/>
          <w:szCs w:val="26"/>
        </w:rPr>
        <w:t xml:space="preserve">14.2 Recommendations</w:t>
      </w:r>
    </w:p>
    <w:p>
      <w:pPr>
        <w:spacing w:after="120"/>
        <w:jc w:val="both"/>
      </w:pPr>
      <w:r>
        <w:rPr>
          <w:rFonts w:ascii="Calibri" w:cs="Calibri" w:eastAsia="Calibri" w:hAnsi="Calibri"/>
          <w:b/>
          <w:bCs/>
          <w:color w:val="1A2332"/>
          <w:sz w:val="22"/>
          <w:szCs w:val="22"/>
        </w:rPr>
        <w:t xml:space="preserve">1. Approve Phase 1 Funding: </w:t>
      </w:r>
      <w:r>
        <w:rPr>
          <w:rFonts w:ascii="Calibri" w:cs="Calibri" w:eastAsia="Calibri" w:hAnsi="Calibri"/>
          <w:color w:val="333333"/>
          <w:sz w:val="22"/>
          <w:szCs w:val="22"/>
        </w:rPr>
        <w:t xml:space="preserve">Authorize $3.2M Year 1 investment. The 5-month payback period ensures rapid return.</w:t>
      </w:r>
    </w:p>
    <w:p>
      <w:pPr>
        <w:spacing w:after="80"/>
      </w:pPr>
    </w:p>
    <w:p>
      <w:pPr>
        <w:spacing w:after="120"/>
        <w:jc w:val="both"/>
      </w:pPr>
      <w:r>
        <w:rPr>
          <w:rFonts w:ascii="Calibri" w:cs="Calibri" w:eastAsia="Calibri" w:hAnsi="Calibri"/>
          <w:b/>
          <w:bCs/>
          <w:color w:val="1A2332"/>
          <w:sz w:val="22"/>
          <w:szCs w:val="22"/>
        </w:rPr>
        <w:t xml:space="preserve">2. Establish Governance Committee: </w:t>
      </w:r>
      <w:r>
        <w:rPr>
          <w:rFonts w:ascii="Calibri" w:cs="Calibri" w:eastAsia="Calibri" w:hAnsi="Calibri"/>
          <w:color w:val="333333"/>
          <w:sz w:val="22"/>
          <w:szCs w:val="22"/>
        </w:rPr>
        <w:t xml:space="preserve">Cross-functional steering committee for gate reviews and strategic alignment.</w:t>
      </w:r>
    </w:p>
    <w:p>
      <w:pPr>
        <w:spacing w:after="80"/>
      </w:pPr>
    </w:p>
    <w:p>
      <w:pPr>
        <w:spacing w:after="120"/>
        <w:jc w:val="both"/>
      </w:pPr>
      <w:r>
        <w:rPr>
          <w:rFonts w:ascii="Calibri" w:cs="Calibri" w:eastAsia="Calibri" w:hAnsi="Calibri"/>
          <w:b/>
          <w:bCs/>
          <w:color w:val="1A2332"/>
          <w:sz w:val="22"/>
          <w:szCs w:val="22"/>
        </w:rPr>
        <w:t xml:space="preserve">3. Initiate Regulatory Engagement: </w:t>
      </w:r>
      <w:r>
        <w:rPr>
          <w:rFonts w:ascii="Calibri" w:cs="Calibri" w:eastAsia="Calibri" w:hAnsi="Calibri"/>
          <w:color w:val="333333"/>
          <w:sz w:val="22"/>
          <w:szCs w:val="22"/>
        </w:rPr>
        <w:t xml:space="preserve">Socialize SHAP explainability and four-eyes controls with regulators to secure sandbox participation.</w:t>
      </w:r>
    </w:p>
    <w:p>
      <w:pPr>
        <w:spacing w:after="80"/>
      </w:pPr>
    </w:p>
    <w:p>
      <w:pPr>
        <w:spacing w:after="120"/>
        <w:jc w:val="both"/>
      </w:pPr>
      <w:r>
        <w:rPr>
          <w:rFonts w:ascii="Calibri" w:cs="Calibri" w:eastAsia="Calibri" w:hAnsi="Calibri"/>
          <w:b/>
          <w:bCs/>
          <w:color w:val="1A2332"/>
          <w:sz w:val="22"/>
          <w:szCs w:val="22"/>
        </w:rPr>
        <w:t xml:space="preserve">4. Secure Pilot Corridor Partners: </w:t>
      </w:r>
      <w:r>
        <w:rPr>
          <w:rFonts w:ascii="Calibri" w:cs="Calibri" w:eastAsia="Calibri" w:hAnsi="Calibri"/>
          <w:color w:val="333333"/>
          <w:sz w:val="22"/>
          <w:szCs w:val="22"/>
        </w:rPr>
        <w:t xml:space="preserve">Identify 2-3 correspondent banking partners for multi-currency pilot corridors.</w:t>
      </w:r>
    </w:p>
    <w:p>
      <w:pPr>
        <w:spacing w:after="80"/>
      </w:pPr>
    </w:p>
    <w:p>
      <w:pPr>
        <w:spacing w:after="120"/>
        <w:jc w:val="both"/>
      </w:pPr>
      <w:r>
        <w:rPr>
          <w:rFonts w:ascii="Calibri" w:cs="Calibri" w:eastAsia="Calibri" w:hAnsi="Calibri"/>
          <w:b/>
          <w:bCs/>
          <w:color w:val="1A2332"/>
          <w:sz w:val="22"/>
          <w:szCs w:val="22"/>
        </w:rPr>
        <w:t xml:space="preserve">5. Invest in Talent Development: </w:t>
      </w:r>
      <w:r>
        <w:rPr>
          <w:rFonts w:ascii="Calibri" w:cs="Calibri" w:eastAsia="Calibri" w:hAnsi="Calibri"/>
          <w:color w:val="333333"/>
          <w:sz w:val="22"/>
          <w:szCs w:val="22"/>
        </w:rPr>
        <w:t xml:space="preserve">Allocate $200K Year 1 training budget for blockchain, AI/ML, and Zero Trust upskilling.</w:t>
      </w:r>
    </w:p>
    <w:p>
      <w:pPr>
        <w:spacing w:after="80"/>
      </w:pPr>
    </w:p>
    <w:p>
      <w:pPr>
        <w:spacing w:after="80"/>
      </w:pPr>
    </w:p>
    <w:p>
      <w:pPr>
        <w:pBdr>
          <w:top w:val="single" w:color="10B981" w:sz="2" w:space="8"/>
        </w:pBdr>
        <w:spacing w:before="400"/>
        <w:jc w:val="center"/>
      </w:pPr>
      <w:r>
        <w:rPr>
          <w:rFonts w:ascii="Calibri" w:cs="Calibri" w:eastAsia="Calibri" w:hAnsi="Calibri"/>
          <w:i/>
          <w:iCs/>
          <w:color w:val="888888"/>
          <w:sz w:val="20"/>
          <w:szCs w:val="20"/>
        </w:rPr>
        <w:t xml:space="preserve">End of Executive Briefing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  G9-IPTS  |  April 2026  |  Version 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Calibri" w:cs="Calibri" w:eastAsia="Calibri" w:hAnsi="Calibri"/>
        <w:i/>
        <w:iCs/>
        <w:color w:val="999999"/>
        <w:sz w:val="16"/>
        <w:szCs w:val="16"/>
      </w:rPr>
      <w:t xml:space="preserve">G9-IPTS Executive Briefing v5.0</w:t>
    </w:r>
    <w:r>
      <w:rPr>
        <w:rFonts w:ascii="Calibri" w:cs="Calibri" w:eastAsia="Calibri" w:hAnsi="Calibri"/>
        <w:color w:val="CCCCCC"/>
        <w:sz w:val="16"/>
        <w:szCs w:val="16"/>
      </w:rPr>
      <w:t xml:space="preserve">  |  </w:t>
    </w:r>
    <w:r>
      <w:rPr>
        <w:rFonts w:ascii="Calibri" w:cs="Calibri" w:eastAsia="Calibri" w:hAnsi="Calibri"/>
        <w:b/>
        <w:bCs/>
        <w:color w:val="CC0000"/>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C2340"/>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1A2332"/>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1A233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48faac71fd40f7a2d67258c8f985e71e4b9435.png"/><Relationship Id="rId10" Type="http://schemas.openxmlformats.org/officeDocument/2006/relationships/image" Target="media/24085f428e895285902db43189d402fae1339be5.png"/><Relationship Id="rId11" Type="http://schemas.openxmlformats.org/officeDocument/2006/relationships/image" Target="media/482589110f419eb62251eb80d39d1d330c995c24.png"/><Relationship Id="rId12" Type="http://schemas.openxmlformats.org/officeDocument/2006/relationships/image" Target="media/fc5a7a1769a7ff0a62923d783241807ab795dcaf.png"/><Relationship Id="rId13" Type="http://schemas.openxmlformats.org/officeDocument/2006/relationships/image" Target="media/dc9c44c9ff5f813735739a84ad068fff0b3f63a8.png"/><Relationship Id="rId14" Type="http://schemas.openxmlformats.org/officeDocument/2006/relationships/image" Target="media/6ce905cac4dc67b51cef00f5d7629dfef038fe36.png"/><Relationship Id="rId15" Type="http://schemas.openxmlformats.org/officeDocument/2006/relationships/image" Target="media/4126a3441f7f4dfe89f596f5f772eab311ab3f7b.png"/><Relationship Id="rId16" Type="http://schemas.openxmlformats.org/officeDocument/2006/relationships/image" Target="media/9957f0a76061a2aa475665c8733bd3711830d095.png"/><Relationship Id="rId17" Type="http://schemas.openxmlformats.org/officeDocument/2006/relationships/image" Target="media/0026553a68b952d75ba609d01df4b968bca8f498.png"/><Relationship Id="rId18" Type="http://schemas.openxmlformats.org/officeDocument/2006/relationships/image" Target="media/8ced525a58cb05d5e2fb916c00e9ce90a1d6fcd2.png"/><Relationship Id="rId19" Type="http://schemas.openxmlformats.org/officeDocument/2006/relationships/image" Target="media/5763c0230f8dfd7d2014badf9ebca172215cccad.png"/><Relationship Id="rId20" Type="http://schemas.openxmlformats.org/officeDocument/2006/relationships/image" Target="media/f39ad876d50744426d391acb792e3bf960e12bee.png"/><Relationship Id="rId21" Type="http://schemas.openxmlformats.org/officeDocument/2006/relationships/image" Target="media/6b4510b805a6245969724e045ce9977f6d5a5c79.png"/><Relationship Id="rId22" Type="http://schemas.openxmlformats.org/officeDocument/2006/relationships/image" Target="media/cbf449854914f1b3e56b702d5184834b472ffbe0.png"/><Relationship Id="rId23" Type="http://schemas.openxmlformats.org/officeDocument/2006/relationships/image" Target="media/bece4b7d4f30ddc7df7029cea65ab39a9aaf34f2.png"/><Relationship Id="rId24" Type="http://schemas.openxmlformats.org/officeDocument/2006/relationships/image" Target="media/674ba62e4ea296902c61766ede02db8d400c2add.png"/><Relationship Id="rId25" Type="http://schemas.openxmlformats.org/officeDocument/2006/relationships/image" Target="media/8e43a724a69860be06dfbf17087dd5c286feaecf.png"/><Relationship Id="rId26" Type="http://schemas.openxmlformats.org/officeDocument/2006/relationships/image" Target="media/2467d1fbcd290edbd32caeacbaad8742be090140.png"/><Relationship Id="rId27" Type="http://schemas.openxmlformats.org/officeDocument/2006/relationships/image" Target="media/6348d7e2b38ab9d10a38a568933439f1059ddc27.png"/><Relationship Id="rId28" Type="http://schemas.openxmlformats.org/officeDocument/2006/relationships/image" Target="media/76e72d037983d1621640c8673bbf509f2a35197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2026-04-11T12:01:58.402Z</dcterms:created>
  <dcterms:modified xsi:type="dcterms:W3CDTF">2026-04-11T12:01:58.403Z</dcterms:modified>
</cp:coreProperties>
</file>

<file path=docProps/custom.xml><?xml version="1.0" encoding="utf-8"?>
<Properties xmlns="http://schemas.openxmlformats.org/officeDocument/2006/custom-properties" xmlns:vt="http://schemas.openxmlformats.org/officeDocument/2006/docPropsVTypes"/>
</file>