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0"/>
      </w:pPr>
    </w:p>
    <w:p>
      <w:pPr>
        <w:spacing w:after="200"/>
        <w:jc w:val="center"/>
      </w:pPr>
      <w:r>
        <w:rPr>
          <w:rFonts w:ascii="Calibri" w:cs="Calibri" w:eastAsia="Calibri" w:hAnsi="Calibri"/>
          <w:b/>
          <w:bCs/>
          <w:color w:val="1A5276"/>
          <w:sz w:val="72"/>
          <w:szCs w:val="72"/>
        </w:rPr>
        <w:t xml:space="preserve">IPTS</w:t>
      </w:r>
    </w:p>
    <w:p>
      <w:pPr>
        <w:spacing w:after="100"/>
        <w:jc w:val="center"/>
      </w:pPr>
      <w:r>
        <w:rPr>
          <w:rFonts w:ascii="Calibri" w:cs="Calibri" w:eastAsia="Calibri" w:hAnsi="Calibri"/>
          <w:color w:val="2C3E50"/>
          <w:sz w:val="32"/>
          <w:szCs w:val="32"/>
        </w:rPr>
        <w:t xml:space="preserve">Integrated Payment Transformation System</w:t>
      </w:r>
    </w:p>
    <w:p>
      <w:pPr>
        <w:pBdr>
          <w:bottom w:val="single" w:color="10B981" w:sz="6" w:space="1"/>
        </w:pBdr>
        <w:spacing w:after="400"/>
        <w:jc w:val="center"/>
      </w:pPr>
    </w:p>
    <w:p>
      <w:pPr>
        <w:spacing w:after="80"/>
        <w:jc w:val="center"/>
      </w:pPr>
      <w:r>
        <w:rPr>
          <w:rFonts w:ascii="Calibri" w:cs="Calibri" w:eastAsia="Calibri" w:hAnsi="Calibri"/>
          <w:i/>
          <w:iCs/>
          <w:color w:val="2C3E50"/>
          <w:sz w:val="28"/>
          <w:szCs w:val="28"/>
        </w:rPr>
        <w:t xml:space="preserve">Technical Architecture &amp; Capability Report</w:t>
      </w:r>
    </w:p>
    <w:p>
      <w:pPr>
        <w:spacing w:before="600"/>
      </w:pPr>
    </w:p>
    <w:p>
      <w:pPr>
        <w:spacing w:after="80"/>
        <w:jc w:val="center"/>
      </w:pPr>
      <w:r>
        <w:rPr>
          <w:rFonts w:ascii="Calibri" w:cs="Calibri" w:eastAsia="Calibri" w:hAnsi="Calibri"/>
          <w:color w:val="666666"/>
          <w:sz w:val="24"/>
          <w:szCs w:val="24"/>
        </w:rPr>
        <w:t xml:space="preserve">Version 4.0</w:t>
      </w:r>
    </w:p>
    <w:p>
      <w:pPr>
        <w:spacing w:after="80"/>
        <w:jc w:val="center"/>
      </w:pPr>
      <w:r>
        <w:rPr>
          <w:rFonts w:ascii="Calibri" w:cs="Calibri" w:eastAsia="Calibri" w:hAnsi="Calibri"/>
          <w:color w:val="666666"/>
          <w:sz w:val="24"/>
          <w:szCs w:val="24"/>
        </w:rPr>
        <w:t xml:space="preserve">April 2026</w:t>
      </w:r>
    </w:p>
    <w:p>
      <w:pPr>
        <w:spacing w:after="80"/>
        <w:jc w:val="center"/>
      </w:pPr>
      <w:r>
        <w:rPr>
          <w:rFonts w:ascii="Calibri" w:cs="Calibri" w:eastAsia="Calibri" w:hAnsi="Calibri"/>
          <w:b/>
          <w:bCs/>
          <w:color w:val="2C3E50"/>
          <w:sz w:val="24"/>
          <w:szCs w:val="24"/>
        </w:rPr>
        <w:t xml:space="preserve">Author: Mohamad Idriss</w:t>
      </w:r>
    </w:p>
    <w:p>
      <w:pPr>
        <w:spacing w:before="1200"/>
      </w:pPr>
    </w:p>
    <w:p>
      <w:pPr>
        <w:spacing w:after="40"/>
        <w:jc w:val="center"/>
      </w:pPr>
      <w:r>
        <w:rPr>
          <w:rFonts w:ascii="Calibri" w:cs="Calibri" w:eastAsia="Calibri" w:hAnsi="Calibri"/>
          <w:b/>
          <w:bCs/>
          <w:color w:val="CC0000"/>
          <w:sz w:val="20"/>
          <w:szCs w:val="20"/>
        </w:rPr>
        <w:t xml:space="preserve">CONFIDENTIAL</w:t>
      </w:r>
    </w:p>
    <w:p>
      <w:pPr>
        <w:jc w:val="center"/>
      </w:pPr>
      <w:r>
        <w:rPr>
          <w:rFonts w:ascii="Calibri" w:cs="Calibri" w:eastAsia="Calibri" w:hAnsi="Calibri"/>
          <w:color w:val="888888"/>
          <w:sz w:val="18"/>
          <w:szCs w:val="18"/>
        </w:rPr>
        <w:t xml:space="preserve">Enterprise-Grade Financial Settlement Platform</w:t>
      </w:r>
    </w:p>
    <w:p>
      <w:r>
        <w:br w:type="page"/>
      </w:r>
    </w:p>
    <w:p>
      <w:pPr>
        <w:pStyle w:val="Heading1"/>
        <w:spacing w:after="200" w:before="360"/>
      </w:pPr>
      <w:r>
        <w:rPr>
          <w:rFonts w:ascii="Calibri" w:cs="Calibri" w:eastAsia="Calibri" w:hAnsi="Calibri"/>
          <w:b/>
          <w:bCs/>
          <w:color w:val="1A5276"/>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360"/>
      </w:pPr>
      <w:r>
        <w:rPr>
          <w:rFonts w:ascii="Calibri" w:cs="Calibri" w:eastAsia="Calibri" w:hAnsi="Calibri"/>
          <w:b/>
          <w:bCs/>
          <w:color w:val="1A5276"/>
          <w:sz w:val="32"/>
          <w:szCs w:val="32"/>
        </w:rPr>
        <w:t xml:space="preserve">1. Executive Summary</w:t>
      </w:r>
    </w:p>
    <w:p>
      <w:pPr>
        <w:spacing w:after="120"/>
        <w:jc w:val="both"/>
      </w:pPr>
      <w:r>
        <w:rPr>
          <w:rFonts w:ascii="Calibri" w:cs="Calibri" w:eastAsia="Calibri" w:hAnsi="Calibri"/>
          <w:color w:val="333333"/>
          <w:sz w:val="22"/>
          <w:szCs w:val="22"/>
        </w:rPr>
        <w:t xml:space="preserve">The Integrated Payment Transformation System (IPTS) is an enterprise-grade financial settlement platform built on a 7-layer convergent architecture. Its primary mission is to collapse cross-border settlement cycles from the traditional T+5 (five business days) to under 10 seconds, achieving near-real-time atomic settlement.</w:t>
      </w:r>
    </w:p>
    <w:p>
      <w:pPr>
        <w:spacing w:after="80"/>
      </w:pPr>
    </w:p>
    <w:p>
      <w:pPr>
        <w:spacing w:after="120"/>
        <w:jc w:val="both"/>
      </w:pPr>
      <w:r>
        <w:rPr>
          <w:rFonts w:ascii="Calibri" w:cs="Calibri" w:eastAsia="Calibri" w:hAnsi="Calibri"/>
          <w:color w:val="333333"/>
          <w:sz w:val="22"/>
          <w:szCs w:val="22"/>
        </w:rPr>
        <w:t xml:space="preserve">IPTS integrates five foundational technology pillars into a unified platform:</w:t>
      </w:r>
    </w:p>
    <w:p>
      <w:pPr>
        <w:pStyle w:val="ListParagraph"/>
        <w:numPr>
          <w:ilvl w:val="0"/>
          <w:numId w:val="2"/>
        </w:numPr>
        <w:spacing w:after="60"/>
      </w:pPr>
      <w:r>
        <w:rPr>
          <w:rFonts w:ascii="Calibri" w:cs="Calibri" w:eastAsia="Calibri" w:hAnsi="Calibri"/>
          <w:b/>
          <w:bCs/>
          <w:color w:val="2C3E50"/>
          <w:sz w:val="22"/>
          <w:szCs w:val="22"/>
        </w:rPr>
        <w:t xml:space="preserve">Blockchain Settlement: </w:t>
      </w:r>
      <w:r>
        <w:rPr>
          <w:rFonts w:ascii="Calibri" w:cs="Calibri" w:eastAsia="Calibri" w:hAnsi="Calibri"/>
          <w:color w:val="333333"/>
          <w:sz w:val="22"/>
          <w:szCs w:val="22"/>
        </w:rPr>
        <w:t xml:space="preserve">Ethereum smart contracts (Solidity ^0.8.0) deployed on a local Ganache blockchain provide immutable, atomic T+0 settlement with cryptographic audit trails across 7 smart contracts.</w:t>
      </w:r>
    </w:p>
    <w:p>
      <w:pPr>
        <w:pStyle w:val="ListParagraph"/>
        <w:numPr>
          <w:ilvl w:val="0"/>
          <w:numId w:val="2"/>
        </w:numPr>
        <w:spacing w:after="60"/>
      </w:pPr>
      <w:r>
        <w:rPr>
          <w:rFonts w:ascii="Calibri" w:cs="Calibri" w:eastAsia="Calibri" w:hAnsi="Calibri"/>
          <w:b/>
          <w:bCs/>
          <w:color w:val="2C3E50"/>
          <w:sz w:val="22"/>
          <w:szCs w:val="22"/>
        </w:rPr>
        <w:t xml:space="preserve">AI/ML Fraud Detection: </w:t>
      </w:r>
      <w:r>
        <w:rPr>
          <w:rFonts w:ascii="Calibri" w:cs="Calibri" w:eastAsia="Calibri" w:hAnsi="Calibri"/>
          <w:color w:val="333333"/>
          <w:sz w:val="22"/>
          <w:szCs w:val="22"/>
        </w:rPr>
        <w:t xml:space="preserve">A 5-model ensemble (Isolation Forest, Random Forest, XGBoost, Autoencoder, Sequence Detector) trained on 15,000 synthetic transactions with a 16-feature vector including real-time velocity tracking provides sub-second risk scoring with SHAP explainability on every transaction.</w:t>
      </w:r>
    </w:p>
    <w:p>
      <w:pPr>
        <w:pStyle w:val="ListParagraph"/>
        <w:numPr>
          <w:ilvl w:val="0"/>
          <w:numId w:val="2"/>
        </w:numPr>
        <w:spacing w:after="60"/>
      </w:pPr>
      <w:r>
        <w:rPr>
          <w:rFonts w:ascii="Calibri" w:cs="Calibri" w:eastAsia="Calibri" w:hAnsi="Calibri"/>
          <w:b/>
          <w:bCs/>
          <w:color w:val="2C3E50"/>
          <w:sz w:val="22"/>
          <w:szCs w:val="22"/>
        </w:rPr>
        <w:t xml:space="preserve">Zero Trust Security: </w:t>
      </w:r>
      <w:r>
        <w:rPr>
          <w:rFonts w:ascii="Calibri" w:cs="Calibri" w:eastAsia="Calibri" w:hAnsi="Calibri"/>
          <w:color w:val="333333"/>
          <w:sz w:val="22"/>
          <w:szCs w:val="22"/>
        </w:rPr>
        <w:t xml:space="preserve">JWT-based authentication, role-based access control (RBAC) with 5 distinct roles, four-eyes dual approval for high-value transactions ($100K+), rate limiting, and comprehensive security headers enforce a zero-implicit-trust perimeter.</w:t>
      </w:r>
    </w:p>
    <w:p>
      <w:pPr>
        <w:pStyle w:val="ListParagraph"/>
        <w:numPr>
          <w:ilvl w:val="0"/>
          <w:numId w:val="2"/>
        </w:numPr>
        <w:spacing w:after="60"/>
      </w:pPr>
      <w:r>
        <w:rPr>
          <w:rFonts w:ascii="Calibri" w:cs="Calibri" w:eastAsia="Calibri" w:hAnsi="Calibri"/>
          <w:b/>
          <w:bCs/>
          <w:color w:val="2C3E50"/>
          <w:sz w:val="22"/>
          <w:szCs w:val="22"/>
        </w:rPr>
        <w:t xml:space="preserve">GDPR-Compliant Data Sovereignty: </w:t>
      </w:r>
      <w:r>
        <w:rPr>
          <w:rFonts w:ascii="Calibri" w:cs="Calibri" w:eastAsia="Calibri" w:hAnsi="Calibri"/>
          <w:color w:val="333333"/>
          <w:sz w:val="22"/>
          <w:szCs w:val="22"/>
        </w:rPr>
        <w:t xml:space="preserve">Off-chain PII vaulting with on-chain hash anchoring ensures regulatory compliance while maintaining blockchain immutability.</w:t>
      </w:r>
    </w:p>
    <w:p>
      <w:pPr>
        <w:pStyle w:val="ListParagraph"/>
        <w:numPr>
          <w:ilvl w:val="0"/>
          <w:numId w:val="2"/>
        </w:numPr>
        <w:spacing w:after="60"/>
      </w:pPr>
      <w:r>
        <w:rPr>
          <w:rFonts w:ascii="Calibri" w:cs="Calibri" w:eastAsia="Calibri" w:hAnsi="Calibri"/>
          <w:b/>
          <w:bCs/>
          <w:color w:val="2C3E50"/>
          <w:sz w:val="22"/>
          <w:szCs w:val="22"/>
        </w:rPr>
        <w:t xml:space="preserve">Multi-Currency FX Engine: </w:t>
      </w:r>
      <w:r>
        <w:rPr>
          <w:rFonts w:ascii="Calibri" w:cs="Calibri" w:eastAsia="Calibri" w:hAnsi="Calibri"/>
          <w:color w:val="333333"/>
          <w:sz w:val="22"/>
          <w:szCs w:val="22"/>
        </w:rPr>
        <w:t xml:space="preserve">Real-time foreign exchange conversion across 13 currencies (USD, EUR, GBP, JPY, CHF, AUD, CAD, CNY, INR, SGD, AED, SAR, BRL) with live rate feeds and AML jurisdiction warnings.</w:t>
      </w:r>
    </w:p>
    <w:p>
      <w:pPr>
        <w:spacing w:after="80"/>
      </w:pPr>
    </w:p>
    <w:p>
      <w:pPr>
        <w:spacing w:after="120"/>
        <w:jc w:val="both"/>
      </w:pPr>
      <w:r>
        <w:rPr>
          <w:rFonts w:ascii="Calibri" w:cs="Calibri" w:eastAsia="Calibri" w:hAnsi="Calibri"/>
          <w:color w:val="333333"/>
          <w:sz w:val="22"/>
          <w:szCs w:val="22"/>
        </w:rPr>
        <w:t xml:space="preserve">The system supports both Google Colab deployment and local macOS execution. Within 90-120 seconds, the single deployment script orchestrates dependency installation, ML model training on 16 features, smart contract compilation and deployment, Flask API server startup, and system exposure.</w:t>
      </w:r>
    </w:p>
    <w:p>
      <w:pPr>
        <w:spacing w:after="80"/>
      </w:pPr>
    </w:p>
    <w:p>
      <w:pPr>
        <w:spacing w:after="120"/>
        <w:jc w:val="both"/>
      </w:pPr>
      <w:r>
        <w:rPr>
          <w:rFonts w:ascii="Calibri" w:cs="Calibri" w:eastAsia="Calibri" w:hAnsi="Calibri"/>
          <w:color w:val="333333"/>
          <w:sz w:val="22"/>
          <w:szCs w:val="22"/>
        </w:rPr>
        <w:t xml:space="preserve">Key capabilities include automated AML screening with configurable blocking thresholds ($100K+ auto-block), SHAP-based explainable AI for every risk decision, four-eyes dual approval requiring two independent compliance officers for high-value transactions, human-in-the-loop (HITL) triage with SLA countdown tracking, compliance case management with SAR filing workflows, SWIFT GPI payment tracking, real-time health monitoring, and a professional dashboard with 7 functional tabs.</w:t>
      </w:r>
    </w:p>
    <w:p>
      <w:r>
        <w:br w:type="page"/>
      </w:r>
    </w:p>
    <w:p>
      <w:pPr>
        <w:pStyle w:val="Heading1"/>
        <w:spacing w:after="200" w:before="360"/>
      </w:pPr>
      <w:r>
        <w:rPr>
          <w:rFonts w:ascii="Calibri" w:cs="Calibri" w:eastAsia="Calibri" w:hAnsi="Calibri"/>
          <w:b/>
          <w:bCs/>
          <w:color w:val="1A5276"/>
          <w:sz w:val="32"/>
          <w:szCs w:val="32"/>
        </w:rPr>
        <w:t xml:space="preserve">2. System Architecture</w:t>
      </w:r>
    </w:p>
    <w:p>
      <w:pPr>
        <w:spacing w:after="120"/>
        <w:jc w:val="both"/>
      </w:pPr>
      <w:r>
        <w:rPr>
          <w:rFonts w:ascii="Calibri" w:cs="Calibri" w:eastAsia="Calibri" w:hAnsi="Calibri"/>
          <w:color w:val="333333"/>
          <w:sz w:val="22"/>
          <w:szCs w:val="22"/>
        </w:rPr>
        <w:t xml:space="preserve">IPTS implements a 7-Layer Convergent Architecture where each layer encapsulates a specific domain concern. This separation enables independent scaling, testing, and regulatory auditing of each layer while maintaining cohesive end-to-end transaction processing.</w:t>
      </w:r>
    </w:p>
    <w:p>
      <w:pPr>
        <w:spacing w:after="80"/>
      </w:pPr>
    </w:p>
    <w:p>
      <w:pPr>
        <w:pStyle w:val="Heading2"/>
        <w:spacing w:after="160" w:before="280"/>
      </w:pPr>
      <w:r>
        <w:rPr>
          <w:rFonts w:ascii="Calibri" w:cs="Calibri" w:eastAsia="Calibri" w:hAnsi="Calibri"/>
          <w:b/>
          <w:bCs/>
          <w:color w:val="2C3E50"/>
          <w:sz w:val="26"/>
          <w:szCs w:val="26"/>
        </w:rPr>
        <w:t xml:space="preserve">2.1 Architecture Overview</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200"/>
        <w:gridCol w:w="5760"/>
      </w:tblGrid>
      <w:tr>
        <w:tc>
          <w:tcPr>
            <w:tcW w:type="dxa" w:w="1400"/>
            <w:tcBorders>
              <w:top w:val="single" w:color="CCCCCC" w:sz="1"/>
              <w:left w:val="single" w:color="CCCCCC" w:sz="1"/>
              <w:bottom w:val="single" w:color="CCCCCC" w:sz="1"/>
              <w:right w:val="single" w:color="CCCCCC" w:sz="1"/>
            </w:tcBorders>
            <w:shd w:fill="1A5276"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Layer</w:t>
            </w:r>
          </w:p>
        </w:tc>
        <w:tc>
          <w:tcPr>
            <w:tcW w:type="dxa" w:w="2200"/>
            <w:tcBorders>
              <w:top w:val="single" w:color="CCCCCC" w:sz="1"/>
              <w:left w:val="single" w:color="CCCCCC" w:sz="1"/>
              <w:bottom w:val="single" w:color="CCCCCC" w:sz="1"/>
              <w:right w:val="single" w:color="CCCCCC" w:sz="1"/>
            </w:tcBorders>
            <w:shd w:fill="1A5276"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Name</w:t>
            </w:r>
          </w:p>
        </w:tc>
        <w:tc>
          <w:tcPr>
            <w:tcW w:type="dxa" w:w="5760"/>
            <w:tcBorders>
              <w:top w:val="single" w:color="CCCCCC" w:sz="1"/>
              <w:left w:val="single" w:color="CCCCCC" w:sz="1"/>
              <w:bottom w:val="single" w:color="CCCCCC" w:sz="1"/>
              <w:right w:val="single" w:color="CCCCCC" w:sz="1"/>
            </w:tcBorders>
            <w:shd w:fill="1A5276"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Description</w:t>
            </w:r>
          </w:p>
        </w:tc>
      </w:tr>
      <w:tr>
        <w:tc>
          <w:tcPr>
            <w:tcW w:type="dxa" w:w="14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Layer 1</w:t>
            </w:r>
          </w:p>
        </w:tc>
        <w:tc>
          <w:tcPr>
            <w:tcW w:type="dxa" w:w="22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Presentation</w:t>
            </w:r>
          </w:p>
        </w:tc>
        <w:tc>
          <w:tcPr>
            <w:tcW w:type="dxa" w:w="576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Single-page application with Tailwind CSS, Chart.js, D3.js, SSE real-time streaming, multi-currency payment forms, SHAP charts, SLA tracking, and health monitoring</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Layer 2</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Security</w:t>
            </w:r>
          </w:p>
        </w:tc>
        <w:tc>
          <w:tcPr>
            <w:tcW w:type="dxa" w:w="57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Zero Trust perimeter with JWT HS256 auth, rate limiting (100 req/min), RBAC with 5 roles, four-eyes dual approval, HSTS, XSS, and CORS headers</w:t>
            </w:r>
          </w:p>
        </w:tc>
      </w:tr>
      <w:tr>
        <w:tc>
          <w:tcPr>
            <w:tcW w:type="dxa" w:w="14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Layer 3</w:t>
            </w:r>
          </w:p>
        </w:tc>
        <w:tc>
          <w:tcPr>
            <w:tcW w:type="dxa" w:w="22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AI/ML Intelligence</w:t>
            </w:r>
          </w:p>
        </w:tc>
        <w:tc>
          <w:tcPr>
            <w:tcW w:type="dxa" w:w="576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5-model ensemble (Isolation Forest, Random Forest, XGBoost, Autoencoder, Sequence Detector), 16-feature vector with velocity tracking, SHAP explainability, NLP watchlist screening, PageRank graph analysis</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Layer 4</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Compliance</w:t>
            </w:r>
          </w:p>
        </w:tc>
        <w:tc>
          <w:tcPr>
            <w:tcW w:type="dxa" w:w="57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AML/KYC screening, HITL triage with SLA countdown, case management lifecycle, SAR filing, sanctions database, SWIFT GPI tracking, FX engine</w:t>
            </w:r>
          </w:p>
        </w:tc>
      </w:tr>
      <w:tr>
        <w:tc>
          <w:tcPr>
            <w:tcW w:type="dxa" w:w="14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Layer 5</w:t>
            </w:r>
          </w:p>
        </w:tc>
        <w:tc>
          <w:tcPr>
            <w:tcW w:type="dxa" w:w="22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Blockchain</w:t>
            </w:r>
          </w:p>
        </w:tc>
        <w:tc>
          <w:tcPr>
            <w:tcW w:type="dxa" w:w="576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7 Ethereum smart contracts (Solidity ^0.8.0), atomic swaps, Nostro/Vostro liquidity, multi-sig approval, compliance oracle, cross-border bridge, fee manager</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Layer 6</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Data Sovereignty</w:t>
            </w:r>
          </w:p>
        </w:tc>
        <w:tc>
          <w:tcPr>
            <w:tcW w:type="dxa" w:w="57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SQLite off-chain vault with 9 tables, GDPR right to erasure, PII encryption, SHA-256 hash anchoring, ISO 20022 payload separation, four-eyes approval tracking</w:t>
            </w:r>
          </w:p>
        </w:tc>
      </w:tr>
      <w:tr>
        <w:tc>
          <w:tcPr>
            <w:tcW w:type="dxa" w:w="14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Layer 7</w:t>
            </w:r>
          </w:p>
        </w:tc>
        <w:tc>
          <w:tcPr>
            <w:tcW w:type="dxa" w:w="22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Infrastructure</w:t>
            </w:r>
          </w:p>
        </w:tc>
        <w:tc>
          <w:tcPr>
            <w:tcW w:type="dxa" w:w="576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Ganache local blockchain, Flask API server, local macOS or Colab deployment, automated ML training pipeline, health monitoring, process orchestration</w:t>
            </w:r>
          </w:p>
        </w:tc>
      </w:tr>
    </w:tbl>
    <w:p>
      <w:pPr>
        <w:spacing w:after="80"/>
      </w:pPr>
    </w:p>
    <w:p>
      <w:pPr>
        <w:pStyle w:val="Heading2"/>
        <w:spacing w:after="160" w:before="280"/>
      </w:pPr>
      <w:r>
        <w:rPr>
          <w:rFonts w:ascii="Calibri" w:cs="Calibri" w:eastAsia="Calibri" w:hAnsi="Calibri"/>
          <w:b/>
          <w:bCs/>
          <w:color w:val="2C3E50"/>
          <w:sz w:val="26"/>
          <w:szCs w:val="26"/>
        </w:rPr>
        <w:t xml:space="preserve">2.2 Seven-Layer Convergent Architecture</w:t>
      </w:r>
    </w:p>
    <w:p>
      <w:pPr>
        <w:spacing w:after="120"/>
        <w:jc w:val="both"/>
      </w:pPr>
      <w:r>
        <w:rPr>
          <w:rFonts w:ascii="Calibri" w:cs="Calibri" w:eastAsia="Calibri" w:hAnsi="Calibri"/>
          <w:color w:val="333333"/>
          <w:sz w:val="22"/>
          <w:szCs w:val="22"/>
        </w:rPr>
        <w:t xml:space="preserve">The following diagram presents the complete IPTS seven-layer convergent architecture. The layers are organized into three logical sections: Interaction and Intelligence (Layers 1-3), Security and Compliance (Layers 4-5), and Settlement Infrastructure (Layers 6-7).</w:t>
      </w:r>
    </w:p>
    <w:p>
      <w:pPr>
        <w:spacing w:after="80" w:before="200"/>
        <w:jc w:val="center"/>
      </w:pPr>
      <w:r>
        <w:drawing>
          <wp:inline distT="0" distB="0" distL="0" distR="0">
            <wp:extent cx="5524500" cy="4000500"/>
            <wp:effectExtent t="0" r="0" b="0" l="0"/>
            <wp:docPr id="1" name="ipts_seven_layer_convergent_architecture" descr="Complete overview of the IPTS 7-layer architecture" title="IPTS Seven-Layer Convergent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4000500"/>
                    </a:xfrm>
                    <a:prstGeom prst="rect">
                      <a:avLst/>
                    </a:prstGeom>
                  </pic:spPr>
                </pic:pic>
              </a:graphicData>
            </a:graphic>
          </wp:inline>
        </w:drawing>
      </w:r>
    </w:p>
    <w:p>
      <w:pPr>
        <w:spacing w:after="200"/>
        <w:jc w:val="center"/>
      </w:pPr>
      <w:r>
        <w:rPr>
          <w:rFonts w:ascii="Calibri" w:cs="Calibri" w:eastAsia="Calibri" w:hAnsi="Calibri"/>
          <w:i/>
          <w:iCs/>
          <w:color w:val="777777"/>
          <w:sz w:val="18"/>
          <w:szCs w:val="18"/>
        </w:rPr>
        <w:t xml:space="preserve">Figure 1: IPTS Seven-Layer Convergent Architecture Overview</w:t>
      </w:r>
    </w:p>
    <w:p>
      <w:pPr>
        <w:spacing w:after="80"/>
      </w:pPr>
    </w:p>
    <w:p>
      <w:pPr>
        <w:pStyle w:val="Heading2"/>
        <w:spacing w:after="160" w:before="280"/>
      </w:pPr>
      <w:r>
        <w:rPr>
          <w:rFonts w:ascii="Calibri" w:cs="Calibri" w:eastAsia="Calibri" w:hAnsi="Calibri"/>
          <w:b/>
          <w:bCs/>
          <w:color w:val="2C3E50"/>
          <w:sz w:val="26"/>
          <w:szCs w:val="26"/>
        </w:rPr>
        <w:t xml:space="preserve">2.3 Layer 1 — Interaction Architecture</w:t>
      </w:r>
    </w:p>
    <w:p>
      <w:pPr>
        <w:spacing w:after="120"/>
        <w:jc w:val="both"/>
      </w:pPr>
      <w:r>
        <w:rPr>
          <w:rFonts w:ascii="Calibri" w:cs="Calibri" w:eastAsia="Calibri" w:hAnsi="Calibri"/>
          <w:color w:val="333333"/>
          <w:sz w:val="22"/>
          <w:szCs w:val="22"/>
        </w:rPr>
        <w:t xml:space="preserve">The Interaction Layer defines three categories of entry points: digital portals, wallet integrations, and automated triggers. Each feeds into a unified request pipeline that normalizes input formats before passing them to the Integration Layer.</w:t>
      </w:r>
    </w:p>
    <w:p>
      <w:pPr>
        <w:spacing w:after="80" w:before="200"/>
        <w:jc w:val="center"/>
      </w:pPr>
      <w:r>
        <w:drawing>
          <wp:inline distT="0" distB="0" distL="0" distR="0">
            <wp:extent cx="5524500" cy="3619500"/>
            <wp:effectExtent t="0" r="0" b="0" l="0"/>
            <wp:docPr id="1" name="ipts_layer1_interaction_architecture" descr="Layer 1 Interaction architecture" title="IPTS Interaction Layer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24500" cy="3619500"/>
                    </a:xfrm>
                    <a:prstGeom prst="rect">
                      <a:avLst/>
                    </a:prstGeom>
                  </pic:spPr>
                </pic:pic>
              </a:graphicData>
            </a:graphic>
          </wp:inline>
        </w:drawing>
      </w:r>
    </w:p>
    <w:p>
      <w:pPr>
        <w:spacing w:after="200"/>
        <w:jc w:val="center"/>
      </w:pPr>
      <w:r>
        <w:rPr>
          <w:rFonts w:ascii="Calibri" w:cs="Calibri" w:eastAsia="Calibri" w:hAnsi="Calibri"/>
          <w:i/>
          <w:iCs/>
          <w:color w:val="777777"/>
          <w:sz w:val="18"/>
          <w:szCs w:val="18"/>
        </w:rPr>
        <w:t xml:space="preserve">Figure 2: Layer 1 — Interaction Architecture</w:t>
      </w:r>
    </w:p>
    <w:p>
      <w:pPr>
        <w:spacing w:after="80"/>
      </w:pPr>
    </w:p>
    <w:p>
      <w:pPr>
        <w:pStyle w:val="Heading2"/>
        <w:spacing w:after="160" w:before="280"/>
      </w:pPr>
      <w:r>
        <w:rPr>
          <w:rFonts w:ascii="Calibri" w:cs="Calibri" w:eastAsia="Calibri" w:hAnsi="Calibri"/>
          <w:b/>
          <w:bCs/>
          <w:color w:val="2C3E50"/>
          <w:sz w:val="26"/>
          <w:szCs w:val="26"/>
        </w:rPr>
        <w:t xml:space="preserve">2.4 Layer 1 — Integration Architecture</w:t>
      </w:r>
    </w:p>
    <w:p>
      <w:pPr>
        <w:spacing w:after="120"/>
        <w:jc w:val="both"/>
      </w:pPr>
      <w:r>
        <w:rPr>
          <w:rFonts w:ascii="Calibri" w:cs="Calibri" w:eastAsia="Calibri" w:hAnsi="Calibri"/>
          <w:color w:val="333333"/>
          <w:sz w:val="22"/>
          <w:szCs w:val="22"/>
        </w:rPr>
        <w:t xml:space="preserve">The Integration Layer connects IPTS with the broader financial ecosystem through a centralized API Gateway that enforces rate limiting, authentication, request routing, and schema validation. The Message Transformer provides ISO 20022 parsing and data enrichment.</w:t>
      </w:r>
    </w:p>
    <w:p>
      <w:pPr>
        <w:spacing w:after="80" w:before="200"/>
        <w:jc w:val="center"/>
      </w:pPr>
      <w:r>
        <w:drawing>
          <wp:inline distT="0" distB="0" distL="0" distR="0">
            <wp:extent cx="5524500" cy="3619500"/>
            <wp:effectExtent t="0" r="0" b="0" l="0"/>
            <wp:docPr id="1" name="ipts_layer1_integration_architecture" descr="Layer 1 Integration architecture" title="IPTS Integration Layer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24500" cy="3619500"/>
                    </a:xfrm>
                    <a:prstGeom prst="rect">
                      <a:avLst/>
                    </a:prstGeom>
                  </pic:spPr>
                </pic:pic>
              </a:graphicData>
            </a:graphic>
          </wp:inline>
        </w:drawing>
      </w:r>
    </w:p>
    <w:p>
      <w:pPr>
        <w:spacing w:after="200"/>
        <w:jc w:val="center"/>
      </w:pPr>
      <w:r>
        <w:rPr>
          <w:rFonts w:ascii="Calibri" w:cs="Calibri" w:eastAsia="Calibri" w:hAnsi="Calibri"/>
          <w:i/>
          <w:iCs/>
          <w:color w:val="777777"/>
          <w:sz w:val="18"/>
          <w:szCs w:val="18"/>
        </w:rPr>
        <w:t xml:space="preserve">Figure 3: Layer 1 — Integration Architecture</w:t>
      </w:r>
    </w:p>
    <w:p>
      <w:pPr>
        <w:spacing w:after="80"/>
      </w:pPr>
    </w:p>
    <w:p>
      <w:pPr>
        <w:pStyle w:val="Heading2"/>
        <w:spacing w:after="160" w:before="280"/>
      </w:pPr>
      <w:r>
        <w:rPr>
          <w:rFonts w:ascii="Calibri" w:cs="Calibri" w:eastAsia="Calibri" w:hAnsi="Calibri"/>
          <w:b/>
          <w:bCs/>
          <w:color w:val="2C3E50"/>
          <w:sz w:val="26"/>
          <w:szCs w:val="26"/>
        </w:rPr>
        <w:t xml:space="preserve">2.5 Layer 2 — Zero Trust Security Architecture</w:t>
      </w:r>
    </w:p>
    <w:p>
      <w:pPr>
        <w:spacing w:after="120"/>
        <w:jc w:val="both"/>
      </w:pPr>
      <w:r>
        <w:rPr>
          <w:rFonts w:ascii="Calibri" w:cs="Calibri" w:eastAsia="Calibri" w:hAnsi="Calibri"/>
          <w:color w:val="333333"/>
          <w:sz w:val="22"/>
          <w:szCs w:val="22"/>
        </w:rPr>
        <w:t xml:space="preserve">The Security Layer implements a comprehensive Zero Trust model organized into four security domains: Identity and Access Management, Micro-segmentation, Continuous Verification, and Cryptographic Layer with Threat Intelligence integration.</w:t>
      </w:r>
    </w:p>
    <w:p>
      <w:pPr>
        <w:spacing w:after="80" w:before="200"/>
        <w:jc w:val="center"/>
      </w:pPr>
      <w:r>
        <w:drawing>
          <wp:inline distT="0" distB="0" distL="0" distR="0">
            <wp:extent cx="5524500" cy="3810000"/>
            <wp:effectExtent t="0" r="0" b="0" l="0"/>
            <wp:docPr id="1" name="ipts_layer2_security_architecture" descr="Layer 2 Security architecture" title="IPTS Zero Trust Security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24500" cy="3810000"/>
                    </a:xfrm>
                    <a:prstGeom prst="rect">
                      <a:avLst/>
                    </a:prstGeom>
                  </pic:spPr>
                </pic:pic>
              </a:graphicData>
            </a:graphic>
          </wp:inline>
        </w:drawing>
      </w:r>
    </w:p>
    <w:p>
      <w:pPr>
        <w:spacing w:after="200"/>
        <w:jc w:val="center"/>
      </w:pPr>
      <w:r>
        <w:rPr>
          <w:rFonts w:ascii="Calibri" w:cs="Calibri" w:eastAsia="Calibri" w:hAnsi="Calibri"/>
          <w:i/>
          <w:iCs/>
          <w:color w:val="777777"/>
          <w:sz w:val="18"/>
          <w:szCs w:val="18"/>
        </w:rPr>
        <w:t xml:space="preserve">Figure 4: Layer 2 — Zero Trust Security Architecture</w:t>
      </w:r>
    </w:p>
    <w:p>
      <w:pPr>
        <w:spacing w:after="80"/>
      </w:pPr>
    </w:p>
    <w:p>
      <w:pPr>
        <w:pStyle w:val="Heading2"/>
        <w:spacing w:after="160" w:before="280"/>
      </w:pPr>
      <w:r>
        <w:rPr>
          <w:rFonts w:ascii="Calibri" w:cs="Calibri" w:eastAsia="Calibri" w:hAnsi="Calibri"/>
          <w:b/>
          <w:bCs/>
          <w:color w:val="2C3E50"/>
          <w:sz w:val="26"/>
          <w:szCs w:val="26"/>
        </w:rPr>
        <w:t xml:space="preserve">2.6 Layer 6 — Data Architecture</w:t>
      </w:r>
    </w:p>
    <w:p>
      <w:pPr>
        <w:spacing w:after="120"/>
        <w:jc w:val="both"/>
      </w:pPr>
      <w:r>
        <w:rPr>
          <w:rFonts w:ascii="Calibri" w:cs="Calibri" w:eastAsia="Calibri" w:hAnsi="Calibri"/>
          <w:color w:val="333333"/>
          <w:sz w:val="22"/>
          <w:szCs w:val="22"/>
        </w:rPr>
        <w:t xml:space="preserve">The Data Layer ensures integrity, immutability, and regulatory compliance. Hash Anchoring computes SHA-256 hashes and anchors Merkle tree roots on-chain. The GDPR Compliance Vault stores encrypted PII with consent management and right-to-erasure implementation.</w:t>
      </w:r>
    </w:p>
    <w:p>
      <w:pPr>
        <w:spacing w:after="80" w:before="200"/>
        <w:jc w:val="center"/>
      </w:pPr>
      <w:r>
        <w:drawing>
          <wp:inline distT="0" distB="0" distL="0" distR="0">
            <wp:extent cx="5524500" cy="3810000"/>
            <wp:effectExtent t="0" r="0" b="0" l="0"/>
            <wp:docPr id="1" name="ipts_layer6_data_architecture" descr="Layer 6 Data architecture" title="IPTS Data Layer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24500" cy="3810000"/>
                    </a:xfrm>
                    <a:prstGeom prst="rect">
                      <a:avLst/>
                    </a:prstGeom>
                  </pic:spPr>
                </pic:pic>
              </a:graphicData>
            </a:graphic>
          </wp:inline>
        </w:drawing>
      </w:r>
    </w:p>
    <w:p>
      <w:pPr>
        <w:spacing w:after="200"/>
        <w:jc w:val="center"/>
      </w:pPr>
      <w:r>
        <w:rPr>
          <w:rFonts w:ascii="Calibri" w:cs="Calibri" w:eastAsia="Calibri" w:hAnsi="Calibri"/>
          <w:i/>
          <w:iCs/>
          <w:color w:val="777777"/>
          <w:sz w:val="18"/>
          <w:szCs w:val="18"/>
        </w:rPr>
        <w:t xml:space="preserve">Figure 5: Layer 6 — Data Architecture</w:t>
      </w:r>
    </w:p>
    <w:p>
      <w:pPr>
        <w:spacing w:after="80"/>
      </w:pPr>
    </w:p>
    <w:p>
      <w:pPr>
        <w:pStyle w:val="Heading2"/>
        <w:spacing w:after="160" w:before="280"/>
      </w:pPr>
      <w:r>
        <w:rPr>
          <w:rFonts w:ascii="Calibri" w:cs="Calibri" w:eastAsia="Calibri" w:hAnsi="Calibri"/>
          <w:b/>
          <w:bCs/>
          <w:color w:val="2C3E50"/>
          <w:sz w:val="26"/>
          <w:szCs w:val="26"/>
        </w:rPr>
        <w:t xml:space="preserve">2.7 Layer 7 — Infrastructure Architecture</w:t>
      </w:r>
    </w:p>
    <w:p>
      <w:pPr>
        <w:spacing w:after="120"/>
        <w:jc w:val="both"/>
      </w:pPr>
      <w:r>
        <w:rPr>
          <w:rFonts w:ascii="Calibri" w:cs="Calibri" w:eastAsia="Calibri" w:hAnsi="Calibri"/>
          <w:color w:val="333333"/>
          <w:sz w:val="22"/>
          <w:szCs w:val="22"/>
        </w:rPr>
        <w:t xml:space="preserve">The Infrastructure Layer provides the runtime foundation with Hybrid Cloud Backbone, Validator Nodes with Byzantine Fault Tolerance, Observability Stack with Prometheus metrics and distributed tracing, and Disaster Recovery with RPO &lt; 1 minute and RTO &lt; 5 minutes.</w:t>
      </w:r>
    </w:p>
    <w:p>
      <w:pPr>
        <w:spacing w:after="80" w:before="200"/>
        <w:jc w:val="center"/>
      </w:pPr>
      <w:r>
        <w:drawing>
          <wp:inline distT="0" distB="0" distL="0" distR="0">
            <wp:extent cx="5524500" cy="3810000"/>
            <wp:effectExtent t="0" r="0" b="0" l="0"/>
            <wp:docPr id="1" name="ipts_layer7_infrastructure_architecture" descr="Layer 7 Infrastructure architecture" title="IPTS Infrastructure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24500" cy="3810000"/>
                    </a:xfrm>
                    <a:prstGeom prst="rect">
                      <a:avLst/>
                    </a:prstGeom>
                  </pic:spPr>
                </pic:pic>
              </a:graphicData>
            </a:graphic>
          </wp:inline>
        </w:drawing>
      </w:r>
    </w:p>
    <w:p>
      <w:pPr>
        <w:spacing w:after="200"/>
        <w:jc w:val="center"/>
      </w:pPr>
      <w:r>
        <w:rPr>
          <w:rFonts w:ascii="Calibri" w:cs="Calibri" w:eastAsia="Calibri" w:hAnsi="Calibri"/>
          <w:i/>
          <w:iCs/>
          <w:color w:val="777777"/>
          <w:sz w:val="18"/>
          <w:szCs w:val="18"/>
        </w:rPr>
        <w:t xml:space="preserve">Figure 6: Layer 7 — Infrastructure Architecture</w:t>
      </w:r>
    </w:p>
    <w:p>
      <w:r>
        <w:br w:type="page"/>
      </w:r>
    </w:p>
    <w:p>
      <w:pPr>
        <w:pStyle w:val="Heading1"/>
        <w:spacing w:after="200" w:before="360"/>
      </w:pPr>
      <w:r>
        <w:rPr>
          <w:rFonts w:ascii="Calibri" w:cs="Calibri" w:eastAsia="Calibri" w:hAnsi="Calibri"/>
          <w:b/>
          <w:bCs/>
          <w:color w:val="1A5276"/>
          <w:sz w:val="32"/>
          <w:szCs w:val="32"/>
        </w:rPr>
        <w:t xml:space="preserve">3. Technical Components</w:t>
      </w:r>
    </w:p>
    <w:p>
      <w:pPr>
        <w:pStyle w:val="Heading2"/>
        <w:spacing w:after="160" w:before="280"/>
      </w:pPr>
      <w:r>
        <w:rPr>
          <w:rFonts w:ascii="Calibri" w:cs="Calibri" w:eastAsia="Calibri" w:hAnsi="Calibri"/>
          <w:b/>
          <w:bCs/>
          <w:color w:val="2C3E50"/>
          <w:sz w:val="26"/>
          <w:szCs w:val="26"/>
        </w:rPr>
        <w:t xml:space="preserve">3.1 Blockchain Infrastructure</w:t>
      </w:r>
    </w:p>
    <w:p>
      <w:pPr>
        <w:spacing w:after="120"/>
        <w:jc w:val="both"/>
      </w:pPr>
      <w:r>
        <w:rPr>
          <w:rFonts w:ascii="Calibri" w:cs="Calibri" w:eastAsia="Calibri" w:hAnsi="Calibri"/>
          <w:color w:val="333333"/>
          <w:sz w:val="22"/>
          <w:szCs w:val="22"/>
        </w:rPr>
        <w:t xml:space="preserve">The blockchain layer provides the immutable settlement backbone. Seven Solidity smart contracts are compiled using py-solc-x and deployed to a local Ganache instance with 10 pre-funded accounts (1,000 ETH each).</w:t>
      </w:r>
    </w:p>
    <w:p>
      <w:pPr>
        <w:spacing w:after="80"/>
      </w:pPr>
    </w:p>
    <w:p>
      <w:pPr>
        <w:pStyle w:val="Heading3"/>
        <w:spacing w:after="120" w:before="200"/>
      </w:pPr>
      <w:r>
        <w:rPr>
          <w:rFonts w:ascii="Calibri" w:cs="Calibri" w:eastAsia="Calibri" w:hAnsi="Calibri"/>
          <w:b/>
          <w:bCs/>
          <w:color w:val="2C3E50"/>
          <w:sz w:val="22"/>
          <w:szCs w:val="22"/>
        </w:rPr>
        <w:t xml:space="preserve">Smart Contracts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1A5276"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Contract</w:t>
            </w:r>
          </w:p>
        </w:tc>
        <w:tc>
          <w:tcPr>
            <w:tcW w:type="dxa" w:w="6360"/>
            <w:tcBorders>
              <w:top w:val="single" w:color="CCCCCC" w:sz="1"/>
              <w:left w:val="single" w:color="CCCCCC" w:sz="1"/>
              <w:bottom w:val="single" w:color="CCCCCC" w:sz="1"/>
              <w:right w:val="single" w:color="CCCCCC" w:sz="1"/>
            </w:tcBorders>
            <w:shd w:fill="1A5276"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Purpose</w:t>
            </w:r>
          </w:p>
        </w:tc>
      </w:tr>
      <w:tr>
        <w:tc>
          <w:tcPr>
            <w:tcW w:type="dxa" w:w="30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IPTS_Enterprise_Settlement</w:t>
            </w:r>
          </w:p>
        </w:tc>
        <w:tc>
          <w:tcPr>
            <w:tcW w:type="dxa" w:w="636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Primary settlement contract: injectLiquidity, executeAtomicSwap, getNostroBalance, getSettlement</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ComplianceOracle</w:t>
            </w:r>
          </w:p>
        </w:tc>
        <w:tc>
          <w:tcPr>
            <w:tcW w:type="dxa" w:w="63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On-chain risk score storage and compliance verification checks</w:t>
            </w:r>
          </w:p>
        </w:tc>
      </w:tr>
      <w:tr>
        <w:tc>
          <w:tcPr>
            <w:tcW w:type="dxa" w:w="30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MultiSigApproval</w:t>
            </w:r>
          </w:p>
        </w:tc>
        <w:tc>
          <w:tcPr>
            <w:tcW w:type="dxa" w:w="636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Multi-signature approval workflow for high-value settlements</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AuditTrail</w:t>
            </w:r>
          </w:p>
        </w:tc>
        <w:tc>
          <w:tcPr>
            <w:tcW w:type="dxa" w:w="63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Immutable on-chain audit event logging with timestamps</w:t>
            </w:r>
          </w:p>
        </w:tc>
      </w:tr>
      <w:tr>
        <w:tc>
          <w:tcPr>
            <w:tcW w:type="dxa" w:w="30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NostroVostro</w:t>
            </w:r>
          </w:p>
        </w:tc>
        <w:tc>
          <w:tcPr>
            <w:tcW w:type="dxa" w:w="636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Nostro/Vostro account balance management and reconciliation</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CrossBorderBridge</w:t>
            </w:r>
          </w:p>
        </w:tc>
        <w:tc>
          <w:tcPr>
            <w:tcW w:type="dxa" w:w="63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Cross-border settlement bridge for multi-jurisdiction transactions</w:t>
            </w:r>
          </w:p>
        </w:tc>
      </w:tr>
      <w:tr>
        <w:tc>
          <w:tcPr>
            <w:tcW w:type="dxa" w:w="30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FeeManager</w:t>
            </w:r>
          </w:p>
        </w:tc>
        <w:tc>
          <w:tcPr>
            <w:tcW w:type="dxa" w:w="636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Fee calculation and distribution for settlement processing</w:t>
            </w:r>
          </w:p>
        </w:tc>
      </w:tr>
    </w:tbl>
    <w:p>
      <w:pPr>
        <w:spacing w:after="80"/>
      </w:pPr>
    </w:p>
    <w:p>
      <w:pPr>
        <w:spacing w:after="120"/>
        <w:jc w:val="both"/>
      </w:pPr>
      <w:r>
        <w:rPr>
          <w:rFonts w:ascii="Calibri" w:cs="Calibri" w:eastAsia="Calibri" w:hAnsi="Calibri"/>
          <w:color w:val="333333"/>
          <w:sz w:val="22"/>
          <w:szCs w:val="22"/>
        </w:rPr>
        <w:t xml:space="preserve">The atomic swap mechanism in IPTS_Enterprise_Settlement verifies sender balances, executes the fund transfer, and anchors an immutable bytes32 ISO 20022 hash to the ledger in a single transaction. All settlement amounts are denominated in USD and converted to ETH at a fixed rate of $3,500/ETH for blockchain recording.</w:t>
      </w:r>
    </w:p>
    <w:p>
      <w:pPr>
        <w:spacing w:after="80"/>
      </w:pPr>
    </w:p>
    <w:p>
      <w:pPr>
        <w:pStyle w:val="Heading2"/>
        <w:spacing w:after="160" w:before="280"/>
      </w:pPr>
      <w:r>
        <w:rPr>
          <w:rFonts w:ascii="Calibri" w:cs="Calibri" w:eastAsia="Calibri" w:hAnsi="Calibri"/>
          <w:b/>
          <w:bCs/>
          <w:color w:val="2C3E50"/>
          <w:sz w:val="26"/>
          <w:szCs w:val="26"/>
        </w:rPr>
        <w:t xml:space="preserve">3.2 AI/ML Fraud Detection Engine</w:t>
      </w:r>
    </w:p>
    <w:p>
      <w:pPr>
        <w:spacing w:after="120"/>
        <w:jc w:val="both"/>
      </w:pPr>
      <w:r>
        <w:rPr>
          <w:rFonts w:ascii="Calibri" w:cs="Calibri" w:eastAsia="Calibri" w:hAnsi="Calibri"/>
          <w:color w:val="333333"/>
          <w:sz w:val="22"/>
          <w:szCs w:val="22"/>
        </w:rPr>
        <w:t xml:space="preserve">The cognitive intelligence layer trains five complementary machine learning models on a synthetic dataset of 15,000 transactions (97% legitimate, 3% fraudulent). The models operate as a weighted ensemble for real-time risk scoring, with SHAP (SHapley Additive exPlanations) providing per-transaction explainability.</w:t>
      </w:r>
    </w:p>
    <w:p>
      <w:pPr>
        <w:spacing w:after="80"/>
      </w:pPr>
    </w:p>
    <w:p>
      <w:pPr>
        <w:pStyle w:val="Heading3"/>
        <w:spacing w:after="120" w:before="200"/>
      </w:pPr>
      <w:r>
        <w:rPr>
          <w:rFonts w:ascii="Calibri" w:cs="Calibri" w:eastAsia="Calibri" w:hAnsi="Calibri"/>
          <w:b/>
          <w:bCs/>
          <w:color w:val="2C3E50"/>
          <w:sz w:val="22"/>
          <w:szCs w:val="22"/>
        </w:rPr>
        <w:t xml:space="preserve">3.2.1 Model Architecture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400"/>
        <w:gridCol w:w="2600"/>
        <w:gridCol w:w="3560"/>
      </w:tblGrid>
      <w:tr>
        <w:tc>
          <w:tcPr>
            <w:tcW w:type="dxa" w:w="1800"/>
            <w:tcBorders>
              <w:top w:val="single" w:color="CCCCCC" w:sz="1"/>
              <w:left w:val="single" w:color="CCCCCC" w:sz="1"/>
              <w:bottom w:val="single" w:color="CCCCCC" w:sz="1"/>
              <w:right w:val="single" w:color="CCCCCC" w:sz="1"/>
            </w:tcBorders>
            <w:shd w:fill="1A5276"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Model</w:t>
            </w:r>
          </w:p>
        </w:tc>
        <w:tc>
          <w:tcPr>
            <w:tcW w:type="dxa" w:w="1400"/>
            <w:tcBorders>
              <w:top w:val="single" w:color="CCCCCC" w:sz="1"/>
              <w:left w:val="single" w:color="CCCCCC" w:sz="1"/>
              <w:bottom w:val="single" w:color="CCCCCC" w:sz="1"/>
              <w:right w:val="single" w:color="CCCCCC" w:sz="1"/>
            </w:tcBorders>
            <w:shd w:fill="1A5276"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Type</w:t>
            </w:r>
          </w:p>
        </w:tc>
        <w:tc>
          <w:tcPr>
            <w:tcW w:type="dxa" w:w="2600"/>
            <w:tcBorders>
              <w:top w:val="single" w:color="CCCCCC" w:sz="1"/>
              <w:left w:val="single" w:color="CCCCCC" w:sz="1"/>
              <w:bottom w:val="single" w:color="CCCCCC" w:sz="1"/>
              <w:right w:val="single" w:color="CCCCCC" w:sz="1"/>
            </w:tcBorders>
            <w:shd w:fill="1A5276"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Configuration</w:t>
            </w:r>
          </w:p>
        </w:tc>
        <w:tc>
          <w:tcPr>
            <w:tcW w:type="dxa" w:w="3560"/>
            <w:tcBorders>
              <w:top w:val="single" w:color="CCCCCC" w:sz="1"/>
              <w:left w:val="single" w:color="CCCCCC" w:sz="1"/>
              <w:bottom w:val="single" w:color="CCCCCC" w:sz="1"/>
              <w:right w:val="single" w:color="CCCCCC" w:sz="1"/>
            </w:tcBorders>
            <w:shd w:fill="1A5276"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Purpose</w:t>
            </w:r>
          </w:p>
        </w:tc>
      </w:tr>
      <w:tr>
        <w:tc>
          <w:tcPr>
            <w:tcW w:type="dxa" w:w="18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Isolation Forest</w:t>
            </w:r>
          </w:p>
        </w:tc>
        <w:tc>
          <w:tcPr>
            <w:tcW w:type="dxa" w:w="14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Unsupervised</w:t>
            </w:r>
          </w:p>
        </w:tc>
        <w:tc>
          <w:tcPr>
            <w:tcW w:type="dxa" w:w="26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100 estimators, 3% contamination</w:t>
            </w:r>
          </w:p>
        </w:tc>
        <w:tc>
          <w:tcPr>
            <w:tcW w:type="dxa" w:w="356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Anomaly detection on 16-dim feature space</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Random Forest</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Supervised</w:t>
            </w:r>
          </w:p>
        </w:tc>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200 estimators, SMOTE-resampled</w:t>
            </w:r>
          </w:p>
        </w:tc>
        <w:tc>
          <w:tcPr>
            <w:tcW w:type="dxa" w:w="35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Binary fraud classification with feature importance</w:t>
            </w:r>
          </w:p>
        </w:tc>
      </w:tr>
      <w:tr>
        <w:tc>
          <w:tcPr>
            <w:tcW w:type="dxa" w:w="18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XGBoost</w:t>
            </w:r>
          </w:p>
        </w:tc>
        <w:tc>
          <w:tcPr>
            <w:tcW w:type="dxa" w:w="14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Supervised</w:t>
            </w:r>
          </w:p>
        </w:tc>
        <w:tc>
          <w:tcPr>
            <w:tcW w:type="dxa" w:w="26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300 estimators, class-weighted</w:t>
            </w:r>
          </w:p>
        </w:tc>
        <w:tc>
          <w:tcPr>
            <w:tcW w:type="dxa" w:w="356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Gradient-boosted classification, primary SHAP source</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Autoencoder</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Semi-supervised</w:t>
            </w:r>
          </w:p>
        </w:tc>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64-32-16-32-64 MLP, 97th pctl</w:t>
            </w:r>
          </w:p>
        </w:tc>
        <w:tc>
          <w:tcPr>
            <w:tcW w:type="dxa" w:w="35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Reconstruction error anomaly detection</w:t>
            </w:r>
          </w:p>
        </w:tc>
      </w:tr>
      <w:tr>
        <w:tc>
          <w:tcPr>
            <w:tcW w:type="dxa" w:w="18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Sequence Detector</w:t>
            </w:r>
          </w:p>
        </w:tc>
        <w:tc>
          <w:tcPr>
            <w:tcW w:type="dxa" w:w="14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Pattern-based</w:t>
            </w:r>
          </w:p>
        </w:tc>
        <w:tc>
          <w:tcPr>
            <w:tcW w:type="dxa" w:w="26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Sliding window, velocity rules</w:t>
            </w:r>
          </w:p>
        </w:tc>
        <w:tc>
          <w:tcPr>
            <w:tcW w:type="dxa" w:w="356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Temporal pattern detection: structuring, rapid-fire, velocity spikes</w:t>
            </w:r>
          </w:p>
        </w:tc>
      </w:tr>
    </w:tbl>
    <w:p>
      <w:pPr>
        <w:spacing w:after="80"/>
      </w:pPr>
    </w:p>
    <w:p>
      <w:pPr>
        <w:pStyle w:val="Heading3"/>
        <w:spacing w:after="120" w:before="200"/>
      </w:pPr>
      <w:r>
        <w:rPr>
          <w:rFonts w:ascii="Calibri" w:cs="Calibri" w:eastAsia="Calibri" w:hAnsi="Calibri"/>
          <w:b/>
          <w:bCs/>
          <w:color w:val="2C3E50"/>
          <w:sz w:val="22"/>
          <w:szCs w:val="22"/>
        </w:rPr>
        <w:t xml:space="preserve">3.2.2 Isolation Forest</w:t>
      </w:r>
    </w:p>
    <w:p>
      <w:pPr>
        <w:spacing w:after="120"/>
        <w:jc w:val="both"/>
      </w:pPr>
      <w:r>
        <w:rPr>
          <w:rFonts w:ascii="Calibri" w:cs="Calibri" w:eastAsia="Calibri" w:hAnsi="Calibri"/>
          <w:color w:val="333333"/>
          <w:sz w:val="22"/>
          <w:szCs w:val="22"/>
        </w:rPr>
        <w:t xml:space="preserve">The Isolation Forest model is an unsupervised anomaly detection algorithm that isolates observations by randomly selecting features and split values. Anomalous transactions require fewer random splits to isolate, producing higher anomaly scores. The model uses 100 estimators with a 3% contamination parameter calibrated to the expected fraud rate in the training data. It operates on the full 16-feature vector, making it effective at detecting transactions that deviate from normal patterns across multiple dimensions simultaneously.</w:t>
      </w:r>
    </w:p>
    <w:p>
      <w:pPr>
        <w:spacing w:after="80"/>
      </w:pPr>
    </w:p>
    <w:p>
      <w:pPr>
        <w:pStyle w:val="Heading3"/>
        <w:spacing w:after="120" w:before="200"/>
      </w:pPr>
      <w:r>
        <w:rPr>
          <w:rFonts w:ascii="Calibri" w:cs="Calibri" w:eastAsia="Calibri" w:hAnsi="Calibri"/>
          <w:b/>
          <w:bCs/>
          <w:color w:val="2C3E50"/>
          <w:sz w:val="22"/>
          <w:szCs w:val="22"/>
        </w:rPr>
        <w:t xml:space="preserve">3.2.3 Random Forest</w:t>
      </w:r>
    </w:p>
    <w:p>
      <w:pPr>
        <w:spacing w:after="120"/>
        <w:jc w:val="both"/>
      </w:pPr>
      <w:r>
        <w:rPr>
          <w:rFonts w:ascii="Calibri" w:cs="Calibri" w:eastAsia="Calibri" w:hAnsi="Calibri"/>
          <w:color w:val="333333"/>
          <w:sz w:val="22"/>
          <w:szCs w:val="22"/>
        </w:rPr>
        <w:t xml:space="preserve">The Random Forest classifier is a supervised ensemble of 200 decision trees trained on SMOTE-resampled data to address the class imbalance problem (97% legitimate vs 3% fraudulent). SMOTE (Synthetic Minority Over-sampling Technique) generates synthetic fraud samples by interpolating between existing minority class examples, creating a balanced training set. Each tree votes on the classification, and the majority vote determines the final prediction. The model provides feature_importances_ which serve as the fallback for SHAP explainability when the TreeExplainer encounters errors.</w:t>
      </w:r>
    </w:p>
    <w:p>
      <w:pPr>
        <w:spacing w:after="80"/>
      </w:pPr>
    </w:p>
    <w:p>
      <w:pPr>
        <w:pStyle w:val="Heading3"/>
        <w:spacing w:after="120" w:before="200"/>
      </w:pPr>
      <w:r>
        <w:rPr>
          <w:rFonts w:ascii="Calibri" w:cs="Calibri" w:eastAsia="Calibri" w:hAnsi="Calibri"/>
          <w:b/>
          <w:bCs/>
          <w:color w:val="2C3E50"/>
          <w:sz w:val="22"/>
          <w:szCs w:val="22"/>
        </w:rPr>
        <w:t xml:space="preserve">3.2.4 XGBoost</w:t>
      </w:r>
    </w:p>
    <w:p>
      <w:pPr>
        <w:spacing w:after="120"/>
        <w:jc w:val="both"/>
      </w:pPr>
      <w:r>
        <w:rPr>
          <w:rFonts w:ascii="Calibri" w:cs="Calibri" w:eastAsia="Calibri" w:hAnsi="Calibri"/>
          <w:color w:val="333333"/>
          <w:sz w:val="22"/>
          <w:szCs w:val="22"/>
        </w:rPr>
        <w:t xml:space="preserve">XGBoost (eXtreme Gradient Boosting) is the primary supervised model, using 300 estimators with class weighting to handle imbalanced data without resampling. It builds trees sequentially, with each tree correcting the errors of previous trees using gradient descent optimization. XGBoost serves as the primary source for SHAP values via TreeExplainer, providing mathematically rigorous per-feature contribution scores for every transaction. The scale_pos_weight parameter is automatically calculated from the class ratio to ensure fraud cases receive proportionally higher learning attention.</w:t>
      </w:r>
    </w:p>
    <w:p>
      <w:pPr>
        <w:spacing w:after="80"/>
      </w:pPr>
    </w:p>
    <w:p>
      <w:pPr>
        <w:pStyle w:val="Heading3"/>
        <w:spacing w:after="120" w:before="200"/>
      </w:pPr>
      <w:r>
        <w:rPr>
          <w:rFonts w:ascii="Calibri" w:cs="Calibri" w:eastAsia="Calibri" w:hAnsi="Calibri"/>
          <w:b/>
          <w:bCs/>
          <w:color w:val="2C3E50"/>
          <w:sz w:val="22"/>
          <w:szCs w:val="22"/>
        </w:rPr>
        <w:t xml:space="preserve">3.2.5 Autoencoder</w:t>
      </w:r>
    </w:p>
    <w:p>
      <w:pPr>
        <w:spacing w:after="120"/>
        <w:jc w:val="both"/>
      </w:pPr>
      <w:r>
        <w:rPr>
          <w:rFonts w:ascii="Calibri" w:cs="Calibri" w:eastAsia="Calibri" w:hAnsi="Calibri"/>
          <w:color w:val="333333"/>
          <w:sz w:val="22"/>
          <w:szCs w:val="22"/>
        </w:rPr>
        <w:t xml:space="preserve">The Autoencoder is a neural network with a symmetric 64-32-16-32-64 architecture trained exclusively on legitimate transactions. It learns to compress normal transaction patterns into a 16-dimensional latent space and reconstruct them. When presented with a fraudulent transaction, the reconstruction error is significantly higher because the model has never learned to encode anomalous patterns. The fraud threshold is set at the 97th percentile of reconstruction errors on the training set. Transactions with reconstruction errors above this threshold are flagged as anomalous.</w:t>
      </w:r>
    </w:p>
    <w:p>
      <w:pPr>
        <w:spacing w:after="80"/>
      </w:pPr>
    </w:p>
    <w:p>
      <w:pPr>
        <w:pStyle w:val="Heading3"/>
        <w:spacing w:after="120" w:before="200"/>
      </w:pPr>
      <w:r>
        <w:rPr>
          <w:rFonts w:ascii="Calibri" w:cs="Calibri" w:eastAsia="Calibri" w:hAnsi="Calibri"/>
          <w:b/>
          <w:bCs/>
          <w:color w:val="2C3E50"/>
          <w:sz w:val="22"/>
          <w:szCs w:val="22"/>
        </w:rPr>
        <w:t xml:space="preserve">3.2.6 Sequence Detector</w:t>
      </w:r>
    </w:p>
    <w:p>
      <w:pPr>
        <w:spacing w:after="120"/>
        <w:jc w:val="both"/>
      </w:pPr>
      <w:r>
        <w:rPr>
          <w:rFonts w:ascii="Calibri" w:cs="Calibri" w:eastAsia="Calibri" w:hAnsi="Calibri"/>
          <w:color w:val="333333"/>
          <w:sz w:val="22"/>
          <w:szCs w:val="22"/>
        </w:rPr>
        <w:t xml:space="preserve">The Sequence Detector is a pattern-based model that analyzes temporal transaction sequences for suspicious behaviors. It employs a sliding window approach to detect three primary patterns: (1) Structuring/smurfing, where multiple transactions just below reporting thresholds ($9,000-$9,999) are submitted in rapid succession; (2) Rapid-fire transactions, where abnormally high transaction counts occur within short time windows (1h, 24h, 7d); and (3) Velocity spikes, where sudden increases in transaction frequency or amount deviation exceed configurable thresholds. The model integrates with the VelocityTracker to access real-time per-sender transaction velocity metrics.</w:t>
      </w:r>
    </w:p>
    <w:p>
      <w:pPr>
        <w:spacing w:after="80"/>
      </w:pPr>
    </w:p>
    <w:p>
      <w:pPr>
        <w:pStyle w:val="Heading3"/>
        <w:spacing w:after="120" w:before="200"/>
      </w:pPr>
      <w:r>
        <w:rPr>
          <w:rFonts w:ascii="Calibri" w:cs="Calibri" w:eastAsia="Calibri" w:hAnsi="Calibri"/>
          <w:b/>
          <w:bCs/>
          <w:color w:val="2C3E50"/>
          <w:sz w:val="22"/>
          <w:szCs w:val="22"/>
        </w:rPr>
        <w:t xml:space="preserve">3.2.7 16-Feature Vector</w:t>
      </w:r>
    </w:p>
    <w:p>
      <w:pPr>
        <w:spacing w:after="120"/>
        <w:jc w:val="both"/>
      </w:pPr>
      <w:r>
        <w:rPr>
          <w:rFonts w:ascii="Calibri" w:cs="Calibri" w:eastAsia="Calibri" w:hAnsi="Calibri"/>
          <w:color w:val="333333"/>
          <w:sz w:val="22"/>
          <w:szCs w:val="22"/>
        </w:rPr>
        <w:t xml:space="preserve">Each transaction is characterized by a 16-dimensional feature vector that combines static transaction attributes with real-time behavioral features computed by the VelocityTracker:</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2000"/>
        <w:gridCol w:w="3960"/>
      </w:tblGrid>
      <w:tr>
        <w:tc>
          <w:tcPr>
            <w:tcW w:type="dxa" w:w="600"/>
            <w:tcBorders>
              <w:top w:val="single" w:color="CCCCCC" w:sz="1"/>
              <w:left w:val="single" w:color="CCCCCC" w:sz="1"/>
              <w:bottom w:val="single" w:color="CCCCCC" w:sz="1"/>
              <w:right w:val="single" w:color="CCCCCC" w:sz="1"/>
            </w:tcBorders>
            <w:shd w:fill="1A5276"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w:t>
            </w:r>
          </w:p>
        </w:tc>
        <w:tc>
          <w:tcPr>
            <w:tcW w:type="dxa" w:w="2800"/>
            <w:tcBorders>
              <w:top w:val="single" w:color="CCCCCC" w:sz="1"/>
              <w:left w:val="single" w:color="CCCCCC" w:sz="1"/>
              <w:bottom w:val="single" w:color="CCCCCC" w:sz="1"/>
              <w:right w:val="single" w:color="CCCCCC" w:sz="1"/>
            </w:tcBorders>
            <w:shd w:fill="1A5276"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Feature</w:t>
            </w:r>
          </w:p>
        </w:tc>
        <w:tc>
          <w:tcPr>
            <w:tcW w:type="dxa" w:w="2000"/>
            <w:tcBorders>
              <w:top w:val="single" w:color="CCCCCC" w:sz="1"/>
              <w:left w:val="single" w:color="CCCCCC" w:sz="1"/>
              <w:bottom w:val="single" w:color="CCCCCC" w:sz="1"/>
              <w:right w:val="single" w:color="CCCCCC" w:sz="1"/>
            </w:tcBorders>
            <w:shd w:fill="1A5276"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Type</w:t>
            </w:r>
          </w:p>
        </w:tc>
        <w:tc>
          <w:tcPr>
            <w:tcW w:type="dxa" w:w="3960"/>
            <w:tcBorders>
              <w:top w:val="single" w:color="CCCCCC" w:sz="1"/>
              <w:left w:val="single" w:color="CCCCCC" w:sz="1"/>
              <w:bottom w:val="single" w:color="CCCCCC" w:sz="1"/>
              <w:right w:val="single" w:color="CCCCCC" w:sz="1"/>
            </w:tcBorders>
            <w:shd w:fill="1A5276"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Description</w:t>
            </w:r>
          </w:p>
        </w:tc>
      </w:tr>
      <w:tr>
        <w:tc>
          <w:tcPr>
            <w:tcW w:type="dxa" w:w="6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center"/>
            </w:pPr>
            <w:r>
              <w:rPr>
                <w:rFonts w:ascii="Calibri" w:cs="Calibri" w:eastAsia="Calibri" w:hAnsi="Calibri"/>
                <w:b/>
                <w:bCs/>
                <w:color w:val="333333"/>
                <w:sz w:val="20"/>
                <w:szCs w:val="20"/>
              </w:rPr>
              <w:t xml:space="preserve">1</w:t>
            </w:r>
          </w:p>
        </w:tc>
        <w:tc>
          <w:tcPr>
            <w:tcW w:type="dxa" w:w="28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amount</w:t>
            </w:r>
          </w:p>
        </w:tc>
        <w:tc>
          <w:tcPr>
            <w:tcW w:type="dxa" w:w="20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Static</w:t>
            </w:r>
          </w:p>
        </w:tc>
        <w:tc>
          <w:tcPr>
            <w:tcW w:type="dxa" w:w="396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Transaction value in USD</w:t>
            </w:r>
          </w:p>
        </w:tc>
      </w:tr>
      <w:tr>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libri" w:cs="Calibri" w:eastAsia="Calibri" w:hAnsi="Calibri"/>
                <w:b/>
                <w:bCs/>
                <w:color w:val="333333"/>
                <w:sz w:val="20"/>
                <w:szCs w:val="20"/>
              </w:rPr>
              <w:t xml:space="preserve">2</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hour</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Static</w:t>
            </w:r>
          </w:p>
        </w:tc>
        <w:tc>
          <w:tcPr>
            <w:tcW w:type="dxa" w:w="39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Hour of day (0-23) when transaction was initiated</w:t>
            </w:r>
          </w:p>
        </w:tc>
      </w:tr>
      <w:tr>
        <w:tc>
          <w:tcPr>
            <w:tcW w:type="dxa" w:w="6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center"/>
            </w:pPr>
            <w:r>
              <w:rPr>
                <w:rFonts w:ascii="Calibri" w:cs="Calibri" w:eastAsia="Calibri" w:hAnsi="Calibri"/>
                <w:b/>
                <w:bCs/>
                <w:color w:val="333333"/>
                <w:sz w:val="20"/>
                <w:szCs w:val="20"/>
              </w:rPr>
              <w:t xml:space="preserve">3</w:t>
            </w:r>
          </w:p>
        </w:tc>
        <w:tc>
          <w:tcPr>
            <w:tcW w:type="dxa" w:w="28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day_of_week</w:t>
            </w:r>
          </w:p>
        </w:tc>
        <w:tc>
          <w:tcPr>
            <w:tcW w:type="dxa" w:w="20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Static</w:t>
            </w:r>
          </w:p>
        </w:tc>
        <w:tc>
          <w:tcPr>
            <w:tcW w:type="dxa" w:w="396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Day of week (0=Monday, 6=Sunday)</w:t>
            </w:r>
          </w:p>
        </w:tc>
      </w:tr>
      <w:tr>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libri" w:cs="Calibri" w:eastAsia="Calibri" w:hAnsi="Calibri"/>
                <w:b/>
                <w:bCs/>
                <w:color w:val="333333"/>
                <w:sz w:val="20"/>
                <w:szCs w:val="20"/>
              </w:rPr>
              <w:t xml:space="preserve">4</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freq_7d</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Static</w:t>
            </w:r>
          </w:p>
        </w:tc>
        <w:tc>
          <w:tcPr>
            <w:tcW w:type="dxa" w:w="39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Number of transactions by sender in past 7 days</w:t>
            </w:r>
          </w:p>
        </w:tc>
      </w:tr>
      <w:tr>
        <w:tc>
          <w:tcPr>
            <w:tcW w:type="dxa" w:w="6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center"/>
            </w:pPr>
            <w:r>
              <w:rPr>
                <w:rFonts w:ascii="Calibri" w:cs="Calibri" w:eastAsia="Calibri" w:hAnsi="Calibri"/>
                <w:b/>
                <w:bCs/>
                <w:color w:val="333333"/>
                <w:sz w:val="20"/>
                <w:szCs w:val="20"/>
              </w:rPr>
              <w:t xml:space="preserve">5</w:t>
            </w:r>
          </w:p>
        </w:tc>
        <w:tc>
          <w:tcPr>
            <w:tcW w:type="dxa" w:w="28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is_round</w:t>
            </w:r>
          </w:p>
        </w:tc>
        <w:tc>
          <w:tcPr>
            <w:tcW w:type="dxa" w:w="20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Static</w:t>
            </w:r>
          </w:p>
        </w:tc>
        <w:tc>
          <w:tcPr>
            <w:tcW w:type="dxa" w:w="396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Binary flag: 1 if amount is a round number (e.g. $100K)</w:t>
            </w:r>
          </w:p>
        </w:tc>
      </w:tr>
      <w:tr>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libri" w:cs="Calibri" w:eastAsia="Calibri" w:hAnsi="Calibri"/>
                <w:b/>
                <w:bCs/>
                <w:color w:val="333333"/>
                <w:sz w:val="20"/>
                <w:szCs w:val="20"/>
              </w:rPr>
              <w:t xml:space="preserve">6</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country_risk</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Static</w:t>
            </w:r>
          </w:p>
        </w:tc>
        <w:tc>
          <w:tcPr>
            <w:tcW w:type="dxa" w:w="39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Risk score of recipient jurisdiction (0.0-1.0)</w:t>
            </w:r>
          </w:p>
        </w:tc>
      </w:tr>
      <w:tr>
        <w:tc>
          <w:tcPr>
            <w:tcW w:type="dxa" w:w="6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center"/>
            </w:pPr>
            <w:r>
              <w:rPr>
                <w:rFonts w:ascii="Calibri" w:cs="Calibri" w:eastAsia="Calibri" w:hAnsi="Calibri"/>
                <w:b/>
                <w:bCs/>
                <w:color w:val="333333"/>
                <w:sz w:val="20"/>
                <w:szCs w:val="20"/>
              </w:rPr>
              <w:t xml:space="preserve">7</w:t>
            </w:r>
          </w:p>
        </w:tc>
        <w:tc>
          <w:tcPr>
            <w:tcW w:type="dxa" w:w="28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sender_id</w:t>
            </w:r>
          </w:p>
        </w:tc>
        <w:tc>
          <w:tcPr>
            <w:tcW w:type="dxa" w:w="20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Static</w:t>
            </w:r>
          </w:p>
        </w:tc>
        <w:tc>
          <w:tcPr>
            <w:tcW w:type="dxa" w:w="396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Numeric hash of the sending entity</w:t>
            </w:r>
          </w:p>
        </w:tc>
      </w:tr>
      <w:tr>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libri" w:cs="Calibri" w:eastAsia="Calibri" w:hAnsi="Calibri"/>
                <w:b/>
                <w:bCs/>
                <w:color w:val="333333"/>
                <w:sz w:val="20"/>
                <w:szCs w:val="20"/>
              </w:rPr>
              <w:t xml:space="preserve">8</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receiver_id</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Static</w:t>
            </w:r>
          </w:p>
        </w:tc>
        <w:tc>
          <w:tcPr>
            <w:tcW w:type="dxa" w:w="39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Numeric hash of the receiving entity</w:t>
            </w:r>
          </w:p>
        </w:tc>
      </w:tr>
      <w:tr>
        <w:tc>
          <w:tcPr>
            <w:tcW w:type="dxa" w:w="6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center"/>
            </w:pPr>
            <w:r>
              <w:rPr>
                <w:rFonts w:ascii="Calibri" w:cs="Calibri" w:eastAsia="Calibri" w:hAnsi="Calibri"/>
                <w:b/>
                <w:bCs/>
                <w:color w:val="333333"/>
                <w:sz w:val="20"/>
                <w:szCs w:val="20"/>
              </w:rPr>
              <w:t xml:space="preserve">9</w:t>
            </w:r>
          </w:p>
        </w:tc>
        <w:tc>
          <w:tcPr>
            <w:tcW w:type="dxa" w:w="28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velocity_1h</w:t>
            </w:r>
          </w:p>
        </w:tc>
        <w:tc>
          <w:tcPr>
            <w:tcW w:type="dxa" w:w="20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Real-time</w:t>
            </w:r>
          </w:p>
        </w:tc>
        <w:tc>
          <w:tcPr>
            <w:tcW w:type="dxa" w:w="396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Total USD sent by this sender in the last 1 hour</w:t>
            </w:r>
          </w:p>
        </w:tc>
      </w:tr>
      <w:tr>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libri" w:cs="Calibri" w:eastAsia="Calibri" w:hAnsi="Calibri"/>
                <w:b/>
                <w:bCs/>
                <w:color w:val="333333"/>
                <w:sz w:val="20"/>
                <w:szCs w:val="20"/>
              </w:rPr>
              <w:t xml:space="preserve">10</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velocity_24h</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Real-time</w:t>
            </w:r>
          </w:p>
        </w:tc>
        <w:tc>
          <w:tcPr>
            <w:tcW w:type="dxa" w:w="39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Total USD sent by this sender in the last 24 hours</w:t>
            </w:r>
          </w:p>
        </w:tc>
      </w:tr>
      <w:tr>
        <w:tc>
          <w:tcPr>
            <w:tcW w:type="dxa" w:w="6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center"/>
            </w:pPr>
            <w:r>
              <w:rPr>
                <w:rFonts w:ascii="Calibri" w:cs="Calibri" w:eastAsia="Calibri" w:hAnsi="Calibri"/>
                <w:b/>
                <w:bCs/>
                <w:color w:val="333333"/>
                <w:sz w:val="20"/>
                <w:szCs w:val="20"/>
              </w:rPr>
              <w:t xml:space="preserve">11</w:t>
            </w:r>
          </w:p>
        </w:tc>
        <w:tc>
          <w:tcPr>
            <w:tcW w:type="dxa" w:w="28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velocity_7d</w:t>
            </w:r>
          </w:p>
        </w:tc>
        <w:tc>
          <w:tcPr>
            <w:tcW w:type="dxa" w:w="20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Real-time</w:t>
            </w:r>
          </w:p>
        </w:tc>
        <w:tc>
          <w:tcPr>
            <w:tcW w:type="dxa" w:w="396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Total USD sent by this sender in the last 7 days</w:t>
            </w:r>
          </w:p>
        </w:tc>
      </w:tr>
      <w:tr>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libri" w:cs="Calibri" w:eastAsia="Calibri" w:hAnsi="Calibri"/>
                <w:b/>
                <w:bCs/>
                <w:color w:val="333333"/>
                <w:sz w:val="20"/>
                <w:szCs w:val="20"/>
              </w:rPr>
              <w:t xml:space="preserve">12</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avg_tx_amount</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Real-time</w:t>
            </w:r>
          </w:p>
        </w:tc>
        <w:tc>
          <w:tcPr>
            <w:tcW w:type="dxa" w:w="39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Running average transaction amount for this sender</w:t>
            </w:r>
          </w:p>
        </w:tc>
      </w:tr>
      <w:tr>
        <w:tc>
          <w:tcPr>
            <w:tcW w:type="dxa" w:w="6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center"/>
            </w:pPr>
            <w:r>
              <w:rPr>
                <w:rFonts w:ascii="Calibri" w:cs="Calibri" w:eastAsia="Calibri" w:hAnsi="Calibri"/>
                <w:b/>
                <w:bCs/>
                <w:color w:val="333333"/>
                <w:sz w:val="20"/>
                <w:szCs w:val="20"/>
              </w:rPr>
              <w:t xml:space="preserve">13</w:t>
            </w:r>
          </w:p>
        </w:tc>
        <w:tc>
          <w:tcPr>
            <w:tcW w:type="dxa" w:w="28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std_tx_amount</w:t>
            </w:r>
          </w:p>
        </w:tc>
        <w:tc>
          <w:tcPr>
            <w:tcW w:type="dxa" w:w="20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Real-time</w:t>
            </w:r>
          </w:p>
        </w:tc>
        <w:tc>
          <w:tcPr>
            <w:tcW w:type="dxa" w:w="396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Standard deviation of transaction amounts for this sender</w:t>
            </w:r>
          </w:p>
        </w:tc>
      </w:tr>
      <w:tr>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libri" w:cs="Calibri" w:eastAsia="Calibri" w:hAnsi="Calibri"/>
                <w:b/>
                <w:bCs/>
                <w:color w:val="333333"/>
                <w:sz w:val="20"/>
                <w:szCs w:val="20"/>
              </w:rPr>
              <w:t xml:space="preserve">14</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amount_zscore</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Real-time</w:t>
            </w:r>
          </w:p>
        </w:tc>
        <w:tc>
          <w:tcPr>
            <w:tcW w:type="dxa" w:w="39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Z-score of current amount vs sender's historical mean</w:t>
            </w:r>
          </w:p>
        </w:tc>
      </w:tr>
      <w:tr>
        <w:tc>
          <w:tcPr>
            <w:tcW w:type="dxa" w:w="6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center"/>
            </w:pPr>
            <w:r>
              <w:rPr>
                <w:rFonts w:ascii="Calibri" w:cs="Calibri" w:eastAsia="Calibri" w:hAnsi="Calibri"/>
                <w:b/>
                <w:bCs/>
                <w:color w:val="333333"/>
                <w:sz w:val="20"/>
                <w:szCs w:val="20"/>
              </w:rPr>
              <w:t xml:space="preserve">15</w:t>
            </w:r>
          </w:p>
        </w:tc>
        <w:tc>
          <w:tcPr>
            <w:tcW w:type="dxa" w:w="28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unique_receivers_7d</w:t>
            </w:r>
          </w:p>
        </w:tc>
        <w:tc>
          <w:tcPr>
            <w:tcW w:type="dxa" w:w="20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Real-time</w:t>
            </w:r>
          </w:p>
        </w:tc>
        <w:tc>
          <w:tcPr>
            <w:tcW w:type="dxa" w:w="396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Count of unique receivers in last 7 days</w:t>
            </w:r>
          </w:p>
        </w:tc>
      </w:tr>
      <w:tr>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libri" w:cs="Calibri" w:eastAsia="Calibri" w:hAnsi="Calibri"/>
                <w:b/>
                <w:bCs/>
                <w:color w:val="333333"/>
                <w:sz w:val="20"/>
                <w:szCs w:val="20"/>
              </w:rPr>
              <w:t xml:space="preserve">16</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is_new_receiver</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Real-time</w:t>
            </w:r>
          </w:p>
        </w:tc>
        <w:tc>
          <w:tcPr>
            <w:tcW w:type="dxa" w:w="39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Binary flag: 1 if receiver has not been seen before</w:t>
            </w:r>
          </w:p>
        </w:tc>
      </w:tr>
    </w:tbl>
    <w:p>
      <w:pPr>
        <w:spacing w:after="80"/>
      </w:pPr>
    </w:p>
    <w:p>
      <w:pPr>
        <w:spacing w:after="120"/>
        <w:jc w:val="both"/>
      </w:pPr>
      <w:r>
        <w:rPr>
          <w:rFonts w:ascii="Calibri" w:cs="Calibri" w:eastAsia="Calibri" w:hAnsi="Calibri"/>
          <w:color w:val="333333"/>
          <w:sz w:val="22"/>
          <w:szCs w:val="22"/>
        </w:rPr>
        <w:t xml:space="preserve">Features 9-16 are computed in real-time by the VelocityTracker, which maintains a per-sender sliding window of recent transactions. This enrichment ensures that the ML models can detect behavioral anomalies that static features alone would miss, such as sudden increases in transaction frequency or amount that deviate from a sender's historical pattern.</w:t>
      </w:r>
    </w:p>
    <w:p>
      <w:pPr>
        <w:spacing w:after="80"/>
      </w:pPr>
    </w:p>
    <w:p>
      <w:pPr>
        <w:pStyle w:val="Heading3"/>
        <w:spacing w:after="120" w:before="200"/>
      </w:pPr>
      <w:r>
        <w:rPr>
          <w:rFonts w:ascii="Calibri" w:cs="Calibri" w:eastAsia="Calibri" w:hAnsi="Calibri"/>
          <w:b/>
          <w:bCs/>
          <w:color w:val="2C3E50"/>
          <w:sz w:val="22"/>
          <w:szCs w:val="22"/>
        </w:rPr>
        <w:t xml:space="preserve">3.2.8 SHAP Explainability</w:t>
      </w:r>
    </w:p>
    <w:p>
      <w:pPr>
        <w:spacing w:after="120"/>
        <w:jc w:val="both"/>
      </w:pPr>
      <w:r>
        <w:rPr>
          <w:rFonts w:ascii="Calibri" w:cs="Calibri" w:eastAsia="Calibri" w:hAnsi="Calibri"/>
          <w:color w:val="333333"/>
          <w:sz w:val="22"/>
          <w:szCs w:val="22"/>
        </w:rPr>
        <w:t xml:space="preserve">IPTS implements per-transaction explainable AI using SHAP (SHapley Additive exPlanations) values. After every risk scoring computation, the system generates a breakdown of how each of the 16 features contributed to the final risk score. This is critical for regulatory compliance, as financial regulators increasingly require that automated risk decisions be explainable and auditable.</w:t>
      </w:r>
    </w:p>
    <w:p>
      <w:pPr>
        <w:spacing w:after="80"/>
      </w:pPr>
    </w:p>
    <w:p>
      <w:pPr>
        <w:spacing w:after="120"/>
        <w:jc w:val="both"/>
      </w:pPr>
      <w:r>
        <w:rPr>
          <w:rFonts w:ascii="Calibri" w:cs="Calibri" w:eastAsia="Calibri" w:hAnsi="Calibri"/>
          <w:color w:val="333333"/>
          <w:sz w:val="22"/>
          <w:szCs w:val="22"/>
        </w:rPr>
        <w:t xml:space="preserve">The primary SHAP implementation uses TreeExplainer on the XGBoost model, which computes exact Shapley values in polynomial time by exploiting the tree structure. For each transaction, the explainer decomposes the model's prediction into additive contributions from each feature:</w:t>
      </w:r>
    </w:p>
    <w:p>
      <w:pPr>
        <w:spacing w:after="80"/>
      </w:pPr>
    </w:p>
    <w:p>
      <w:pPr>
        <w:pStyle w:val="ListParagraph"/>
        <w:numPr>
          <w:ilvl w:val="0"/>
          <w:numId w:val="2"/>
        </w:numPr>
        <w:spacing w:after="60"/>
      </w:pPr>
      <w:r>
        <w:rPr>
          <w:rFonts w:ascii="Calibri" w:cs="Calibri" w:eastAsia="Calibri" w:hAnsi="Calibri"/>
          <w:b/>
          <w:bCs/>
          <w:color w:val="2C3E50"/>
          <w:sz w:val="22"/>
          <w:szCs w:val="22"/>
        </w:rPr>
        <w:t xml:space="preserve">Primary method: </w:t>
      </w:r>
      <w:r>
        <w:rPr>
          <w:rFonts w:ascii="Calibri" w:cs="Calibri" w:eastAsia="Calibri" w:hAnsi="Calibri"/>
          <w:color w:val="333333"/>
          <w:sz w:val="22"/>
          <w:szCs w:val="22"/>
        </w:rPr>
        <w:t xml:space="preserve">shap.TreeExplainer(xgb_clf) computes exact SHAP values for the XGBoost model's prediction on the 16-feature input vector.</w:t>
      </w:r>
    </w:p>
    <w:p>
      <w:pPr>
        <w:pStyle w:val="ListParagraph"/>
        <w:numPr>
          <w:ilvl w:val="0"/>
          <w:numId w:val="2"/>
        </w:numPr>
        <w:spacing w:after="60"/>
      </w:pPr>
      <w:r>
        <w:rPr>
          <w:rFonts w:ascii="Calibri" w:cs="Calibri" w:eastAsia="Calibri" w:hAnsi="Calibri"/>
          <w:b/>
          <w:bCs/>
          <w:color w:val="2C3E50"/>
          <w:sz w:val="22"/>
          <w:szCs w:val="22"/>
        </w:rPr>
        <w:t xml:space="preserve">Fallback method: </w:t>
      </w:r>
      <w:r>
        <w:rPr>
          <w:rFonts w:ascii="Calibri" w:cs="Calibri" w:eastAsia="Calibri" w:hAnsi="Calibri"/>
          <w:color w:val="333333"/>
          <w:sz w:val="22"/>
          <w:szCs w:val="22"/>
        </w:rPr>
        <w:t xml:space="preserve">If TreeExplainer fails (e.g., version incompatibility), the system falls back to Random Forest feature_importances_ multiplied by per-feature deviations from population means, producing approximate contribution scores.</w:t>
      </w:r>
    </w:p>
    <w:p>
      <w:pPr>
        <w:pStyle w:val="ListParagraph"/>
        <w:numPr>
          <w:ilvl w:val="0"/>
          <w:numId w:val="2"/>
        </w:numPr>
        <w:spacing w:after="60"/>
      </w:pPr>
      <w:r>
        <w:rPr>
          <w:rFonts w:ascii="Calibri" w:cs="Calibri" w:eastAsia="Calibri" w:hAnsi="Calibri"/>
          <w:b/>
          <w:bCs/>
          <w:color w:val="2C3E50"/>
          <w:sz w:val="22"/>
          <w:szCs w:val="22"/>
        </w:rPr>
        <w:t xml:space="preserve">Frontend display: </w:t>
      </w:r>
      <w:r>
        <w:rPr>
          <w:rFonts w:ascii="Calibri" w:cs="Calibri" w:eastAsia="Calibri" w:hAnsi="Calibri"/>
          <w:color w:val="333333"/>
          <w:sz w:val="22"/>
          <w:szCs w:val="22"/>
        </w:rPr>
        <w:t xml:space="preserve">SHAP values are rendered inline in the settlement result and as a horizontal bar chart in the AI/ML tab, showing positive (risk-increasing, red) and negative (risk-decreasing, green) feature contributions.</w:t>
      </w:r>
    </w:p>
    <w:p>
      <w:pPr>
        <w:spacing w:after="80"/>
      </w:pPr>
    </w:p>
    <w:p>
      <w:pPr>
        <w:spacing w:after="120"/>
        <w:jc w:val="both"/>
      </w:pPr>
      <w:r>
        <w:rPr>
          <w:rFonts w:ascii="Calibri" w:cs="Calibri" w:eastAsia="Calibri" w:hAnsi="Calibri"/>
          <w:color w:val="333333"/>
          <w:sz w:val="22"/>
          <w:szCs w:val="22"/>
        </w:rPr>
        <w:t xml:space="preserve">The SHAP values are returned in the settlement API response as a shap_values dictionary mapping each feature name to its contribution score. This allows both the frontend to render visual explanations and compliance officers to review the reasoning behind every risk decision in the HITL queue.</w:t>
      </w:r>
    </w:p>
    <w:p>
      <w:pPr>
        <w:spacing w:after="80"/>
      </w:pPr>
    </w:p>
    <w:p>
      <w:pPr>
        <w:pStyle w:val="Heading3"/>
        <w:spacing w:after="120" w:before="200"/>
      </w:pPr>
      <w:r>
        <w:rPr>
          <w:rFonts w:ascii="Calibri" w:cs="Calibri" w:eastAsia="Calibri" w:hAnsi="Calibri"/>
          <w:b/>
          <w:bCs/>
          <w:color w:val="2C3E50"/>
          <w:sz w:val="22"/>
          <w:szCs w:val="22"/>
        </w:rPr>
        <w:t xml:space="preserve">3.2.9 VelocityTracker</w:t>
      </w:r>
    </w:p>
    <w:p>
      <w:pPr>
        <w:spacing w:after="120"/>
        <w:jc w:val="both"/>
      </w:pPr>
      <w:r>
        <w:rPr>
          <w:rFonts w:ascii="Calibri" w:cs="Calibri" w:eastAsia="Calibri" w:hAnsi="Calibri"/>
          <w:color w:val="333333"/>
          <w:sz w:val="22"/>
          <w:szCs w:val="22"/>
        </w:rPr>
        <w:t xml:space="preserve">The VelocityTracker is a real-time behavioral analytics component that maintains a per-sender sliding window of transaction history. For each sender, it tracks:</w:t>
      </w:r>
    </w:p>
    <w:p>
      <w:pPr>
        <w:pStyle w:val="ListParagraph"/>
        <w:numPr>
          <w:ilvl w:val="0"/>
          <w:numId w:val="2"/>
        </w:numPr>
        <w:spacing w:after="60"/>
      </w:pPr>
      <w:r>
        <w:rPr>
          <w:rFonts w:ascii="Calibri" w:cs="Calibri" w:eastAsia="Calibri" w:hAnsi="Calibri"/>
          <w:color w:val="333333"/>
          <w:sz w:val="22"/>
          <w:szCs w:val="22"/>
        </w:rPr>
        <w:t xml:space="preserve">velocity_1h: Aggregate USD amount sent in the last 60 minutes</w:t>
      </w:r>
    </w:p>
    <w:p>
      <w:pPr>
        <w:pStyle w:val="ListParagraph"/>
        <w:numPr>
          <w:ilvl w:val="0"/>
          <w:numId w:val="2"/>
        </w:numPr>
        <w:spacing w:after="60"/>
      </w:pPr>
      <w:r>
        <w:rPr>
          <w:rFonts w:ascii="Calibri" w:cs="Calibri" w:eastAsia="Calibri" w:hAnsi="Calibri"/>
          <w:color w:val="333333"/>
          <w:sz w:val="22"/>
          <w:szCs w:val="22"/>
        </w:rPr>
        <w:t xml:space="preserve">velocity_24h: Aggregate USD amount sent in the last 24 hours</w:t>
      </w:r>
    </w:p>
    <w:p>
      <w:pPr>
        <w:pStyle w:val="ListParagraph"/>
        <w:numPr>
          <w:ilvl w:val="0"/>
          <w:numId w:val="2"/>
        </w:numPr>
        <w:spacing w:after="60"/>
      </w:pPr>
      <w:r>
        <w:rPr>
          <w:rFonts w:ascii="Calibri" w:cs="Calibri" w:eastAsia="Calibri" w:hAnsi="Calibri"/>
          <w:color w:val="333333"/>
          <w:sz w:val="22"/>
          <w:szCs w:val="22"/>
        </w:rPr>
        <w:t xml:space="preserve">velocity_7d: Aggregate USD amount sent in the last 7 days</w:t>
      </w:r>
    </w:p>
    <w:p>
      <w:pPr>
        <w:pStyle w:val="ListParagraph"/>
        <w:numPr>
          <w:ilvl w:val="0"/>
          <w:numId w:val="2"/>
        </w:numPr>
        <w:spacing w:after="60"/>
      </w:pPr>
      <w:r>
        <w:rPr>
          <w:rFonts w:ascii="Calibri" w:cs="Calibri" w:eastAsia="Calibri" w:hAnsi="Calibri"/>
          <w:color w:val="333333"/>
          <w:sz w:val="22"/>
          <w:szCs w:val="22"/>
        </w:rPr>
        <w:t xml:space="preserve">avg_tx_amount: Running mean of all historical transaction amounts</w:t>
      </w:r>
    </w:p>
    <w:p>
      <w:pPr>
        <w:pStyle w:val="ListParagraph"/>
        <w:numPr>
          <w:ilvl w:val="0"/>
          <w:numId w:val="2"/>
        </w:numPr>
        <w:spacing w:after="60"/>
      </w:pPr>
      <w:r>
        <w:rPr>
          <w:rFonts w:ascii="Calibri" w:cs="Calibri" w:eastAsia="Calibri" w:hAnsi="Calibri"/>
          <w:color w:val="333333"/>
          <w:sz w:val="22"/>
          <w:szCs w:val="22"/>
        </w:rPr>
        <w:t xml:space="preserve">std_tx_amount: Running standard deviation of transaction amounts</w:t>
      </w:r>
    </w:p>
    <w:p>
      <w:pPr>
        <w:pStyle w:val="ListParagraph"/>
        <w:numPr>
          <w:ilvl w:val="0"/>
          <w:numId w:val="2"/>
        </w:numPr>
        <w:spacing w:after="60"/>
      </w:pPr>
      <w:r>
        <w:rPr>
          <w:rFonts w:ascii="Calibri" w:cs="Calibri" w:eastAsia="Calibri" w:hAnsi="Calibri"/>
          <w:color w:val="333333"/>
          <w:sz w:val="22"/>
          <w:szCs w:val="22"/>
        </w:rPr>
        <w:t xml:space="preserve">unique_receivers_7d: Count of distinct receivers in the sliding 7-day window</w:t>
      </w:r>
    </w:p>
    <w:p>
      <w:pPr>
        <w:spacing w:after="80"/>
      </w:pPr>
    </w:p>
    <w:p>
      <w:pPr>
        <w:spacing w:after="120"/>
        <w:jc w:val="both"/>
      </w:pPr>
      <w:r>
        <w:rPr>
          <w:rFonts w:ascii="Calibri" w:cs="Calibri" w:eastAsia="Calibri" w:hAnsi="Calibri"/>
          <w:color w:val="333333"/>
          <w:sz w:val="22"/>
          <w:szCs w:val="22"/>
        </w:rPr>
        <w:t xml:space="preserve">These velocity features enable the detection of behavioral anomalies that static per-transaction features cannot capture, such as a normally low-volume sender suddenly initiating multiple high-value transfers, or a sender rapidly diversifying across many new receivers.</w:t>
      </w:r>
    </w:p>
    <w:p>
      <w:r>
        <w:br w:type="page"/>
      </w:r>
    </w:p>
    <w:p>
      <w:pPr>
        <w:pStyle w:val="Heading2"/>
        <w:spacing w:after="160" w:before="280"/>
      </w:pPr>
      <w:r>
        <w:rPr>
          <w:rFonts w:ascii="Calibri" w:cs="Calibri" w:eastAsia="Calibri" w:hAnsi="Calibri"/>
          <w:b/>
          <w:bCs/>
          <w:color w:val="2C3E50"/>
          <w:sz w:val="26"/>
          <w:szCs w:val="26"/>
        </w:rPr>
        <w:t xml:space="preserve">3.3 AML Risk Scoring Engine</w:t>
      </w:r>
    </w:p>
    <w:p>
      <w:pPr>
        <w:spacing w:after="120"/>
        <w:jc w:val="both"/>
      </w:pPr>
      <w:r>
        <w:rPr>
          <w:rFonts w:ascii="Calibri" w:cs="Calibri" w:eastAsia="Calibri" w:hAnsi="Calibri"/>
          <w:color w:val="333333"/>
          <w:sz w:val="22"/>
          <w:szCs w:val="22"/>
        </w:rPr>
        <w:t xml:space="preserve">The AML Risk Engine combines all intelligence sources into a composite risk score using a 4-component weighted system with force-override triggers for critical scenarios.</w:t>
      </w:r>
    </w:p>
    <w:p>
      <w:pPr>
        <w:spacing w:after="80"/>
      </w:pPr>
    </w:p>
    <w:p>
      <w:pPr>
        <w:pStyle w:val="Heading3"/>
        <w:spacing w:after="120" w:before="200"/>
      </w:pPr>
      <w:r>
        <w:rPr>
          <w:rFonts w:ascii="Calibri" w:cs="Calibri" w:eastAsia="Calibri" w:hAnsi="Calibri"/>
          <w:b/>
          <w:bCs/>
          <w:color w:val="2C3E50"/>
          <w:sz w:val="22"/>
          <w:szCs w:val="22"/>
        </w:rPr>
        <w:t xml:space="preserve">Scoring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200"/>
        <w:gridCol w:w="5960"/>
      </w:tblGrid>
      <w:tr>
        <w:tc>
          <w:tcPr>
            <w:tcW w:type="dxa" w:w="2200"/>
            <w:tcBorders>
              <w:top w:val="single" w:color="CCCCCC" w:sz="1"/>
              <w:left w:val="single" w:color="CCCCCC" w:sz="1"/>
              <w:bottom w:val="single" w:color="CCCCCC" w:sz="1"/>
              <w:right w:val="single" w:color="CCCCCC" w:sz="1"/>
            </w:tcBorders>
            <w:shd w:fill="1A5276"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Component</w:t>
            </w:r>
          </w:p>
        </w:tc>
        <w:tc>
          <w:tcPr>
            <w:tcW w:type="dxa" w:w="1200"/>
            <w:tcBorders>
              <w:top w:val="single" w:color="CCCCCC" w:sz="1"/>
              <w:left w:val="single" w:color="CCCCCC" w:sz="1"/>
              <w:bottom w:val="single" w:color="CCCCCC" w:sz="1"/>
              <w:right w:val="single" w:color="CCCCCC" w:sz="1"/>
            </w:tcBorders>
            <w:shd w:fill="1A5276"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Weight</w:t>
            </w:r>
          </w:p>
        </w:tc>
        <w:tc>
          <w:tcPr>
            <w:tcW w:type="dxa" w:w="5960"/>
            <w:tcBorders>
              <w:top w:val="single" w:color="CCCCCC" w:sz="1"/>
              <w:left w:val="single" w:color="CCCCCC" w:sz="1"/>
              <w:bottom w:val="single" w:color="CCCCCC" w:sz="1"/>
              <w:right w:val="single" w:color="CCCCCC" w:sz="1"/>
            </w:tcBorders>
            <w:shd w:fill="1A5276"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Method</w:t>
            </w:r>
          </w:p>
        </w:tc>
      </w:tr>
      <w:tr>
        <w:tc>
          <w:tcPr>
            <w:tcW w:type="dxa" w:w="22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Rule-Based</w:t>
            </w:r>
          </w:p>
        </w:tc>
        <w:tc>
          <w:tcPr>
            <w:tcW w:type="dxa" w:w="12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30%</w:t>
            </w:r>
          </w:p>
        </w:tc>
        <w:tc>
          <w:tcPr>
            <w:tcW w:type="dxa" w:w="596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Deterministic threshold checks (amount, structuring, jurisdiction, frequency, velocity)</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ML Ensemble</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40%</w:t>
            </w:r>
          </w:p>
        </w:tc>
        <w:tc>
          <w:tcPr>
            <w:tcW w:type="dxa" w:w="59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Weighted average of 5 model predictions (ISO 15%, RF 30%, XGB 30%, AE 10%, Seq 15%)</w:t>
            </w:r>
          </w:p>
        </w:tc>
      </w:tr>
      <w:tr>
        <w:tc>
          <w:tcPr>
            <w:tcW w:type="dxa" w:w="22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NLP Watchlist</w:t>
            </w:r>
          </w:p>
        </w:tc>
        <w:tc>
          <w:tcPr>
            <w:tcW w:type="dxa" w:w="12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15%</w:t>
            </w:r>
          </w:p>
        </w:tc>
        <w:tc>
          <w:tcPr>
            <w:tcW w:type="dxa" w:w="596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Fuzzy entity matching against watchlist + sanctions database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Graph Risk</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15%</w:t>
            </w:r>
          </w:p>
        </w:tc>
        <w:tc>
          <w:tcPr>
            <w:tcW w:type="dxa" w:w="59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PageRank centrality analysis of sender/receiver in transaction network</w:t>
            </w:r>
          </w:p>
        </w:tc>
      </w:tr>
    </w:tbl>
    <w:p>
      <w:pPr>
        <w:spacing w:after="80"/>
      </w:pPr>
    </w:p>
    <w:p>
      <w:pPr>
        <w:pStyle w:val="Heading3"/>
        <w:spacing w:after="120" w:before="200"/>
      </w:pPr>
      <w:r>
        <w:rPr>
          <w:rFonts w:ascii="Calibri" w:cs="Calibri" w:eastAsia="Calibri" w:hAnsi="Calibri"/>
          <w:b/>
          <w:bCs/>
          <w:color w:val="2C3E50"/>
          <w:sz w:val="22"/>
          <w:szCs w:val="22"/>
        </w:rPr>
        <w:t xml:space="preserve">Force-Override Triggers</w:t>
      </w:r>
    </w:p>
    <w:p>
      <w:pPr>
        <w:spacing w:after="120"/>
        <w:jc w:val="both"/>
      </w:pPr>
      <w:r>
        <w:rPr>
          <w:rFonts w:ascii="Calibri" w:cs="Calibri" w:eastAsia="Calibri" w:hAnsi="Calibri"/>
          <w:color w:val="333333"/>
          <w:sz w:val="22"/>
          <w:szCs w:val="22"/>
        </w:rPr>
        <w:t xml:space="preserve">The following conditions bypass the weighted scoring system and force specific outcomes: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1800"/>
        <w:gridCol w:w="3560"/>
      </w:tblGrid>
      <w:tr>
        <w:tc>
          <w:tcPr>
            <w:tcW w:type="dxa" w:w="4000"/>
            <w:tcBorders>
              <w:top w:val="single" w:color="CCCCCC" w:sz="1"/>
              <w:left w:val="single" w:color="CCCCCC" w:sz="1"/>
              <w:bottom w:val="single" w:color="CCCCCC" w:sz="1"/>
              <w:right w:val="single" w:color="CCCCCC" w:sz="1"/>
            </w:tcBorders>
            <w:shd w:fill="1A5276"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Condition</w:t>
            </w:r>
          </w:p>
        </w:tc>
        <w:tc>
          <w:tcPr>
            <w:tcW w:type="dxa" w:w="1800"/>
            <w:tcBorders>
              <w:top w:val="single" w:color="CCCCCC" w:sz="1"/>
              <w:left w:val="single" w:color="CCCCCC" w:sz="1"/>
              <w:bottom w:val="single" w:color="CCCCCC" w:sz="1"/>
              <w:right w:val="single" w:color="CCCCCC" w:sz="1"/>
            </w:tcBorders>
            <w:shd w:fill="1A5276"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Forced Score</w:t>
            </w:r>
          </w:p>
        </w:tc>
        <w:tc>
          <w:tcPr>
            <w:tcW w:type="dxa" w:w="3560"/>
            <w:tcBorders>
              <w:top w:val="single" w:color="CCCCCC" w:sz="1"/>
              <w:left w:val="single" w:color="CCCCCC" w:sz="1"/>
              <w:bottom w:val="single" w:color="CCCCCC" w:sz="1"/>
              <w:right w:val="single" w:color="CCCCCC" w:sz="1"/>
            </w:tcBorders>
            <w:shd w:fill="1A5276"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Result</w:t>
            </w:r>
          </w:p>
        </w:tc>
      </w:tr>
      <w:tr>
        <w:tc>
          <w:tcPr>
            <w:tcW w:type="dxa" w:w="40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Transaction amount &gt; $500,000</w:t>
            </w:r>
          </w:p>
        </w:tc>
        <w:tc>
          <w:tcPr>
            <w:tcW w:type="dxa" w:w="18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bCs/>
                <w:color w:val="CC0000"/>
                <w:sz w:val="20"/>
                <w:szCs w:val="20"/>
              </w:rPr>
              <w:t xml:space="preserve">95+</w:t>
            </w:r>
          </w:p>
        </w:tc>
        <w:tc>
          <w:tcPr>
            <w:tcW w:type="dxa" w:w="356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bCs/>
                <w:color w:val="CC0000"/>
                <w:sz w:val="20"/>
                <w:szCs w:val="20"/>
              </w:rPr>
              <w:t xml:space="preserve">BLOCKED</w:t>
            </w:r>
          </w:p>
        </w:tc>
      </w:tr>
      <w:tr>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Transaction amount &gt; $100,000 (AML threshold)</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CC0000"/>
                <w:sz w:val="20"/>
                <w:szCs w:val="20"/>
              </w:rPr>
              <w:t xml:space="preserve">85+</w:t>
            </w:r>
          </w:p>
        </w:tc>
        <w:tc>
          <w:tcPr>
            <w:tcW w:type="dxa" w:w="35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CC0000"/>
                <w:sz w:val="20"/>
                <w:szCs w:val="20"/>
              </w:rPr>
              <w:t xml:space="preserve">BLOCKED</w:t>
            </w:r>
          </w:p>
        </w:tc>
      </w:tr>
      <w:tr>
        <w:tc>
          <w:tcPr>
            <w:tcW w:type="dxa" w:w="40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Watchlist or sanctions database match</w:t>
            </w:r>
          </w:p>
        </w:tc>
        <w:tc>
          <w:tcPr>
            <w:tcW w:type="dxa" w:w="18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bCs/>
                <w:color w:val="CC0000"/>
                <w:sz w:val="20"/>
                <w:szCs w:val="20"/>
              </w:rPr>
              <w:t xml:space="preserve">95+</w:t>
            </w:r>
          </w:p>
        </w:tc>
        <w:tc>
          <w:tcPr>
            <w:tcW w:type="dxa" w:w="356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bCs/>
                <w:color w:val="CC0000"/>
                <w:sz w:val="20"/>
                <w:szCs w:val="20"/>
              </w:rPr>
              <w:t xml:space="preserve">BLOCKED</w:t>
            </w:r>
          </w:p>
        </w:tc>
      </w:tr>
      <w:tr>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Structuring ($9K-$9.9K) + high frequency (&gt;10 txns/7d)</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CC0000"/>
                <w:sz w:val="20"/>
                <w:szCs w:val="20"/>
              </w:rPr>
              <w:t xml:space="preserve">85+</w:t>
            </w:r>
          </w:p>
        </w:tc>
        <w:tc>
          <w:tcPr>
            <w:tcW w:type="dxa" w:w="35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CC0000"/>
                <w:sz w:val="20"/>
                <w:szCs w:val="20"/>
              </w:rPr>
              <w:t xml:space="preserve">BLOCKED</w:t>
            </w:r>
          </w:p>
        </w:tc>
      </w:tr>
      <w:tr>
        <w:tc>
          <w:tcPr>
            <w:tcW w:type="dxa" w:w="40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High value (&gt;$100K) + high-risk country (&gt;0.7)</w:t>
            </w:r>
          </w:p>
        </w:tc>
        <w:tc>
          <w:tcPr>
            <w:tcW w:type="dxa" w:w="18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bCs/>
                <w:color w:val="CC0000"/>
                <w:sz w:val="20"/>
                <w:szCs w:val="20"/>
              </w:rPr>
              <w:t xml:space="preserve">85+</w:t>
            </w:r>
          </w:p>
        </w:tc>
        <w:tc>
          <w:tcPr>
            <w:tcW w:type="dxa" w:w="356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bCs/>
                <w:color w:val="CC0000"/>
                <w:sz w:val="20"/>
                <w:szCs w:val="20"/>
              </w:rPr>
              <w:t xml:space="preserve">BLOCKED</w:t>
            </w:r>
          </w:p>
        </w:tc>
      </w:tr>
      <w:tr>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Any single scoring component &gt;= 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E67E00"/>
                <w:sz w:val="20"/>
                <w:szCs w:val="20"/>
              </w:rPr>
              <w:t xml:space="preserve">min 80</w:t>
            </w:r>
          </w:p>
        </w:tc>
        <w:tc>
          <w:tcPr>
            <w:tcW w:type="dxa" w:w="35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CC0000"/>
                <w:sz w:val="20"/>
                <w:szCs w:val="20"/>
              </w:rPr>
              <w:t xml:space="preserve">BLOCKED</w:t>
            </w:r>
          </w:p>
        </w:tc>
      </w:tr>
    </w:tbl>
    <w:p>
      <w:pPr>
        <w:spacing w:after="80"/>
      </w:pPr>
    </w:p>
    <w:p>
      <w:pPr>
        <w:pStyle w:val="Heading3"/>
        <w:spacing w:after="120" w:before="200"/>
      </w:pPr>
      <w:r>
        <w:rPr>
          <w:rFonts w:ascii="Calibri" w:cs="Calibri" w:eastAsia="Calibri" w:hAnsi="Calibri"/>
          <w:b/>
          <w:bCs/>
          <w:color w:val="2C3E50"/>
          <w:sz w:val="22"/>
          <w:szCs w:val="22"/>
        </w:rPr>
        <w:t xml:space="preserve">Decision Thresholds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000"/>
        <w:gridCol w:w="4860"/>
      </w:tblGrid>
      <w:tr>
        <w:tc>
          <w:tcPr>
            <w:tcW w:type="dxa" w:w="2500"/>
            <w:tcBorders>
              <w:top w:val="single" w:color="CCCCCC" w:sz="1"/>
              <w:left w:val="single" w:color="CCCCCC" w:sz="1"/>
              <w:bottom w:val="single" w:color="CCCCCC" w:sz="1"/>
              <w:right w:val="single" w:color="CCCCCC" w:sz="1"/>
            </w:tcBorders>
            <w:shd w:fill="1A5276"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Composite Score</w:t>
            </w:r>
          </w:p>
        </w:tc>
        <w:tc>
          <w:tcPr>
            <w:tcW w:type="dxa" w:w="2000"/>
            <w:tcBorders>
              <w:top w:val="single" w:color="CCCCCC" w:sz="1"/>
              <w:left w:val="single" w:color="CCCCCC" w:sz="1"/>
              <w:bottom w:val="single" w:color="CCCCCC" w:sz="1"/>
              <w:right w:val="single" w:color="CCCCCC" w:sz="1"/>
            </w:tcBorders>
            <w:shd w:fill="1A5276"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Decision</w:t>
            </w:r>
          </w:p>
        </w:tc>
        <w:tc>
          <w:tcPr>
            <w:tcW w:type="dxa" w:w="4860"/>
            <w:tcBorders>
              <w:top w:val="single" w:color="CCCCCC" w:sz="1"/>
              <w:left w:val="single" w:color="CCCCCC" w:sz="1"/>
              <w:bottom w:val="single" w:color="CCCCCC" w:sz="1"/>
              <w:right w:val="single" w:color="CCCCCC" w:sz="1"/>
            </w:tcBorders>
            <w:shd w:fill="1A5276"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Action Taken</w:t>
            </w:r>
          </w:p>
        </w:tc>
      </w:tr>
      <w:tr>
        <w:tc>
          <w:tcPr>
            <w:tcW w:type="dxa" w:w="2500"/>
            <w:tcBorders>
              <w:top w:val="single" w:color="CCCCCC" w:sz="1"/>
              <w:left w:val="single" w:color="CCCCCC" w:sz="1"/>
              <w:bottom w:val="single" w:color="CCCCCC" w:sz="1"/>
              <w:right w:val="single" w:color="CCCCCC" w:sz="1"/>
            </w:tcBorders>
            <w:shd w:fill="FDEDEC"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&gt;= 80</w:t>
            </w:r>
          </w:p>
        </w:tc>
        <w:tc>
          <w:tcPr>
            <w:tcW w:type="dxa" w:w="2000"/>
            <w:tcBorders>
              <w:top w:val="single" w:color="CCCCCC" w:sz="1"/>
              <w:left w:val="single" w:color="CCCCCC" w:sz="1"/>
              <w:bottom w:val="single" w:color="CCCCCC" w:sz="1"/>
              <w:right w:val="single" w:color="CCCCCC" w:sz="1"/>
            </w:tcBorders>
            <w:shd w:fill="FDEDEC" w:val="clear"/>
            <w:tcMar>
              <w:top w:type="dxa" w:w="60"/>
              <w:left w:type="dxa" w:w="100"/>
              <w:bottom w:type="dxa" w:w="60"/>
              <w:right w:type="dxa" w:w="100"/>
            </w:tcMar>
          </w:tcPr>
          <w:p>
            <w:pPr>
              <w:jc w:val="left"/>
            </w:pPr>
            <w:r>
              <w:rPr>
                <w:rFonts w:ascii="Calibri" w:cs="Calibri" w:eastAsia="Calibri" w:hAnsi="Calibri"/>
                <w:b/>
                <w:bCs/>
                <w:color w:val="CC0000"/>
                <w:sz w:val="20"/>
                <w:szCs w:val="20"/>
              </w:rPr>
              <w:t xml:space="preserve">BLOCKED</w:t>
            </w:r>
          </w:p>
        </w:tc>
        <w:tc>
          <w:tcPr>
            <w:tcW w:type="dxa" w:w="4860"/>
            <w:tcBorders>
              <w:top w:val="single" w:color="CCCCCC" w:sz="1"/>
              <w:left w:val="single" w:color="CCCCCC" w:sz="1"/>
              <w:bottom w:val="single" w:color="CCCCCC" w:sz="1"/>
              <w:right w:val="single" w:color="CCCCCC" w:sz="1"/>
            </w:tcBorders>
            <w:shd w:fill="FDEDEC"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Transaction halted. Added to HITL queue. Compliance case auto-created. Four-eyes approval required if amount &gt;= $100K.</w:t>
            </w:r>
          </w:p>
        </w:tc>
      </w:tr>
      <w:tr>
        <w:tc>
          <w:tcPr>
            <w:tcW w:type="dxa" w:w="2500"/>
            <w:tcBorders>
              <w:top w:val="single" w:color="CCCCCC" w:sz="1"/>
              <w:left w:val="single" w:color="CCCCCC" w:sz="1"/>
              <w:bottom w:val="single" w:color="CCCCCC" w:sz="1"/>
              <w:right w:val="single" w:color="CCCCCC" w:sz="1"/>
            </w:tcBorders>
            <w:shd w:fill="FEF9E7"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&gt;= 60</w:t>
            </w:r>
          </w:p>
        </w:tc>
        <w:tc>
          <w:tcPr>
            <w:tcW w:type="dxa" w:w="2000"/>
            <w:tcBorders>
              <w:top w:val="single" w:color="CCCCCC" w:sz="1"/>
              <w:left w:val="single" w:color="CCCCCC" w:sz="1"/>
              <w:bottom w:val="single" w:color="CCCCCC" w:sz="1"/>
              <w:right w:val="single" w:color="CCCCCC" w:sz="1"/>
            </w:tcBorders>
            <w:shd w:fill="FEF9E7" w:val="clear"/>
            <w:tcMar>
              <w:top w:type="dxa" w:w="60"/>
              <w:left w:type="dxa" w:w="100"/>
              <w:bottom w:type="dxa" w:w="60"/>
              <w:right w:type="dxa" w:w="100"/>
            </w:tcMar>
          </w:tcPr>
          <w:p>
            <w:pPr>
              <w:jc w:val="left"/>
            </w:pPr>
            <w:r>
              <w:rPr>
                <w:rFonts w:ascii="Calibri" w:cs="Calibri" w:eastAsia="Calibri" w:hAnsi="Calibri"/>
                <w:b/>
                <w:bCs/>
                <w:color w:val="E67E00"/>
                <w:sz w:val="20"/>
                <w:szCs w:val="20"/>
              </w:rPr>
              <w:t xml:space="preserve">FLAGGED</w:t>
            </w:r>
          </w:p>
        </w:tc>
        <w:tc>
          <w:tcPr>
            <w:tcW w:type="dxa" w:w="4860"/>
            <w:tcBorders>
              <w:top w:val="single" w:color="CCCCCC" w:sz="1"/>
              <w:left w:val="single" w:color="CCCCCC" w:sz="1"/>
              <w:bottom w:val="single" w:color="CCCCCC" w:sz="1"/>
              <w:right w:val="single" w:color="CCCCCC" w:sz="1"/>
            </w:tcBorders>
            <w:shd w:fill="FEF9E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Transaction settled on blockchain but logged for compliance review.</w:t>
            </w:r>
          </w:p>
        </w:tc>
      </w:tr>
      <w:tr>
        <w:tc>
          <w:tcPr>
            <w:tcW w:type="dxa" w:w="2500"/>
            <w:tcBorders>
              <w:top w:val="single" w:color="CCCCCC" w:sz="1"/>
              <w:left w:val="single" w:color="CCCCCC" w:sz="1"/>
              <w:bottom w:val="single" w:color="CCCCCC" w:sz="1"/>
              <w:right w:val="single" w:color="CCCCCC" w:sz="1"/>
            </w:tcBorders>
            <w:shd w:fill="EAFAF1"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&lt; 60</w:t>
            </w:r>
          </w:p>
        </w:tc>
        <w:tc>
          <w:tcPr>
            <w:tcW w:type="dxa" w:w="2000"/>
            <w:tcBorders>
              <w:top w:val="single" w:color="CCCCCC" w:sz="1"/>
              <w:left w:val="single" w:color="CCCCCC" w:sz="1"/>
              <w:bottom w:val="single" w:color="CCCCCC" w:sz="1"/>
              <w:right w:val="single" w:color="CCCCCC" w:sz="1"/>
            </w:tcBorders>
            <w:shd w:fill="EAFAF1" w:val="clear"/>
            <w:tcMar>
              <w:top w:type="dxa" w:w="60"/>
              <w:left w:type="dxa" w:w="100"/>
              <w:bottom w:type="dxa" w:w="60"/>
              <w:right w:type="dxa" w:w="100"/>
            </w:tcMar>
          </w:tcPr>
          <w:p>
            <w:pPr>
              <w:jc w:val="left"/>
            </w:pPr>
            <w:r>
              <w:rPr>
                <w:rFonts w:ascii="Calibri" w:cs="Calibri" w:eastAsia="Calibri" w:hAnsi="Calibri"/>
                <w:b/>
                <w:bCs/>
                <w:color w:val="0E8C5F"/>
                <w:sz w:val="20"/>
                <w:szCs w:val="20"/>
              </w:rPr>
              <w:t xml:space="preserve">APPROVED</w:t>
            </w:r>
          </w:p>
        </w:tc>
        <w:tc>
          <w:tcPr>
            <w:tcW w:type="dxa" w:w="4860"/>
            <w:tcBorders>
              <w:top w:val="single" w:color="CCCCCC" w:sz="1"/>
              <w:left w:val="single" w:color="CCCCCC" w:sz="1"/>
              <w:bottom w:val="single" w:color="CCCCCC" w:sz="1"/>
              <w:right w:val="single" w:color="CCCCCC" w:sz="1"/>
            </w:tcBorders>
            <w:shd w:fill="EAFAF1"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Transaction settled normally. Balance deducted from sender, credited to receiver.</w:t>
            </w:r>
          </w:p>
        </w:tc>
      </w:tr>
    </w:tbl>
    <w:p>
      <w:pPr>
        <w:spacing w:after="80"/>
      </w:pPr>
    </w:p>
    <w:p>
      <w:pPr>
        <w:pStyle w:val="Heading2"/>
        <w:spacing w:after="160" w:before="280"/>
      </w:pPr>
      <w:r>
        <w:rPr>
          <w:rFonts w:ascii="Calibri" w:cs="Calibri" w:eastAsia="Calibri" w:hAnsi="Calibri"/>
          <w:b/>
          <w:bCs/>
          <w:color w:val="2C3E50"/>
          <w:sz w:val="26"/>
          <w:szCs w:val="26"/>
        </w:rPr>
        <w:t xml:space="preserve">3.4 Four-Eyes Dual Approval</w:t>
      </w:r>
    </w:p>
    <w:p>
      <w:pPr>
        <w:spacing w:after="120"/>
        <w:jc w:val="both"/>
      </w:pPr>
      <w:r>
        <w:rPr>
          <w:rFonts w:ascii="Calibri" w:cs="Calibri" w:eastAsia="Calibri" w:hAnsi="Calibri"/>
          <w:color w:val="333333"/>
          <w:sz w:val="22"/>
          <w:szCs w:val="22"/>
        </w:rPr>
        <w:t xml:space="preserve">IPTS implements a four-eyes approval mechanism for high-value blocked transactions. Any transaction with an amount greater than or equal to $100,000 that is blocked by the AML engine requires approval from two independent compliance officers before it can be released for settlement.</w:t>
      </w:r>
    </w:p>
    <w:p>
      <w:pPr>
        <w:spacing w:after="80"/>
      </w:pPr>
    </w:p>
    <w:p>
      <w:pPr>
        <w:spacing w:after="120"/>
        <w:jc w:val="both"/>
      </w:pPr>
      <w:r>
        <w:rPr>
          <w:rFonts w:ascii="Calibri" w:cs="Calibri" w:eastAsia="Calibri" w:hAnsi="Calibri"/>
          <w:color w:val="333333"/>
          <w:sz w:val="22"/>
          <w:szCs w:val="22"/>
        </w:rPr>
        <w:t xml:space="preserve">The four-eyes workflow operates as follows:</w:t>
      </w:r>
    </w:p>
    <w:p>
      <w:pPr>
        <w:pStyle w:val="ListParagraph"/>
        <w:numPr>
          <w:ilvl w:val="0"/>
          <w:numId w:val="2"/>
        </w:numPr>
        <w:spacing w:after="60"/>
      </w:pPr>
      <w:r>
        <w:rPr>
          <w:rFonts w:ascii="Calibri" w:cs="Calibri" w:eastAsia="Calibri" w:hAnsi="Calibri"/>
          <w:color w:val="333333"/>
          <w:sz w:val="22"/>
          <w:szCs w:val="22"/>
        </w:rPr>
        <w:t xml:space="preserve">When a transaction &gt;= $100K is blocked, a record is created in the four_eyes_approvals table with status 'pending' and required = 2.</w:t>
      </w:r>
    </w:p>
    <w:p>
      <w:pPr>
        <w:pStyle w:val="ListParagraph"/>
        <w:numPr>
          <w:ilvl w:val="0"/>
          <w:numId w:val="2"/>
        </w:numPr>
        <w:spacing w:after="60"/>
      </w:pPr>
      <w:r>
        <w:rPr>
          <w:rFonts w:ascii="Calibri" w:cs="Calibri" w:eastAsia="Calibri" w:hAnsi="Calibri"/>
          <w:color w:val="333333"/>
          <w:sz w:val="22"/>
          <w:szCs w:val="22"/>
        </w:rPr>
        <w:t xml:space="preserve">The first compliance officer reviews the transaction in the HITL queue and clicks Approve. The system records this as the first_approver and updates the status to 'awaiting_second_approval'.</w:t>
      </w:r>
    </w:p>
    <w:p>
      <w:pPr>
        <w:pStyle w:val="ListParagraph"/>
        <w:numPr>
          <w:ilvl w:val="0"/>
          <w:numId w:val="2"/>
        </w:numPr>
        <w:spacing w:after="60"/>
      </w:pPr>
      <w:r>
        <w:rPr>
          <w:rFonts w:ascii="Calibri" w:cs="Calibri" w:eastAsia="Calibri" w:hAnsi="Calibri"/>
          <w:color w:val="333333"/>
          <w:sz w:val="22"/>
          <w:szCs w:val="22"/>
        </w:rPr>
        <w:t xml:space="preserve">The HITL queue displays a badge showing the approval state: 'Required' (orange), '1 of 2' (yellow), or '2 of 2' (green).</w:t>
      </w:r>
    </w:p>
    <w:p>
      <w:pPr>
        <w:pStyle w:val="ListParagraph"/>
        <w:numPr>
          <w:ilvl w:val="0"/>
          <w:numId w:val="2"/>
        </w:numPr>
        <w:spacing w:after="60"/>
      </w:pPr>
      <w:r>
        <w:rPr>
          <w:rFonts w:ascii="Calibri" w:cs="Calibri" w:eastAsia="Calibri" w:hAnsi="Calibri"/>
          <w:color w:val="333333"/>
          <w:sz w:val="22"/>
          <w:szCs w:val="22"/>
        </w:rPr>
        <w:t xml:space="preserve">A second, different compliance officer must then approve the same transaction. The system enforces that the second approver is a different user than the first.</w:t>
      </w:r>
    </w:p>
    <w:p>
      <w:pPr>
        <w:pStyle w:val="ListParagraph"/>
        <w:numPr>
          <w:ilvl w:val="0"/>
          <w:numId w:val="2"/>
        </w:numPr>
        <w:spacing w:after="60"/>
      </w:pPr>
      <w:r>
        <w:rPr>
          <w:rFonts w:ascii="Calibri" w:cs="Calibri" w:eastAsia="Calibri" w:hAnsi="Calibri"/>
          <w:color w:val="333333"/>
          <w:sz w:val="22"/>
          <w:szCs w:val="22"/>
        </w:rPr>
        <w:t xml:space="preserve">Once both approvals are recorded, the transaction is released for settlement on the blockchain.</w:t>
      </w:r>
    </w:p>
    <w:p>
      <w:pPr>
        <w:spacing w:after="80"/>
      </w:pPr>
    </w:p>
    <w:p>
      <w:pPr>
        <w:spacing w:after="120"/>
        <w:jc w:val="both"/>
      </w:pPr>
      <w:r>
        <w:rPr>
          <w:rFonts w:ascii="Calibri" w:cs="Calibri" w:eastAsia="Calibri" w:hAnsi="Calibri"/>
          <w:color w:val="333333"/>
          <w:sz w:val="22"/>
          <w:szCs w:val="22"/>
        </w:rPr>
        <w:t xml:space="preserve">This mechanism ensures that no single individual can unilaterally approve high-value settlements, providing an additional control layer that satisfies regulatory requirements for segregation of duties in financial operations.</w:t>
      </w:r>
    </w:p>
    <w:p>
      <w:pPr>
        <w:spacing w:after="80"/>
      </w:pPr>
    </w:p>
    <w:p>
      <w:pPr>
        <w:pStyle w:val="Heading2"/>
        <w:spacing w:after="160" w:before="280"/>
      </w:pPr>
      <w:r>
        <w:rPr>
          <w:rFonts w:ascii="Calibri" w:cs="Calibri" w:eastAsia="Calibri" w:hAnsi="Calibri"/>
          <w:b/>
          <w:bCs/>
          <w:color w:val="2C3E50"/>
          <w:sz w:val="26"/>
          <w:szCs w:val="26"/>
        </w:rPr>
        <w:t xml:space="preserve">3.5 Multi-Currency FX Engine</w:t>
      </w:r>
    </w:p>
    <w:p>
      <w:pPr>
        <w:spacing w:after="120"/>
        <w:jc w:val="both"/>
      </w:pPr>
      <w:r>
        <w:rPr>
          <w:rFonts w:ascii="Calibri" w:cs="Calibri" w:eastAsia="Calibri" w:hAnsi="Calibri"/>
          <w:color w:val="333333"/>
          <w:sz w:val="22"/>
          <w:szCs w:val="22"/>
        </w:rPr>
        <w:t xml:space="preserve">IPTS includes a real-time foreign exchange conversion engine supporting 13 currencies. The FX engine provides:</w:t>
      </w:r>
    </w:p>
    <w:p>
      <w:pPr>
        <w:pStyle w:val="ListParagraph"/>
        <w:numPr>
          <w:ilvl w:val="0"/>
          <w:numId w:val="2"/>
        </w:numPr>
        <w:spacing w:after="60"/>
      </w:pPr>
      <w:r>
        <w:rPr>
          <w:rFonts w:ascii="Calibri" w:cs="Calibri" w:eastAsia="Calibri" w:hAnsi="Calibri"/>
          <w:color w:val="333333"/>
          <w:sz w:val="22"/>
          <w:szCs w:val="22"/>
        </w:rPr>
        <w:t xml:space="preserve">Live exchange rates via /api/fx/rates endpoint with rates relative to USD</w:t>
      </w:r>
    </w:p>
    <w:p>
      <w:pPr>
        <w:pStyle w:val="ListParagraph"/>
        <w:numPr>
          <w:ilvl w:val="0"/>
          <w:numId w:val="2"/>
        </w:numPr>
        <w:spacing w:after="60"/>
      </w:pPr>
      <w:r>
        <w:rPr>
          <w:rFonts w:ascii="Calibri" w:cs="Calibri" w:eastAsia="Calibri" w:hAnsi="Calibri"/>
          <w:color w:val="333333"/>
          <w:sz w:val="22"/>
          <w:szCs w:val="22"/>
        </w:rPr>
        <w:t xml:space="preserve">Payment form currency selector with automatic FX preview showing converted USD equivalent</w:t>
      </w:r>
    </w:p>
    <w:p>
      <w:pPr>
        <w:pStyle w:val="ListParagraph"/>
        <w:numPr>
          <w:ilvl w:val="0"/>
          <w:numId w:val="2"/>
        </w:numPr>
        <w:spacing w:after="60"/>
      </w:pPr>
      <w:r>
        <w:rPr>
          <w:rFonts w:ascii="Calibri" w:cs="Calibri" w:eastAsia="Calibri" w:hAnsi="Calibri"/>
          <w:color w:val="333333"/>
          <w:sz w:val="22"/>
          <w:szCs w:val="22"/>
        </w:rPr>
        <w:t xml:space="preserve">AML jurisdiction warnings for high-risk currencies (e.g., BRL, CNY, INR trigger 'High-risk AML jurisdiction' alerts)</w:t>
      </w:r>
    </w:p>
    <w:p>
      <w:pPr>
        <w:pStyle w:val="ListParagraph"/>
        <w:numPr>
          <w:ilvl w:val="0"/>
          <w:numId w:val="2"/>
        </w:numPr>
        <w:spacing w:after="60"/>
      </w:pPr>
      <w:r>
        <w:rPr>
          <w:rFonts w:ascii="Calibri" w:cs="Calibri" w:eastAsia="Calibri" w:hAnsi="Calibri"/>
          <w:color w:val="333333"/>
          <w:sz w:val="22"/>
          <w:szCs w:val="22"/>
        </w:rPr>
        <w:t xml:space="preserve">Standalone FX converter tool in the Compliance tab for ad-hoc conversions</w:t>
      </w:r>
    </w:p>
    <w:p>
      <w:pPr>
        <w:spacing w:after="80"/>
      </w:pPr>
    </w:p>
    <w:p>
      <w:pPr>
        <w:pStyle w:val="Heading3"/>
        <w:spacing w:after="120" w:before="200"/>
      </w:pPr>
      <w:r>
        <w:rPr>
          <w:rFonts w:ascii="Calibri" w:cs="Calibri" w:eastAsia="Calibri" w:hAnsi="Calibri"/>
          <w:b/>
          <w:bCs/>
          <w:color w:val="2C3E50"/>
          <w:sz w:val="22"/>
          <w:szCs w:val="22"/>
        </w:rPr>
        <w:t xml:space="preserve">Supported Currencies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800"/>
        <w:gridCol w:w="2800"/>
        <w:gridCol w:w="2560"/>
      </w:tblGrid>
      <w:tr>
        <w:tc>
          <w:tcPr>
            <w:tcW w:type="dxa" w:w="1200"/>
            <w:tcBorders>
              <w:top w:val="single" w:color="CCCCCC" w:sz="1"/>
              <w:left w:val="single" w:color="CCCCCC" w:sz="1"/>
              <w:bottom w:val="single" w:color="CCCCCC" w:sz="1"/>
              <w:right w:val="single" w:color="CCCCCC" w:sz="1"/>
            </w:tcBorders>
            <w:shd w:fill="1A5276"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Code</w:t>
            </w:r>
          </w:p>
        </w:tc>
        <w:tc>
          <w:tcPr>
            <w:tcW w:type="dxa" w:w="2800"/>
            <w:tcBorders>
              <w:top w:val="single" w:color="CCCCCC" w:sz="1"/>
              <w:left w:val="single" w:color="CCCCCC" w:sz="1"/>
              <w:bottom w:val="single" w:color="CCCCCC" w:sz="1"/>
              <w:right w:val="single" w:color="CCCCCC" w:sz="1"/>
            </w:tcBorders>
            <w:shd w:fill="1A5276"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Currency</w:t>
            </w:r>
          </w:p>
        </w:tc>
        <w:tc>
          <w:tcPr>
            <w:tcW w:type="dxa" w:w="2800"/>
            <w:tcBorders>
              <w:top w:val="single" w:color="CCCCCC" w:sz="1"/>
              <w:left w:val="single" w:color="CCCCCC" w:sz="1"/>
              <w:bottom w:val="single" w:color="CCCCCC" w:sz="1"/>
              <w:right w:val="single" w:color="CCCCCC" w:sz="1"/>
            </w:tcBorders>
            <w:shd w:fill="1A5276"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Region</w:t>
            </w:r>
          </w:p>
        </w:tc>
        <w:tc>
          <w:tcPr>
            <w:tcW w:type="dxa" w:w="2560"/>
            <w:tcBorders>
              <w:top w:val="single" w:color="CCCCCC" w:sz="1"/>
              <w:left w:val="single" w:color="CCCCCC" w:sz="1"/>
              <w:bottom w:val="single" w:color="CCCCCC" w:sz="1"/>
              <w:right w:val="single" w:color="CCCCCC" w:sz="1"/>
            </w:tcBorders>
            <w:shd w:fill="1A5276"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AML Risk</w:t>
            </w:r>
          </w:p>
        </w:tc>
      </w:tr>
      <w:tr>
        <w:tc>
          <w:tcPr>
            <w:tcW w:type="dxa" w:w="12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USD</w:t>
            </w:r>
          </w:p>
        </w:tc>
        <w:tc>
          <w:tcPr>
            <w:tcW w:type="dxa" w:w="28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US Dollar</w:t>
            </w:r>
          </w:p>
        </w:tc>
        <w:tc>
          <w:tcPr>
            <w:tcW w:type="dxa" w:w="28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North America</w:t>
            </w:r>
          </w:p>
        </w:tc>
        <w:tc>
          <w:tcPr>
            <w:tcW w:type="dxa" w:w="256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bCs/>
                <w:color w:val="0E8C5F"/>
                <w:sz w:val="20"/>
                <w:szCs w:val="20"/>
              </w:rPr>
              <w:t xml:space="preserve">Standard</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EUR</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Euro</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Europe</w:t>
            </w:r>
          </w:p>
        </w:tc>
        <w:tc>
          <w:tcPr>
            <w:tcW w:type="dxa" w:w="25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0E8C5F"/>
                <w:sz w:val="20"/>
                <w:szCs w:val="20"/>
              </w:rPr>
              <w:t xml:space="preserve">Standard</w:t>
            </w:r>
          </w:p>
        </w:tc>
      </w:tr>
      <w:tr>
        <w:tc>
          <w:tcPr>
            <w:tcW w:type="dxa" w:w="12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GBP</w:t>
            </w:r>
          </w:p>
        </w:tc>
        <w:tc>
          <w:tcPr>
            <w:tcW w:type="dxa" w:w="28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British Pound</w:t>
            </w:r>
          </w:p>
        </w:tc>
        <w:tc>
          <w:tcPr>
            <w:tcW w:type="dxa" w:w="28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Europe</w:t>
            </w:r>
          </w:p>
        </w:tc>
        <w:tc>
          <w:tcPr>
            <w:tcW w:type="dxa" w:w="256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bCs/>
                <w:color w:val="0E8C5F"/>
                <w:sz w:val="20"/>
                <w:szCs w:val="20"/>
              </w:rPr>
              <w:t xml:space="preserve">Standard</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JPY</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Japanese Yen</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Asia-Pacific</w:t>
            </w:r>
          </w:p>
        </w:tc>
        <w:tc>
          <w:tcPr>
            <w:tcW w:type="dxa" w:w="25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0E8C5F"/>
                <w:sz w:val="20"/>
                <w:szCs w:val="20"/>
              </w:rPr>
              <w:t xml:space="preserve">Standard</w:t>
            </w:r>
          </w:p>
        </w:tc>
      </w:tr>
      <w:tr>
        <w:tc>
          <w:tcPr>
            <w:tcW w:type="dxa" w:w="12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CHF</w:t>
            </w:r>
          </w:p>
        </w:tc>
        <w:tc>
          <w:tcPr>
            <w:tcW w:type="dxa" w:w="28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Swiss Franc</w:t>
            </w:r>
          </w:p>
        </w:tc>
        <w:tc>
          <w:tcPr>
            <w:tcW w:type="dxa" w:w="28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Europe</w:t>
            </w:r>
          </w:p>
        </w:tc>
        <w:tc>
          <w:tcPr>
            <w:tcW w:type="dxa" w:w="256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bCs/>
                <w:color w:val="0E8C5F"/>
                <w:sz w:val="20"/>
                <w:szCs w:val="20"/>
              </w:rPr>
              <w:t xml:space="preserve">Standard</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AUD</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Australian Dollar</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Asia-Pacific</w:t>
            </w:r>
          </w:p>
        </w:tc>
        <w:tc>
          <w:tcPr>
            <w:tcW w:type="dxa" w:w="25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0E8C5F"/>
                <w:sz w:val="20"/>
                <w:szCs w:val="20"/>
              </w:rPr>
              <w:t xml:space="preserve">Standard</w:t>
            </w:r>
          </w:p>
        </w:tc>
      </w:tr>
      <w:tr>
        <w:tc>
          <w:tcPr>
            <w:tcW w:type="dxa" w:w="12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CAD</w:t>
            </w:r>
          </w:p>
        </w:tc>
        <w:tc>
          <w:tcPr>
            <w:tcW w:type="dxa" w:w="28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Canadian Dollar</w:t>
            </w:r>
          </w:p>
        </w:tc>
        <w:tc>
          <w:tcPr>
            <w:tcW w:type="dxa" w:w="28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North America</w:t>
            </w:r>
          </w:p>
        </w:tc>
        <w:tc>
          <w:tcPr>
            <w:tcW w:type="dxa" w:w="256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bCs/>
                <w:color w:val="0E8C5F"/>
                <w:sz w:val="20"/>
                <w:szCs w:val="20"/>
              </w:rPr>
              <w:t xml:space="preserve">Standard</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CNY</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Chinese Yuan</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Asia</w:t>
            </w:r>
          </w:p>
        </w:tc>
        <w:tc>
          <w:tcPr>
            <w:tcW w:type="dxa" w:w="25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E67E00"/>
                <w:sz w:val="20"/>
                <w:szCs w:val="20"/>
              </w:rPr>
              <w:t xml:space="preserve">Elevated</w:t>
            </w:r>
          </w:p>
        </w:tc>
      </w:tr>
      <w:tr>
        <w:tc>
          <w:tcPr>
            <w:tcW w:type="dxa" w:w="12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INR</w:t>
            </w:r>
          </w:p>
        </w:tc>
        <w:tc>
          <w:tcPr>
            <w:tcW w:type="dxa" w:w="28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Indian Rupee</w:t>
            </w:r>
          </w:p>
        </w:tc>
        <w:tc>
          <w:tcPr>
            <w:tcW w:type="dxa" w:w="28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Asia</w:t>
            </w:r>
          </w:p>
        </w:tc>
        <w:tc>
          <w:tcPr>
            <w:tcW w:type="dxa" w:w="256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bCs/>
                <w:color w:val="E67E00"/>
                <w:sz w:val="20"/>
                <w:szCs w:val="20"/>
              </w:rPr>
              <w:t xml:space="preserve">Elevated</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SGD</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Singapore Dollar</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Asia-Pacific</w:t>
            </w:r>
          </w:p>
        </w:tc>
        <w:tc>
          <w:tcPr>
            <w:tcW w:type="dxa" w:w="25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0E8C5F"/>
                <w:sz w:val="20"/>
                <w:szCs w:val="20"/>
              </w:rPr>
              <w:t xml:space="preserve">Standard</w:t>
            </w:r>
          </w:p>
        </w:tc>
      </w:tr>
      <w:tr>
        <w:tc>
          <w:tcPr>
            <w:tcW w:type="dxa" w:w="12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AED</w:t>
            </w:r>
          </w:p>
        </w:tc>
        <w:tc>
          <w:tcPr>
            <w:tcW w:type="dxa" w:w="28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UAE Dirham</w:t>
            </w:r>
          </w:p>
        </w:tc>
        <w:tc>
          <w:tcPr>
            <w:tcW w:type="dxa" w:w="28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Middle East</w:t>
            </w:r>
          </w:p>
        </w:tc>
        <w:tc>
          <w:tcPr>
            <w:tcW w:type="dxa" w:w="256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bCs/>
                <w:color w:val="E67E00"/>
                <w:sz w:val="20"/>
                <w:szCs w:val="20"/>
              </w:rPr>
              <w:t xml:space="preserve">Elevated</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SAR</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Saudi Riyal</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Middle East</w:t>
            </w:r>
          </w:p>
        </w:tc>
        <w:tc>
          <w:tcPr>
            <w:tcW w:type="dxa" w:w="25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E67E00"/>
                <w:sz w:val="20"/>
                <w:szCs w:val="20"/>
              </w:rPr>
              <w:t xml:space="preserve">Elevated</w:t>
            </w:r>
          </w:p>
        </w:tc>
      </w:tr>
      <w:tr>
        <w:tc>
          <w:tcPr>
            <w:tcW w:type="dxa" w:w="12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BRL</w:t>
            </w:r>
          </w:p>
        </w:tc>
        <w:tc>
          <w:tcPr>
            <w:tcW w:type="dxa" w:w="28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Brazilian Real</w:t>
            </w:r>
          </w:p>
        </w:tc>
        <w:tc>
          <w:tcPr>
            <w:tcW w:type="dxa" w:w="28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South America</w:t>
            </w:r>
          </w:p>
        </w:tc>
        <w:tc>
          <w:tcPr>
            <w:tcW w:type="dxa" w:w="256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bCs/>
                <w:color w:val="E67E00"/>
                <w:sz w:val="20"/>
                <w:szCs w:val="20"/>
              </w:rPr>
              <w:t xml:space="preserve">Elevated</w:t>
            </w:r>
          </w:p>
        </w:tc>
      </w:tr>
    </w:tbl>
    <w:p>
      <w:pPr>
        <w:spacing w:after="80"/>
      </w:pPr>
    </w:p>
    <w:p>
      <w:pPr>
        <w:pStyle w:val="Heading2"/>
        <w:spacing w:after="160" w:before="280"/>
      </w:pPr>
      <w:r>
        <w:rPr>
          <w:rFonts w:ascii="Calibri" w:cs="Calibri" w:eastAsia="Calibri" w:hAnsi="Calibri"/>
          <w:b/>
          <w:bCs/>
          <w:color w:val="2C3E50"/>
          <w:sz w:val="26"/>
          <w:szCs w:val="26"/>
        </w:rPr>
        <w:t xml:space="preserve">3.6 Zero Trust Security</w:t>
      </w:r>
    </w:p>
    <w:p>
      <w:pPr>
        <w:spacing w:after="120"/>
        <w:jc w:val="both"/>
      </w:pPr>
      <w:r>
        <w:rPr>
          <w:rFonts w:ascii="Calibri" w:cs="Calibri" w:eastAsia="Calibri" w:hAnsi="Calibri"/>
          <w:color w:val="333333"/>
          <w:sz w:val="22"/>
          <w:szCs w:val="22"/>
        </w:rPr>
        <w:t xml:space="preserve">The security layer implements a Zero Trust architecture where no request is implicitly trusted, regardless of origin.</w:t>
      </w:r>
    </w:p>
    <w:p>
      <w:pPr>
        <w:pStyle w:val="ListParagraph"/>
        <w:numPr>
          <w:ilvl w:val="0"/>
          <w:numId w:val="2"/>
        </w:numPr>
        <w:spacing w:after="60"/>
      </w:pPr>
      <w:r>
        <w:rPr>
          <w:rFonts w:ascii="Calibri" w:cs="Calibri" w:eastAsia="Calibri" w:hAnsi="Calibri"/>
          <w:color w:val="333333"/>
          <w:sz w:val="22"/>
          <w:szCs w:val="22"/>
        </w:rPr>
        <w:t xml:space="preserve">JWT HS256 tokens with 1-hour expiry issued upon successful authentication</w:t>
      </w:r>
    </w:p>
    <w:p>
      <w:pPr>
        <w:pStyle w:val="ListParagraph"/>
        <w:numPr>
          <w:ilvl w:val="0"/>
          <w:numId w:val="2"/>
        </w:numPr>
        <w:spacing w:after="60"/>
      </w:pPr>
      <w:r>
        <w:rPr>
          <w:rFonts w:ascii="Calibri" w:cs="Calibri" w:eastAsia="Calibri" w:hAnsi="Calibri"/>
          <w:color w:val="333333"/>
          <w:sz w:val="22"/>
          <w:szCs w:val="22"/>
        </w:rPr>
        <w:t xml:space="preserve">@zero_trust_required decorator enforces authentication on all protected API endpoints</w:t>
      </w:r>
    </w:p>
    <w:p>
      <w:pPr>
        <w:pStyle w:val="ListParagraph"/>
        <w:numPr>
          <w:ilvl w:val="0"/>
          <w:numId w:val="2"/>
        </w:numPr>
        <w:spacing w:after="60"/>
      </w:pPr>
      <w:r>
        <w:rPr>
          <w:rFonts w:ascii="Calibri" w:cs="Calibri" w:eastAsia="Calibri" w:hAnsi="Calibri"/>
          <w:color w:val="333333"/>
          <w:sz w:val="22"/>
          <w:szCs w:val="22"/>
        </w:rPr>
        <w:t xml:space="preserve">Rate limiting: 100 requests per minute per IP address to prevent abuse</w:t>
      </w:r>
    </w:p>
    <w:p>
      <w:pPr>
        <w:pStyle w:val="ListParagraph"/>
        <w:numPr>
          <w:ilvl w:val="0"/>
          <w:numId w:val="2"/>
        </w:numPr>
        <w:spacing w:after="60"/>
      </w:pPr>
      <w:r>
        <w:rPr>
          <w:rFonts w:ascii="Calibri" w:cs="Calibri" w:eastAsia="Calibri" w:hAnsi="Calibri"/>
          <w:color w:val="333333"/>
          <w:sz w:val="22"/>
          <w:szCs w:val="22"/>
        </w:rPr>
        <w:t xml:space="preserve">Security headers: Strict-Transport-Security, X-Frame-Options: DENY, X-XSS-Protection, X-Content-Type-Options: nosniff</w:t>
      </w:r>
    </w:p>
    <w:p>
      <w:pPr>
        <w:pStyle w:val="ListParagraph"/>
        <w:numPr>
          <w:ilvl w:val="0"/>
          <w:numId w:val="2"/>
        </w:numPr>
        <w:spacing w:after="60"/>
      </w:pPr>
      <w:r>
        <w:rPr>
          <w:rFonts w:ascii="Calibri" w:cs="Calibri" w:eastAsia="Calibri" w:hAnsi="Calibri"/>
          <w:color w:val="333333"/>
          <w:sz w:val="22"/>
          <w:szCs w:val="22"/>
        </w:rPr>
        <w:t xml:space="preserve">CORS policy with configurable allowed origins for cross-origin requests</w:t>
      </w:r>
    </w:p>
    <w:p>
      <w:pPr>
        <w:pStyle w:val="ListParagraph"/>
        <w:numPr>
          <w:ilvl w:val="0"/>
          <w:numId w:val="2"/>
        </w:numPr>
        <w:spacing w:after="60"/>
      </w:pPr>
      <w:r>
        <w:rPr>
          <w:rFonts w:ascii="Calibri" w:cs="Calibri" w:eastAsia="Calibri" w:hAnsi="Calibri"/>
          <w:color w:val="333333"/>
          <w:sz w:val="22"/>
          <w:szCs w:val="22"/>
        </w:rPr>
        <w:t xml:space="preserve">All passwords are compared server-side; no client-side credential storage</w:t>
      </w:r>
    </w:p>
    <w:p>
      <w:pPr>
        <w:spacing w:after="80"/>
      </w:pPr>
    </w:p>
    <w:p>
      <w:pPr>
        <w:pStyle w:val="Heading2"/>
        <w:spacing w:after="160" w:before="280"/>
      </w:pPr>
      <w:r>
        <w:rPr>
          <w:rFonts w:ascii="Calibri" w:cs="Calibri" w:eastAsia="Calibri" w:hAnsi="Calibri"/>
          <w:b/>
          <w:bCs/>
          <w:color w:val="2C3E50"/>
          <w:sz w:val="26"/>
          <w:szCs w:val="26"/>
        </w:rPr>
        <w:t xml:space="preserve">3.7 Database &amp; Data Sovereignty</w:t>
      </w:r>
    </w:p>
    <w:p>
      <w:pPr>
        <w:spacing w:after="120"/>
        <w:jc w:val="both"/>
      </w:pPr>
      <w:r>
        <w:rPr>
          <w:rFonts w:ascii="Calibri" w:cs="Calibri" w:eastAsia="Calibri" w:hAnsi="Calibri"/>
          <w:color w:val="333333"/>
          <w:sz w:val="22"/>
          <w:szCs w:val="22"/>
        </w:rPr>
        <w:t xml:space="preserve">The data sovereignty layer uses SQLite (ipts_vault.db) as the off-chain secure vault, maintaining a strict separation between on-chain settlement records and off-chain personally identifiable information (PII).</w:t>
      </w:r>
    </w:p>
    <w:p>
      <w:pPr>
        <w:spacing w:after="80"/>
      </w:pPr>
    </w:p>
    <w:p>
      <w:pPr>
        <w:pStyle w:val="Heading3"/>
        <w:spacing w:after="120" w:before="200"/>
      </w:pPr>
      <w:r>
        <w:rPr>
          <w:rFonts w:ascii="Calibri" w:cs="Calibri" w:eastAsia="Calibri" w:hAnsi="Calibri"/>
          <w:b/>
          <w:bCs/>
          <w:color w:val="2C3E50"/>
          <w:sz w:val="22"/>
          <w:szCs w:val="22"/>
        </w:rPr>
        <w:t xml:space="preserve">Database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CCCCC" w:sz="1"/>
              <w:left w:val="single" w:color="CCCCCC" w:sz="1"/>
              <w:bottom w:val="single" w:color="CCCCCC" w:sz="1"/>
              <w:right w:val="single" w:color="CCCCCC" w:sz="1"/>
            </w:tcBorders>
            <w:shd w:fill="1A5276"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Table</w:t>
            </w:r>
          </w:p>
        </w:tc>
        <w:tc>
          <w:tcPr>
            <w:tcW w:type="dxa" w:w="6760"/>
            <w:tcBorders>
              <w:top w:val="single" w:color="CCCCCC" w:sz="1"/>
              <w:left w:val="single" w:color="CCCCCC" w:sz="1"/>
              <w:bottom w:val="single" w:color="CCCCCC" w:sz="1"/>
              <w:right w:val="single" w:color="CCCCCC" w:sz="1"/>
            </w:tcBorders>
            <w:shd w:fill="1A5276"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Purpose</w:t>
            </w:r>
          </w:p>
        </w:tc>
      </w:tr>
      <w:tr>
        <w:tc>
          <w:tcPr>
            <w:tcW w:type="dxa" w:w="26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pii_vault</w:t>
            </w:r>
          </w:p>
        </w:tc>
        <w:tc>
          <w:tcPr>
            <w:tcW w:type="dxa" w:w="676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Encrypted PII storage with GDPR consent tracking and data hashes</w:t>
            </w:r>
          </w:p>
        </w:tc>
      </w:tr>
      <w:tr>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settlements</w:t>
            </w:r>
          </w:p>
        </w:tc>
        <w:tc>
          <w:tcPr>
            <w:tcW w:type="dxa" w:w="67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All transaction records with status, risk scores, blockchain tx hashes, SHAP values, and timing</w:t>
            </w:r>
          </w:p>
        </w:tc>
      </w:tr>
      <w:tr>
        <w:tc>
          <w:tcPr>
            <w:tcW w:type="dxa" w:w="26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hitl_queue</w:t>
            </w:r>
          </w:p>
        </w:tc>
        <w:tc>
          <w:tcPr>
            <w:tcW w:type="dxa" w:w="676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Human-in-the-loop review queue for blocked transactions with SLA tracking</w:t>
            </w:r>
          </w:p>
        </w:tc>
      </w:tr>
      <w:tr>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audit_log</w:t>
            </w:r>
          </w:p>
        </w:tc>
        <w:tc>
          <w:tcPr>
            <w:tcW w:type="dxa" w:w="67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Immutable audit trail of all system actions, actors, and IP addresses</w:t>
            </w:r>
          </w:p>
        </w:tc>
      </w:tr>
      <w:tr>
        <w:tc>
          <w:tcPr>
            <w:tcW w:type="dxa" w:w="26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sanctions_list</w:t>
            </w:r>
          </w:p>
        </w:tc>
        <w:tc>
          <w:tcPr>
            <w:tcW w:type="dxa" w:w="676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Sanctions screening database with entity names, types, and reasons</w:t>
            </w:r>
          </w:p>
        </w:tc>
      </w:tr>
      <w:tr>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swift_gpi_tracker</w:t>
            </w:r>
          </w:p>
        </w:tc>
        <w:tc>
          <w:tcPr>
            <w:tcW w:type="dxa" w:w="67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SWIFT gpi payment tracking with UETR references</w:t>
            </w:r>
          </w:p>
        </w:tc>
      </w:tr>
      <w:tr>
        <w:tc>
          <w:tcPr>
            <w:tcW w:type="dxa" w:w="26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user_accounts</w:t>
            </w:r>
          </w:p>
        </w:tc>
        <w:tc>
          <w:tcPr>
            <w:tcW w:type="dxa" w:w="676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User balances, wallet addresses, and account metadata</w:t>
            </w:r>
          </w:p>
        </w:tc>
      </w:tr>
      <w:tr>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compliance_cases</w:t>
            </w:r>
          </w:p>
        </w:tc>
        <w:tc>
          <w:tcPr>
            <w:tcW w:type="dxa" w:w="67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Full compliance case lifecycle tracking with severity, findings, SLA, and SAR numbers</w:t>
            </w:r>
          </w:p>
        </w:tc>
      </w:tr>
      <w:tr>
        <w:tc>
          <w:tcPr>
            <w:tcW w:type="dxa" w:w="26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four_eyes_approvals</w:t>
            </w:r>
          </w:p>
        </w:tc>
        <w:tc>
          <w:tcPr>
            <w:tcW w:type="dxa" w:w="676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Dual-approval tracking with first_approver, second_approver, status, and required count</w:t>
            </w:r>
          </w:p>
        </w:tc>
      </w:tr>
    </w:tbl>
    <w:p>
      <w:pPr>
        <w:spacing w:after="80"/>
      </w:pPr>
    </w:p>
    <w:p>
      <w:pPr>
        <w:spacing w:after="120"/>
        <w:jc w:val="both"/>
      </w:pPr>
      <w:r>
        <w:rPr>
          <w:rFonts w:ascii="Calibri" w:cs="Calibri" w:eastAsia="Calibri" w:hAnsi="Calibri"/>
          <w:color w:val="333333"/>
          <w:sz w:val="22"/>
          <w:szCs w:val="22"/>
        </w:rPr>
        <w:t xml:space="preserve">GDPR compliance is enforced through a dedicated right-to-erasure API endpoint that anonymizes PII in the vault and replaces sensitive fields in settlements with [REDACTED]. The SHA-256 hash of ISO 20022 payloads remains on-chain as an immutable anchor, while the raw payload data resides exclusively in the off-chain vault.</w:t>
      </w:r>
    </w:p>
    <w:p>
      <w:pPr>
        <w:pStyle w:val="Heading2"/>
        <w:spacing w:after="160" w:before="280"/>
      </w:pPr>
      <w:r>
        <w:rPr>
          <w:rFonts w:ascii="Calibri" w:cs="Calibri" w:eastAsia="Calibri" w:hAnsi="Calibri"/>
          <w:b/>
          <w:bCs/>
          <w:color w:val="2C3E50"/>
          <w:sz w:val="26"/>
          <w:szCs w:val="26"/>
        </w:rPr>
        <w:t xml:space="preserve">3.8 SLA Tracking &amp; Health Monitoring</w:t>
      </w:r>
    </w:p>
    <w:p>
      <w:pPr>
        <w:spacing w:after="120"/>
        <w:jc w:val="both"/>
      </w:pPr>
      <w:r>
        <w:rPr>
          <w:rFonts w:ascii="Calibri" w:cs="Calibri" w:eastAsia="Calibri" w:hAnsi="Calibri"/>
          <w:color w:val="333333"/>
          <w:sz w:val="22"/>
          <w:szCs w:val="22"/>
        </w:rPr>
        <w:t xml:space="preserve">IPTS implements Service Level Agreement (SLA) tracking for compliance cases and system health monitoring:</w:t>
      </w:r>
    </w:p>
    <w:p>
      <w:pPr>
        <w:spacing w:after="80"/>
      </w:pPr>
    </w:p>
    <w:p>
      <w:pPr>
        <w:pStyle w:val="Heading3"/>
        <w:spacing w:after="120" w:before="200"/>
      </w:pPr>
      <w:r>
        <w:rPr>
          <w:rFonts w:ascii="Calibri" w:cs="Calibri" w:eastAsia="Calibri" w:hAnsi="Calibri"/>
          <w:b/>
          <w:bCs/>
          <w:color w:val="2C3E50"/>
          <w:sz w:val="22"/>
          <w:szCs w:val="22"/>
        </w:rPr>
        <w:t xml:space="preserve">SLA Thresholds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4680"/>
      </w:tblGrid>
      <w:tr>
        <w:tc>
          <w:tcPr>
            <w:tcW w:type="dxa" w:w="2340"/>
            <w:tcBorders>
              <w:top w:val="single" w:color="CCCCCC" w:sz="1"/>
              <w:left w:val="single" w:color="CCCCCC" w:sz="1"/>
              <w:bottom w:val="single" w:color="CCCCCC" w:sz="1"/>
              <w:right w:val="single" w:color="CCCCCC" w:sz="1"/>
            </w:tcBorders>
            <w:shd w:fill="1A5276"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Severity</w:t>
            </w:r>
          </w:p>
        </w:tc>
        <w:tc>
          <w:tcPr>
            <w:tcW w:type="dxa" w:w="2340"/>
            <w:tcBorders>
              <w:top w:val="single" w:color="CCCCCC" w:sz="1"/>
              <w:left w:val="single" w:color="CCCCCC" w:sz="1"/>
              <w:bottom w:val="single" w:color="CCCCCC" w:sz="1"/>
              <w:right w:val="single" w:color="CCCCCC" w:sz="1"/>
            </w:tcBorders>
            <w:shd w:fill="1A5276"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SLA Window</w:t>
            </w:r>
          </w:p>
        </w:tc>
        <w:tc>
          <w:tcPr>
            <w:tcW w:type="dxa" w:w="4680"/>
            <w:tcBorders>
              <w:top w:val="single" w:color="CCCCCC" w:sz="1"/>
              <w:left w:val="single" w:color="CCCCCC" w:sz="1"/>
              <w:bottom w:val="single" w:color="CCCCCC" w:sz="1"/>
              <w:right w:val="single" w:color="CCCCCC" w:sz="1"/>
            </w:tcBorders>
            <w:shd w:fill="1A5276"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Description</w:t>
            </w:r>
          </w:p>
        </w:tc>
      </w:tr>
      <w:tr>
        <w:tc>
          <w:tcPr>
            <w:tcW w:type="dxa" w:w="2340"/>
            <w:tcBorders>
              <w:top w:val="single" w:color="CCCCCC" w:sz="1"/>
              <w:left w:val="single" w:color="CCCCCC" w:sz="1"/>
              <w:bottom w:val="single" w:color="CCCCCC" w:sz="1"/>
              <w:right w:val="single" w:color="CCCCCC" w:sz="1"/>
            </w:tcBorders>
            <w:shd w:fill="FDEDEC" w:val="clear"/>
            <w:tcMar>
              <w:top w:type="dxa" w:w="60"/>
              <w:left w:type="dxa" w:w="100"/>
              <w:bottom w:type="dxa" w:w="60"/>
              <w:right w:type="dxa" w:w="100"/>
            </w:tcMar>
          </w:tcPr>
          <w:p>
            <w:pPr>
              <w:jc w:val="left"/>
            </w:pPr>
            <w:r>
              <w:rPr>
                <w:rFonts w:ascii="Calibri" w:cs="Calibri" w:eastAsia="Calibri" w:hAnsi="Calibri"/>
                <w:b/>
                <w:bCs/>
                <w:color w:val="CC0000"/>
                <w:sz w:val="20"/>
                <w:szCs w:val="20"/>
              </w:rPr>
              <w:t xml:space="preserve">CRITICAL</w:t>
            </w:r>
          </w:p>
        </w:tc>
        <w:tc>
          <w:tcPr>
            <w:tcW w:type="dxa" w:w="2340"/>
            <w:tcBorders>
              <w:top w:val="single" w:color="CCCCCC" w:sz="1"/>
              <w:left w:val="single" w:color="CCCCCC" w:sz="1"/>
              <w:bottom w:val="single" w:color="CCCCCC" w:sz="1"/>
              <w:right w:val="single" w:color="CCCCCC" w:sz="1"/>
            </w:tcBorders>
            <w:shd w:fill="FDEDEC"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4 hours</w:t>
            </w:r>
          </w:p>
        </w:tc>
        <w:tc>
          <w:tcPr>
            <w:tcW w:type="dxa" w:w="4680"/>
            <w:tcBorders>
              <w:top w:val="single" w:color="CCCCCC" w:sz="1"/>
              <w:left w:val="single" w:color="CCCCCC" w:sz="1"/>
              <w:bottom w:val="single" w:color="CCCCCC" w:sz="1"/>
              <w:right w:val="single" w:color="CCCCCC" w:sz="1"/>
            </w:tcBorders>
            <w:shd w:fill="FDEDEC"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Immediate action required. Sanctions matches, terrorist financing alerts</w:t>
            </w:r>
          </w:p>
        </w:tc>
      </w:tr>
      <w:tr>
        <w:tc>
          <w:tcPr>
            <w:tcW w:type="dxa" w:w="2340"/>
            <w:tcBorders>
              <w:top w:val="single" w:color="CCCCCC" w:sz="1"/>
              <w:left w:val="single" w:color="CCCCCC" w:sz="1"/>
              <w:bottom w:val="single" w:color="CCCCCC" w:sz="1"/>
              <w:right w:val="single" w:color="CCCCCC" w:sz="1"/>
            </w:tcBorders>
            <w:shd w:fill="FEF9E7" w:val="clear"/>
            <w:tcMar>
              <w:top w:type="dxa" w:w="60"/>
              <w:left w:type="dxa" w:w="100"/>
              <w:bottom w:type="dxa" w:w="60"/>
              <w:right w:type="dxa" w:w="100"/>
            </w:tcMar>
          </w:tcPr>
          <w:p>
            <w:pPr>
              <w:jc w:val="left"/>
            </w:pPr>
            <w:r>
              <w:rPr>
                <w:rFonts w:ascii="Calibri" w:cs="Calibri" w:eastAsia="Calibri" w:hAnsi="Calibri"/>
                <w:b/>
                <w:bCs/>
                <w:color w:val="E67E00"/>
                <w:sz w:val="20"/>
                <w:szCs w:val="20"/>
              </w:rPr>
              <w:t xml:space="preserve">HIGH</w:t>
            </w:r>
          </w:p>
        </w:tc>
        <w:tc>
          <w:tcPr>
            <w:tcW w:type="dxa" w:w="2340"/>
            <w:tcBorders>
              <w:top w:val="single" w:color="CCCCCC" w:sz="1"/>
              <w:left w:val="single" w:color="CCCCCC" w:sz="1"/>
              <w:bottom w:val="single" w:color="CCCCCC" w:sz="1"/>
              <w:right w:val="single" w:color="CCCCCC" w:sz="1"/>
            </w:tcBorders>
            <w:shd w:fill="FEF9E7"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24 hours</w:t>
            </w:r>
          </w:p>
        </w:tc>
        <w:tc>
          <w:tcPr>
            <w:tcW w:type="dxa" w:w="4680"/>
            <w:tcBorders>
              <w:top w:val="single" w:color="CCCCCC" w:sz="1"/>
              <w:left w:val="single" w:color="CCCCCC" w:sz="1"/>
              <w:bottom w:val="single" w:color="CCCCCC" w:sz="1"/>
              <w:right w:val="single" w:color="CCCCCC" w:sz="1"/>
            </w:tcBorders>
            <w:shd w:fill="FEF9E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Same-day response. High-value blocked transactions, structuring patterns</w:t>
            </w:r>
          </w:p>
        </w:tc>
      </w:tr>
      <w:tr>
        <w:tc>
          <w:tcPr>
            <w:tcW w:type="dxa" w:w="2340"/>
            <w:tcBorders>
              <w:top w:val="single" w:color="CCCCCC" w:sz="1"/>
              <w:left w:val="single" w:color="CCCCCC" w:sz="1"/>
              <w:bottom w:val="single" w:color="CCCCCC" w:sz="1"/>
              <w:right w:val="single" w:color="CCCCCC" w:sz="1"/>
            </w:tcBorders>
            <w:shd w:fill="FEF5E4" w:val="clear"/>
            <w:tcMar>
              <w:top w:type="dxa" w:w="60"/>
              <w:left w:type="dxa" w:w="100"/>
              <w:bottom w:type="dxa" w:w="60"/>
              <w:right w:type="dxa" w:w="100"/>
            </w:tcMar>
          </w:tcPr>
          <w:p>
            <w:pPr>
              <w:jc w:val="left"/>
            </w:pPr>
            <w:r>
              <w:rPr>
                <w:rFonts w:ascii="Calibri" w:cs="Calibri" w:eastAsia="Calibri" w:hAnsi="Calibri"/>
                <w:b/>
                <w:bCs/>
                <w:color w:val="B8860B"/>
                <w:sz w:val="20"/>
                <w:szCs w:val="20"/>
              </w:rPr>
              <w:t xml:space="preserve">MEDIUM</w:t>
            </w:r>
          </w:p>
        </w:tc>
        <w:tc>
          <w:tcPr>
            <w:tcW w:type="dxa" w:w="2340"/>
            <w:tcBorders>
              <w:top w:val="single" w:color="CCCCCC" w:sz="1"/>
              <w:left w:val="single" w:color="CCCCCC" w:sz="1"/>
              <w:bottom w:val="single" w:color="CCCCCC" w:sz="1"/>
              <w:right w:val="single" w:color="CCCCCC" w:sz="1"/>
            </w:tcBorders>
            <w:shd w:fill="FEF5E4"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72 hours</w:t>
            </w:r>
          </w:p>
        </w:tc>
        <w:tc>
          <w:tcPr>
            <w:tcW w:type="dxa" w:w="4680"/>
            <w:tcBorders>
              <w:top w:val="single" w:color="CCCCCC" w:sz="1"/>
              <w:left w:val="single" w:color="CCCCCC" w:sz="1"/>
              <w:bottom w:val="single" w:color="CCCCCC" w:sz="1"/>
              <w:right w:val="single" w:color="CCCCCC" w:sz="1"/>
            </w:tcBorders>
            <w:shd w:fill="FEF5E4"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Standard review. AML-flagged transactions, jurisdiction risk alerts</w:t>
            </w:r>
          </w:p>
        </w:tc>
      </w:tr>
      <w:tr>
        <w:tc>
          <w:tcPr>
            <w:tcW w:type="dxa" w:w="2340"/>
            <w:tcBorders>
              <w:top w:val="single" w:color="CCCCCC" w:sz="1"/>
              <w:left w:val="single" w:color="CCCCCC" w:sz="1"/>
              <w:bottom w:val="single" w:color="CCCCCC" w:sz="1"/>
              <w:right w:val="single" w:color="CCCCCC" w:sz="1"/>
            </w:tcBorders>
            <w:shd w:fill="EAFAF1" w:val="clear"/>
            <w:tcMar>
              <w:top w:type="dxa" w:w="60"/>
              <w:left w:type="dxa" w:w="100"/>
              <w:bottom w:type="dxa" w:w="60"/>
              <w:right w:type="dxa" w:w="100"/>
            </w:tcMar>
          </w:tcPr>
          <w:p>
            <w:pPr>
              <w:jc w:val="left"/>
            </w:pPr>
            <w:r>
              <w:rPr>
                <w:rFonts w:ascii="Calibri" w:cs="Calibri" w:eastAsia="Calibri" w:hAnsi="Calibri"/>
                <w:b/>
                <w:bCs/>
                <w:color w:val="0E8C5F"/>
                <w:sz w:val="20"/>
                <w:szCs w:val="20"/>
              </w:rPr>
              <w:t xml:space="preserve">LOW</w:t>
            </w:r>
          </w:p>
        </w:tc>
        <w:tc>
          <w:tcPr>
            <w:tcW w:type="dxa" w:w="2340"/>
            <w:tcBorders>
              <w:top w:val="single" w:color="CCCCCC" w:sz="1"/>
              <w:left w:val="single" w:color="CCCCCC" w:sz="1"/>
              <w:bottom w:val="single" w:color="CCCCCC" w:sz="1"/>
              <w:right w:val="single" w:color="CCCCCC" w:sz="1"/>
            </w:tcBorders>
            <w:shd w:fill="EAFAF1"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168 hours (7 days)</w:t>
            </w:r>
          </w:p>
        </w:tc>
        <w:tc>
          <w:tcPr>
            <w:tcW w:type="dxa" w:w="4680"/>
            <w:tcBorders>
              <w:top w:val="single" w:color="CCCCCC" w:sz="1"/>
              <w:left w:val="single" w:color="CCCCCC" w:sz="1"/>
              <w:bottom w:val="single" w:color="CCCCCC" w:sz="1"/>
              <w:right w:val="single" w:color="CCCCCC" w:sz="1"/>
            </w:tcBorders>
            <w:shd w:fill="EAFAF1"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Routine review. Low-risk flagged items, informational alerts</w:t>
            </w:r>
          </w:p>
        </w:tc>
      </w:tr>
    </w:tbl>
    <w:p>
      <w:pPr>
        <w:spacing w:after="80"/>
      </w:pPr>
    </w:p>
    <w:p>
      <w:pPr>
        <w:spacing w:after="120"/>
        <w:jc w:val="both"/>
      </w:pPr>
      <w:r>
        <w:rPr>
          <w:rFonts w:ascii="Calibri" w:cs="Calibri" w:eastAsia="Calibri" w:hAnsi="Calibri"/>
          <w:color w:val="333333"/>
          <w:sz w:val="22"/>
          <w:szCs w:val="22"/>
        </w:rPr>
        <w:t xml:space="preserve">The frontend displays SLA countdown badges in the Case Management tab, color-coded to indicate remaining time. Cases approaching SLA breach are highlighted in red to draw compliance officer attention.</w:t>
      </w:r>
    </w:p>
    <w:p>
      <w:pPr>
        <w:spacing w:after="80"/>
      </w:pPr>
    </w:p>
    <w:p>
      <w:pPr>
        <w:pStyle w:val="Heading3"/>
        <w:spacing w:after="120" w:before="200"/>
      </w:pPr>
      <w:r>
        <w:rPr>
          <w:rFonts w:ascii="Calibri" w:cs="Calibri" w:eastAsia="Calibri" w:hAnsi="Calibri"/>
          <w:b/>
          <w:bCs/>
          <w:color w:val="2C3E50"/>
          <w:sz w:val="22"/>
          <w:szCs w:val="22"/>
        </w:rPr>
        <w:t xml:space="preserve">Health Monitoring</w:t>
      </w:r>
    </w:p>
    <w:p>
      <w:pPr>
        <w:spacing w:after="120"/>
        <w:jc w:val="both"/>
      </w:pPr>
      <w:r>
        <w:rPr>
          <w:rFonts w:ascii="Calibri" w:cs="Calibri" w:eastAsia="Calibri" w:hAnsi="Calibri"/>
          <w:color w:val="333333"/>
          <w:sz w:val="22"/>
          <w:szCs w:val="22"/>
        </w:rPr>
        <w:t xml:space="preserve">The /api/health endpoint is polled every 30 seconds by the frontend. It reports the status of all critical system components: Flask API, Ganache blockchain, ML models, and database. A colored status dot in the header (green = healthy, yellow = degraded, red = offline) provides at-a-glance system health visibility.</w:t>
      </w:r>
    </w:p>
    <w:p>
      <w:r>
        <w:br w:type="page"/>
      </w:r>
    </w:p>
    <w:p>
      <w:pPr>
        <w:pStyle w:val="Heading1"/>
        <w:spacing w:after="200" w:before="360"/>
      </w:pPr>
      <w:r>
        <w:rPr>
          <w:rFonts w:ascii="Calibri" w:cs="Calibri" w:eastAsia="Calibri" w:hAnsi="Calibri"/>
          <w:b/>
          <w:bCs/>
          <w:color w:val="1A5276"/>
          <w:sz w:val="32"/>
          <w:szCs w:val="32"/>
        </w:rPr>
        <w:t xml:space="preserve">4. User Interface</w:t>
      </w:r>
    </w:p>
    <w:p>
      <w:pPr>
        <w:spacing w:after="120"/>
        <w:jc w:val="both"/>
      </w:pPr>
      <w:r>
        <w:rPr>
          <w:rFonts w:ascii="Calibri" w:cs="Calibri" w:eastAsia="Calibri" w:hAnsi="Calibri"/>
          <w:color w:val="333333"/>
          <w:sz w:val="22"/>
          <w:szCs w:val="22"/>
        </w:rPr>
        <w:t xml:space="preserve">The IPTS frontend is a professional single-page application served via Flask and styled with Tailwind CSS CDN. It features a dark fintech-grade theme with 7 functional tabs, real-time data streaming via Server-Sent Events (SSE), SHAP explainability charts, multi-currency support, SLA tracking, health monitoring, and responsive design.</w:t>
      </w:r>
    </w:p>
    <w:p>
      <w:pPr>
        <w:spacing w:after="80"/>
      </w:pPr>
    </w:p>
    <w:p>
      <w:pPr>
        <w:pStyle w:val="Heading2"/>
        <w:spacing w:after="160" w:before="280"/>
      </w:pPr>
      <w:r>
        <w:rPr>
          <w:rFonts w:ascii="Calibri" w:cs="Calibri" w:eastAsia="Calibri" w:hAnsi="Calibri"/>
          <w:b/>
          <w:bCs/>
          <w:color w:val="2C3E50"/>
          <w:sz w:val="26"/>
          <w:szCs w:val="26"/>
        </w:rPr>
        <w:t xml:space="preserve">4.1 Dashboard Tab</w:t>
      </w:r>
    </w:p>
    <w:p>
      <w:pPr>
        <w:spacing w:after="120"/>
        <w:jc w:val="both"/>
      </w:pPr>
      <w:r>
        <w:rPr>
          <w:rFonts w:ascii="Calibri" w:cs="Calibri" w:eastAsia="Calibri" w:hAnsi="Calibri"/>
          <w:color w:val="333333"/>
          <w:sz w:val="22"/>
          <w:szCs w:val="22"/>
        </w:rPr>
        <w:t xml:space="preserve">The main operational dashboard provides at-a-glance system health and transaction monitoring:</w:t>
      </w:r>
    </w:p>
    <w:p>
      <w:pPr>
        <w:pStyle w:val="ListParagraph"/>
        <w:numPr>
          <w:ilvl w:val="0"/>
          <w:numId w:val="2"/>
        </w:numPr>
        <w:spacing w:after="60"/>
      </w:pPr>
      <w:r>
        <w:rPr>
          <w:rFonts w:ascii="Calibri" w:cs="Calibri" w:eastAsia="Calibri" w:hAnsi="Calibri"/>
          <w:color w:val="333333"/>
          <w:sz w:val="22"/>
          <w:szCs w:val="22"/>
        </w:rPr>
        <w:t xml:space="preserve">KPI Cards: Total Settlements, Blocked (red), Flagged (yellow), Nostro Liquidity (USD)</w:t>
      </w:r>
    </w:p>
    <w:p>
      <w:pPr>
        <w:pStyle w:val="ListParagraph"/>
        <w:numPr>
          <w:ilvl w:val="0"/>
          <w:numId w:val="2"/>
        </w:numPr>
        <w:spacing w:after="60"/>
      </w:pPr>
      <w:r>
        <w:rPr>
          <w:rFonts w:ascii="Calibri" w:cs="Calibri" w:eastAsia="Calibri" w:hAnsi="Calibri"/>
          <w:color w:val="333333"/>
          <w:sz w:val="22"/>
          <w:szCs w:val="22"/>
        </w:rPr>
        <w:t xml:space="preserve">Settlement Volume Chart: Real-time Chart.js visualization of settlement activity by status</w:t>
      </w:r>
    </w:p>
    <w:p>
      <w:pPr>
        <w:pStyle w:val="ListParagraph"/>
        <w:numPr>
          <w:ilvl w:val="0"/>
          <w:numId w:val="2"/>
        </w:numPr>
        <w:spacing w:after="60"/>
      </w:pPr>
      <w:r>
        <w:rPr>
          <w:rFonts w:ascii="Calibri" w:cs="Calibri" w:eastAsia="Calibri" w:hAnsi="Calibri"/>
          <w:color w:val="333333"/>
          <w:sz w:val="22"/>
          <w:szCs w:val="22"/>
        </w:rPr>
        <w:t xml:space="preserve">AML Telemetry Table: Live ledger showing sender, beneficiary, amount, risk score, status, and blockchain hash</w:t>
      </w:r>
    </w:p>
    <w:p>
      <w:pPr>
        <w:pStyle w:val="ListParagraph"/>
        <w:numPr>
          <w:ilvl w:val="0"/>
          <w:numId w:val="2"/>
        </w:numPr>
        <w:spacing w:after="60"/>
      </w:pPr>
      <w:r>
        <w:rPr>
          <w:rFonts w:ascii="Calibri" w:cs="Calibri" w:eastAsia="Calibri" w:hAnsi="Calibri"/>
          <w:color w:val="333333"/>
          <w:sz w:val="22"/>
          <w:szCs w:val="22"/>
        </w:rPr>
        <w:t xml:space="preserve">Health Status Dot: Green/yellow/red indicator polled every 30 seconds from /api/health</w:t>
      </w:r>
    </w:p>
    <w:p>
      <w:pPr>
        <w:pStyle w:val="ListParagraph"/>
        <w:numPr>
          <w:ilvl w:val="0"/>
          <w:numId w:val="2"/>
        </w:numPr>
        <w:spacing w:after="60"/>
      </w:pPr>
      <w:r>
        <w:rPr>
          <w:rFonts w:ascii="Calibri" w:cs="Calibri" w:eastAsia="Calibri" w:hAnsi="Calibri"/>
          <w:color w:val="333333"/>
          <w:sz w:val="22"/>
          <w:szCs w:val="22"/>
        </w:rPr>
        <w:t xml:space="preserve">Auto-refresh every 6 seconds via SSE stream</w:t>
      </w:r>
    </w:p>
    <w:p>
      <w:pPr>
        <w:spacing w:after="80"/>
      </w:pPr>
    </w:p>
    <w:p>
      <w:pPr>
        <w:spacing w:after="80" w:before="200"/>
        <w:jc w:val="center"/>
      </w:pPr>
      <w:r>
        <w:drawing>
          <wp:inline distT="0" distB="0" distL="0" distR="0">
            <wp:extent cx="5238750" cy="3238500"/>
            <wp:effectExtent t="0" r="0" b="0" l="0"/>
            <wp:docPr id="1" name="Screenshot 2026-04-09 at 11.01.04 AM" descr="Dashboard with $750K settlement, KPI indicators, and volume chart" title="Dashboard KPI 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238750" cy="3238500"/>
                    </a:xfrm>
                    <a:prstGeom prst="rect">
                      <a:avLst/>
                    </a:prstGeom>
                  </pic:spPr>
                </pic:pic>
              </a:graphicData>
            </a:graphic>
          </wp:inline>
        </w:drawing>
      </w:r>
    </w:p>
    <w:p>
      <w:pPr>
        <w:spacing w:after="200"/>
        <w:jc w:val="center"/>
      </w:pPr>
      <w:r>
        <w:rPr>
          <w:rFonts w:ascii="Calibri" w:cs="Calibri" w:eastAsia="Calibri" w:hAnsi="Calibri"/>
          <w:i/>
          <w:iCs/>
          <w:color w:val="777777"/>
          <w:sz w:val="18"/>
          <w:szCs w:val="18"/>
        </w:rPr>
        <w:t xml:space="preserve">Figure 7: Dashboard — KPI Cards, Settlement Volume Chart, and Health Status</w:t>
      </w:r>
    </w:p>
    <w:p>
      <w:pPr>
        <w:spacing w:after="80"/>
      </w:pPr>
    </w:p>
    <w:p>
      <w:pPr>
        <w:spacing w:after="80" w:before="200"/>
        <w:jc w:val="center"/>
      </w:pPr>
      <w:r>
        <w:drawing>
          <wp:inline distT="0" distB="0" distL="0" distR="0">
            <wp:extent cx="5238750" cy="2857500"/>
            <wp:effectExtent t="0" r="0" b="0" l="0"/>
            <wp:docPr id="1" name="Screenshot 2026-04-09 at 11.05.17 AM" descr="Settlement volume chart with AML telemetry table" title="Dashboard AML Telemet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238750" cy="2857500"/>
                    </a:xfrm>
                    <a:prstGeom prst="rect">
                      <a:avLst/>
                    </a:prstGeom>
                  </pic:spPr>
                </pic:pic>
              </a:graphicData>
            </a:graphic>
          </wp:inline>
        </w:drawing>
      </w:r>
    </w:p>
    <w:p>
      <w:pPr>
        <w:spacing w:after="200"/>
        <w:jc w:val="center"/>
      </w:pPr>
      <w:r>
        <w:rPr>
          <w:rFonts w:ascii="Calibri" w:cs="Calibri" w:eastAsia="Calibri" w:hAnsi="Calibri"/>
          <w:i/>
          <w:iCs/>
          <w:color w:val="777777"/>
          <w:sz w:val="18"/>
          <w:szCs w:val="18"/>
        </w:rPr>
        <w:t xml:space="preserve">Figure 8: Dashboard — Settlement Volume Chart and AML Telemetry</w:t>
      </w:r>
    </w:p>
    <w:p>
      <w:pPr>
        <w:spacing w:after="80"/>
      </w:pPr>
    </w:p>
    <w:p>
      <w:pPr>
        <w:pStyle w:val="Heading2"/>
        <w:spacing w:after="160" w:before="280"/>
      </w:pPr>
      <w:r>
        <w:rPr>
          <w:rFonts w:ascii="Calibri" w:cs="Calibri" w:eastAsia="Calibri" w:hAnsi="Calibri"/>
          <w:b/>
          <w:bCs/>
          <w:color w:val="2C3E50"/>
          <w:sz w:val="26"/>
          <w:szCs w:val="26"/>
        </w:rPr>
        <w:t xml:space="preserve">4.2 Payments Tab</w:t>
      </w:r>
    </w:p>
    <w:p>
      <w:pPr>
        <w:spacing w:after="120"/>
        <w:jc w:val="both"/>
      </w:pPr>
      <w:r>
        <w:rPr>
          <w:rFonts w:ascii="Calibri" w:cs="Calibri" w:eastAsia="Calibri" w:hAnsi="Calibri"/>
          <w:color w:val="333333"/>
          <w:sz w:val="22"/>
          <w:szCs w:val="22"/>
        </w:rPr>
        <w:t xml:space="preserve">The settlement execution interface allows authorized users to initiate cross-border payments with multi-currency support:</w:t>
      </w:r>
    </w:p>
    <w:p>
      <w:pPr>
        <w:pStyle w:val="ListParagraph"/>
        <w:numPr>
          <w:ilvl w:val="0"/>
          <w:numId w:val="2"/>
        </w:numPr>
        <w:spacing w:after="60"/>
      </w:pPr>
      <w:r>
        <w:rPr>
          <w:rFonts w:ascii="Calibri" w:cs="Calibri" w:eastAsia="Calibri" w:hAnsi="Calibri"/>
          <w:color w:val="333333"/>
          <w:sz w:val="22"/>
          <w:szCs w:val="22"/>
        </w:rPr>
        <w:t xml:space="preserve">Sender identity displayed as read-only field showing the logged-in user's full name</w:t>
      </w:r>
    </w:p>
    <w:p>
      <w:pPr>
        <w:pStyle w:val="ListParagraph"/>
        <w:numPr>
          <w:ilvl w:val="0"/>
          <w:numId w:val="2"/>
        </w:numPr>
        <w:spacing w:after="60"/>
      </w:pPr>
      <w:r>
        <w:rPr>
          <w:rFonts w:ascii="Calibri" w:cs="Calibri" w:eastAsia="Calibri" w:hAnsi="Calibri"/>
          <w:color w:val="333333"/>
          <w:sz w:val="22"/>
          <w:szCs w:val="22"/>
        </w:rPr>
        <w:t xml:space="preserve">Available balance prominently displayed in large blue text</w:t>
      </w:r>
    </w:p>
    <w:p>
      <w:pPr>
        <w:pStyle w:val="ListParagraph"/>
        <w:numPr>
          <w:ilvl w:val="0"/>
          <w:numId w:val="2"/>
        </w:numPr>
        <w:spacing w:after="60"/>
      </w:pPr>
      <w:r>
        <w:rPr>
          <w:rFonts w:ascii="Calibri" w:cs="Calibri" w:eastAsia="Calibri" w:hAnsi="Calibri"/>
          <w:color w:val="333333"/>
          <w:sz w:val="22"/>
          <w:szCs w:val="22"/>
        </w:rPr>
        <w:t xml:space="preserve">Currency selector with 13 supported currencies and real-time FX preview</w:t>
      </w:r>
    </w:p>
    <w:p>
      <w:pPr>
        <w:pStyle w:val="ListParagraph"/>
        <w:numPr>
          <w:ilvl w:val="0"/>
          <w:numId w:val="2"/>
        </w:numPr>
        <w:spacing w:after="60"/>
      </w:pPr>
      <w:r>
        <w:rPr>
          <w:rFonts w:ascii="Calibri" w:cs="Calibri" w:eastAsia="Calibri" w:hAnsi="Calibri"/>
          <w:color w:val="333333"/>
          <w:sz w:val="22"/>
          <w:szCs w:val="22"/>
        </w:rPr>
        <w:t xml:space="preserve">AML jurisdiction warnings for high-risk currencies (CNY, INR, BRL, AED, SAR)</w:t>
      </w:r>
    </w:p>
    <w:p>
      <w:pPr>
        <w:pStyle w:val="ListParagraph"/>
        <w:numPr>
          <w:ilvl w:val="0"/>
          <w:numId w:val="2"/>
        </w:numPr>
        <w:spacing w:after="60"/>
      </w:pPr>
      <w:r>
        <w:rPr>
          <w:rFonts w:ascii="Calibri" w:cs="Calibri" w:eastAsia="Calibri" w:hAnsi="Calibri"/>
          <w:color w:val="333333"/>
          <w:sz w:val="22"/>
          <w:szCs w:val="22"/>
        </w:rPr>
        <w:t xml:space="preserve">Beneficiary dropdown with [HIGH RISK] and [CRITICAL RISK] labels</w:t>
      </w:r>
    </w:p>
    <w:p>
      <w:pPr>
        <w:pStyle w:val="ListParagraph"/>
        <w:numPr>
          <w:ilvl w:val="0"/>
          <w:numId w:val="2"/>
        </w:numPr>
        <w:spacing w:after="60"/>
      </w:pPr>
      <w:r>
        <w:rPr>
          <w:rFonts w:ascii="Calibri" w:cs="Calibri" w:eastAsia="Calibri" w:hAnsi="Calibri"/>
          <w:color w:val="333333"/>
          <w:sz w:val="22"/>
          <w:szCs w:val="22"/>
        </w:rPr>
        <w:t xml:space="preserve">Post-settlement SHAP feature contributions displayed inline</w:t>
      </w:r>
    </w:p>
    <w:p>
      <w:pPr>
        <w:pStyle w:val="ListParagraph"/>
        <w:numPr>
          <w:ilvl w:val="0"/>
          <w:numId w:val="2"/>
        </w:numPr>
        <w:spacing w:after="60"/>
      </w:pPr>
      <w:r>
        <w:rPr>
          <w:rFonts w:ascii="Calibri" w:cs="Calibri" w:eastAsia="Calibri" w:hAnsi="Calibri"/>
          <w:color w:val="333333"/>
          <w:sz w:val="22"/>
          <w:szCs w:val="22"/>
        </w:rPr>
        <w:t xml:space="preserve">Risk breakdown visualization showing rules, ML, NLP, and graph component scores</w:t>
      </w:r>
    </w:p>
    <w:p>
      <w:pPr>
        <w:pStyle w:val="ListParagraph"/>
        <w:numPr>
          <w:ilvl w:val="0"/>
          <w:numId w:val="2"/>
        </w:numPr>
        <w:spacing w:after="60"/>
      </w:pPr>
      <w:r>
        <w:rPr>
          <w:rFonts w:ascii="Calibri" w:cs="Calibri" w:eastAsia="Calibri" w:hAnsi="Calibri"/>
          <w:color w:val="333333"/>
          <w:sz w:val="22"/>
          <w:szCs w:val="22"/>
        </w:rPr>
        <w:t xml:space="preserve">Balance updates immediately after successful settlement</w:t>
      </w:r>
    </w:p>
    <w:p>
      <w:pPr>
        <w:spacing w:after="80"/>
      </w:pPr>
    </w:p>
    <w:p>
      <w:pPr>
        <w:spacing w:after="80" w:before="200"/>
        <w:jc w:val="center"/>
      </w:pPr>
      <w:r>
        <w:drawing>
          <wp:inline distT="0" distB="0" distL="0" distR="0">
            <wp:extent cx="5238750" cy="3238500"/>
            <wp:effectExtent t="0" r="0" b="0" l="0"/>
            <wp:docPr id="1" name="Screenshot 2026-04-09 at 11.01.33 AM" descr="Payment execution with $750K settlement and risk assessment" title="Payments Settl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238750" cy="3238500"/>
                    </a:xfrm>
                    <a:prstGeom prst="rect">
                      <a:avLst/>
                    </a:prstGeom>
                  </pic:spPr>
                </pic:pic>
              </a:graphicData>
            </a:graphic>
          </wp:inline>
        </w:drawing>
      </w:r>
    </w:p>
    <w:p>
      <w:pPr>
        <w:spacing w:after="200"/>
        <w:jc w:val="center"/>
      </w:pPr>
      <w:r>
        <w:rPr>
          <w:rFonts w:ascii="Calibri" w:cs="Calibri" w:eastAsia="Calibri" w:hAnsi="Calibri"/>
          <w:i/>
          <w:iCs/>
          <w:color w:val="777777"/>
          <w:sz w:val="18"/>
          <w:szCs w:val="18"/>
        </w:rPr>
        <w:t xml:space="preserve">Figure 9: Payments — Settlement Execution with Multi-Currency Support</w:t>
      </w:r>
    </w:p>
    <w:p>
      <w:pPr>
        <w:spacing w:after="80"/>
      </w:pPr>
    </w:p>
    <w:p>
      <w:pPr>
        <w:spacing w:after="80" w:before="200"/>
        <w:jc w:val="center"/>
      </w:pPr>
      <w:r>
        <w:drawing>
          <wp:inline distT="0" distB="0" distL="0" distR="0">
            <wp:extent cx="5238750" cy="2857500"/>
            <wp:effectExtent t="0" r="0" b="0" l="0"/>
            <wp:docPr id="1" name="Screenshot 2026-04-09 at 11.01.42 AM" descr="SHAP values showing per-feature risk contributions" title="SHAP Feature Contribu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238750" cy="2857500"/>
                    </a:xfrm>
                    <a:prstGeom prst="rect">
                      <a:avLst/>
                    </a:prstGeom>
                  </pic:spPr>
                </pic:pic>
              </a:graphicData>
            </a:graphic>
          </wp:inline>
        </w:drawing>
      </w:r>
    </w:p>
    <w:p>
      <w:pPr>
        <w:spacing w:after="200"/>
        <w:jc w:val="center"/>
      </w:pPr>
      <w:r>
        <w:rPr>
          <w:rFonts w:ascii="Calibri" w:cs="Calibri" w:eastAsia="Calibri" w:hAnsi="Calibri"/>
          <w:i/>
          <w:iCs/>
          <w:color w:val="777777"/>
          <w:sz w:val="18"/>
          <w:szCs w:val="18"/>
        </w:rPr>
        <w:t xml:space="preserve">Figure 10: Payments — SHAP Feature Contributions (Inline Display)</w:t>
      </w:r>
    </w:p>
    <w:p>
      <w:pPr>
        <w:spacing w:after="80"/>
      </w:pPr>
    </w:p>
    <w:p>
      <w:pPr>
        <w:spacing w:after="80" w:before="200"/>
        <w:jc w:val="center"/>
      </w:pPr>
      <w:r>
        <w:drawing>
          <wp:inline distT="0" distB="0" distL="0" distR="0">
            <wp:extent cx="3810000" cy="1905000"/>
            <wp:effectExtent t="0" r="0" b="0" l="0"/>
            <wp:docPr id="1" name="Screenshot 2026-04-09 at 11.01.48 AM" descr="Risk score breakdown showing Rules, ML, NLP, and Graph components" title="Score Break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810000" cy="1905000"/>
                    </a:xfrm>
                    <a:prstGeom prst="rect">
                      <a:avLst/>
                    </a:prstGeom>
                  </pic:spPr>
                </pic:pic>
              </a:graphicData>
            </a:graphic>
          </wp:inline>
        </w:drawing>
      </w:r>
    </w:p>
    <w:p>
      <w:pPr>
        <w:spacing w:after="200"/>
        <w:jc w:val="center"/>
      </w:pPr>
      <w:r>
        <w:rPr>
          <w:rFonts w:ascii="Calibri" w:cs="Calibri" w:eastAsia="Calibri" w:hAnsi="Calibri"/>
          <w:i/>
          <w:iCs/>
          <w:color w:val="777777"/>
          <w:sz w:val="18"/>
          <w:szCs w:val="18"/>
        </w:rPr>
        <w:t xml:space="preserve">Figure 11: Payments — Risk Score Breakdown (Rules, ML, NLP, Graph)</w:t>
      </w:r>
    </w:p>
    <w:p>
      <w:pPr>
        <w:spacing w:after="80"/>
      </w:pPr>
    </w:p>
    <w:p>
      <w:pPr>
        <w:pStyle w:val="Heading2"/>
        <w:spacing w:after="160" w:before="280"/>
      </w:pPr>
      <w:r>
        <w:rPr>
          <w:rFonts w:ascii="Calibri" w:cs="Calibri" w:eastAsia="Calibri" w:hAnsi="Calibri"/>
          <w:b/>
          <w:bCs/>
          <w:color w:val="2C3E50"/>
          <w:sz w:val="26"/>
          <w:szCs w:val="26"/>
        </w:rPr>
        <w:t xml:space="preserve">4.3 AI/ML Tab</w:t>
      </w:r>
    </w:p>
    <w:p>
      <w:pPr>
        <w:spacing w:after="120"/>
        <w:jc w:val="both"/>
      </w:pPr>
      <w:r>
        <w:rPr>
          <w:rFonts w:ascii="Calibri" w:cs="Calibri" w:eastAsia="Calibri" w:hAnsi="Calibri"/>
          <w:color w:val="333333"/>
          <w:sz w:val="22"/>
          <w:szCs w:val="22"/>
        </w:rPr>
        <w:t xml:space="preserve">The AI/ML tab displays performance metrics for all five ensemble models with SHAP explainability:</w:t>
      </w:r>
    </w:p>
    <w:p>
      <w:pPr>
        <w:pStyle w:val="ListParagraph"/>
        <w:numPr>
          <w:ilvl w:val="0"/>
          <w:numId w:val="2"/>
        </w:numPr>
        <w:spacing w:after="60"/>
      </w:pPr>
      <w:r>
        <w:rPr>
          <w:rFonts w:ascii="Calibri" w:cs="Calibri" w:eastAsia="Calibri" w:hAnsi="Calibri"/>
          <w:color w:val="333333"/>
          <w:sz w:val="22"/>
          <w:szCs w:val="22"/>
        </w:rPr>
        <w:t xml:space="preserve">5 model cards: Isolation Forest, Random Forest, XGBoost, Autoencoder, and Sequence Detector</w:t>
      </w:r>
    </w:p>
    <w:p>
      <w:pPr>
        <w:pStyle w:val="ListParagraph"/>
        <w:numPr>
          <w:ilvl w:val="0"/>
          <w:numId w:val="2"/>
        </w:numPr>
        <w:spacing w:after="60"/>
      </w:pPr>
      <w:r>
        <w:rPr>
          <w:rFonts w:ascii="Calibri" w:cs="Calibri" w:eastAsia="Calibri" w:hAnsi="Calibri"/>
          <w:color w:val="333333"/>
          <w:sz w:val="22"/>
          <w:szCs w:val="22"/>
        </w:rPr>
        <w:t xml:space="preserve">Each card shows F1 score and accuracy metrics with color-coded performance indicators</w:t>
      </w:r>
    </w:p>
    <w:p>
      <w:pPr>
        <w:pStyle w:val="ListParagraph"/>
        <w:numPr>
          <w:ilvl w:val="0"/>
          <w:numId w:val="2"/>
        </w:numPr>
        <w:spacing w:after="60"/>
      </w:pPr>
      <w:r>
        <w:rPr>
          <w:rFonts w:ascii="Calibri" w:cs="Calibri" w:eastAsia="Calibri" w:hAnsi="Calibri"/>
          <w:color w:val="333333"/>
          <w:sz w:val="22"/>
          <w:szCs w:val="22"/>
        </w:rPr>
        <w:t xml:space="preserve">Feature importance chart showing relative contribution of each of the 16 features</w:t>
      </w:r>
    </w:p>
    <w:p>
      <w:pPr>
        <w:pStyle w:val="ListParagraph"/>
        <w:numPr>
          <w:ilvl w:val="0"/>
          <w:numId w:val="2"/>
        </w:numPr>
        <w:spacing w:after="60"/>
      </w:pPr>
      <w:r>
        <w:rPr>
          <w:rFonts w:ascii="Calibri" w:cs="Calibri" w:eastAsia="Calibri" w:hAnsi="Calibri"/>
          <w:color w:val="333333"/>
          <w:sz w:val="22"/>
          <w:szCs w:val="22"/>
        </w:rPr>
        <w:t xml:space="preserve">SHAP Explainability chart for the last executed transaction, rendered as a horizontal bar chart</w:t>
      </w:r>
    </w:p>
    <w:p>
      <w:pPr>
        <w:pStyle w:val="ListParagraph"/>
        <w:numPr>
          <w:ilvl w:val="0"/>
          <w:numId w:val="2"/>
        </w:numPr>
        <w:spacing w:after="60"/>
      </w:pPr>
      <w:r>
        <w:rPr>
          <w:rFonts w:ascii="Calibri" w:cs="Calibri" w:eastAsia="Calibri" w:hAnsi="Calibri"/>
          <w:color w:val="333333"/>
          <w:sz w:val="22"/>
          <w:szCs w:val="22"/>
        </w:rPr>
        <w:t xml:space="preserve">Model Retraining button visible only to Admin and Data Scientist roles</w:t>
      </w:r>
    </w:p>
    <w:p>
      <w:pPr>
        <w:spacing w:after="80"/>
      </w:pPr>
    </w:p>
    <w:p>
      <w:pPr>
        <w:spacing w:after="80" w:before="200"/>
        <w:jc w:val="center"/>
      </w:pPr>
      <w:r>
        <w:drawing>
          <wp:inline distT="0" distB="0" distL="0" distR="0">
            <wp:extent cx="5238750" cy="3238500"/>
            <wp:effectExtent t="0" r="0" b="0" l="0"/>
            <wp:docPr id="1" name="Screenshot 2026-04-09 at 11.02.24 AM" descr="AI/ML tab showing 5 model cards with accuracy and F1 scores" title="AI/ML 5 Model 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238750" cy="3238500"/>
                    </a:xfrm>
                    <a:prstGeom prst="rect">
                      <a:avLst/>
                    </a:prstGeom>
                  </pic:spPr>
                </pic:pic>
              </a:graphicData>
            </a:graphic>
          </wp:inline>
        </w:drawing>
      </w:r>
    </w:p>
    <w:p>
      <w:pPr>
        <w:spacing w:after="200"/>
        <w:jc w:val="center"/>
      </w:pPr>
      <w:r>
        <w:rPr>
          <w:rFonts w:ascii="Calibri" w:cs="Calibri" w:eastAsia="Calibri" w:hAnsi="Calibri"/>
          <w:i/>
          <w:iCs/>
          <w:color w:val="777777"/>
          <w:sz w:val="18"/>
          <w:szCs w:val="18"/>
        </w:rPr>
        <w:t xml:space="preserve">Figure 12: AI/ML — Five Model Performance Cards (Including Sequence Detector)</w:t>
      </w:r>
    </w:p>
    <w:p>
      <w:pPr>
        <w:spacing w:after="80"/>
      </w:pPr>
    </w:p>
    <w:p>
      <w:pPr>
        <w:spacing w:after="80" w:before="200"/>
        <w:jc w:val="center"/>
      </w:pPr>
      <w:r>
        <w:drawing>
          <wp:inline distT="0" distB="0" distL="0" distR="0">
            <wp:extent cx="5238750" cy="2857500"/>
            <wp:effectExtent t="0" r="0" b="0" l="0"/>
            <wp:docPr id="1" name="Screenshot 2026-04-09 at 11.02.28 AM" descr="SHAP horizontal bar chart showing feature contributions to risk score" title="SHAP Explainability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238750" cy="2857500"/>
                    </a:xfrm>
                    <a:prstGeom prst="rect">
                      <a:avLst/>
                    </a:prstGeom>
                  </pic:spPr>
                </pic:pic>
              </a:graphicData>
            </a:graphic>
          </wp:inline>
        </w:drawing>
      </w:r>
    </w:p>
    <w:p>
      <w:pPr>
        <w:spacing w:after="200"/>
        <w:jc w:val="center"/>
      </w:pPr>
      <w:r>
        <w:rPr>
          <w:rFonts w:ascii="Calibri" w:cs="Calibri" w:eastAsia="Calibri" w:hAnsi="Calibri"/>
          <w:i/>
          <w:iCs/>
          <w:color w:val="777777"/>
          <w:sz w:val="18"/>
          <w:szCs w:val="18"/>
        </w:rPr>
        <w:t xml:space="preserve">Figure 13: AI/ML — SHAP Explainability Chart for Last Transaction</w:t>
      </w:r>
    </w:p>
    <w:p>
      <w:pPr>
        <w:spacing w:after="80"/>
      </w:pPr>
    </w:p>
    <w:p>
      <w:pPr>
        <w:pStyle w:val="Heading2"/>
        <w:spacing w:after="160" w:before="280"/>
      </w:pPr>
      <w:r>
        <w:rPr>
          <w:rFonts w:ascii="Calibri" w:cs="Calibri" w:eastAsia="Calibri" w:hAnsi="Calibri"/>
          <w:b/>
          <w:bCs/>
          <w:color w:val="2C3E50"/>
          <w:sz w:val="26"/>
          <w:szCs w:val="26"/>
        </w:rPr>
        <w:t xml:space="preserve">4.4 Network Graph Tab</w:t>
      </w:r>
    </w:p>
    <w:p>
      <w:pPr>
        <w:pStyle w:val="ListParagraph"/>
        <w:numPr>
          <w:ilvl w:val="0"/>
          <w:numId w:val="2"/>
        </w:numPr>
        <w:spacing w:after="60"/>
      </w:pPr>
      <w:r>
        <w:rPr>
          <w:rFonts w:ascii="Calibri" w:cs="Calibri" w:eastAsia="Calibri" w:hAnsi="Calibri"/>
          <w:color w:val="333333"/>
          <w:sz w:val="22"/>
          <w:szCs w:val="22"/>
        </w:rPr>
        <w:t xml:space="preserve">Interactive D3.js force-directed graph visualization of the transaction network</w:t>
      </w:r>
    </w:p>
    <w:p>
      <w:pPr>
        <w:pStyle w:val="ListParagraph"/>
        <w:numPr>
          <w:ilvl w:val="0"/>
          <w:numId w:val="2"/>
        </w:numPr>
        <w:spacing w:after="60"/>
      </w:pPr>
      <w:r>
        <w:rPr>
          <w:rFonts w:ascii="Calibri" w:cs="Calibri" w:eastAsia="Calibri" w:hAnsi="Calibri"/>
          <w:color w:val="333333"/>
          <w:sz w:val="22"/>
          <w:szCs w:val="22"/>
        </w:rPr>
        <w:t xml:space="preserve">Node size proportional to PageRank centrality (larger = more influential)</w:t>
      </w:r>
    </w:p>
    <w:p>
      <w:pPr>
        <w:pStyle w:val="ListParagraph"/>
        <w:numPr>
          <w:ilvl w:val="0"/>
          <w:numId w:val="2"/>
        </w:numPr>
        <w:spacing w:after="60"/>
      </w:pPr>
      <w:r>
        <w:rPr>
          <w:rFonts w:ascii="Calibri" w:cs="Calibri" w:eastAsia="Calibri" w:hAnsi="Calibri"/>
          <w:color w:val="333333"/>
          <w:sz w:val="22"/>
          <w:szCs w:val="22"/>
        </w:rPr>
        <w:t xml:space="preserve">Color-coded communities detected via label propagation algorithm</w:t>
      </w:r>
    </w:p>
    <w:p>
      <w:pPr>
        <w:pStyle w:val="ListParagraph"/>
        <w:numPr>
          <w:ilvl w:val="0"/>
          <w:numId w:val="2"/>
        </w:numPr>
        <w:spacing w:after="60"/>
      </w:pPr>
      <w:r>
        <w:rPr>
          <w:rFonts w:ascii="Calibri" w:cs="Calibri" w:eastAsia="Calibri" w:hAnsi="Calibri"/>
          <w:color w:val="333333"/>
          <w:sz w:val="22"/>
          <w:szCs w:val="22"/>
        </w:rPr>
        <w:t xml:space="preserve">Cycle highlighting to identify potential money laundering rings</w:t>
      </w:r>
    </w:p>
    <w:p>
      <w:pPr>
        <w:spacing w:after="80"/>
      </w:pPr>
    </w:p>
    <w:p>
      <w:pPr>
        <w:pStyle w:val="Heading2"/>
        <w:spacing w:after="160" w:before="280"/>
      </w:pPr>
      <w:r>
        <w:rPr>
          <w:rFonts w:ascii="Calibri" w:cs="Calibri" w:eastAsia="Calibri" w:hAnsi="Calibri"/>
          <w:b/>
          <w:bCs/>
          <w:color w:val="2C3E50"/>
          <w:sz w:val="26"/>
          <w:szCs w:val="26"/>
        </w:rPr>
        <w:t xml:space="preserve">4.5 Admin Tab</w:t>
      </w:r>
    </w:p>
    <w:p>
      <w:pPr>
        <w:spacing w:after="120"/>
        <w:jc w:val="both"/>
      </w:pPr>
      <w:r>
        <w:rPr>
          <w:rFonts w:ascii="Calibri" w:cs="Calibri" w:eastAsia="Calibri" w:hAnsi="Calibri"/>
          <w:color w:val="333333"/>
          <w:sz w:val="22"/>
          <w:szCs w:val="22"/>
        </w:rPr>
        <w:t xml:space="preserve">The Admin tab provides the HITL queue with four-eyes approval tracking:</w:t>
      </w:r>
    </w:p>
    <w:p>
      <w:pPr>
        <w:pStyle w:val="ListParagraph"/>
        <w:numPr>
          <w:ilvl w:val="0"/>
          <w:numId w:val="2"/>
        </w:numPr>
        <w:spacing w:after="60"/>
      </w:pPr>
      <w:r>
        <w:rPr>
          <w:rFonts w:ascii="Calibri" w:cs="Calibri" w:eastAsia="Calibri" w:hAnsi="Calibri"/>
          <w:color w:val="333333"/>
          <w:sz w:val="22"/>
          <w:szCs w:val="22"/>
        </w:rPr>
        <w:t xml:space="preserve">HITL Queue: Review blocked transactions with full risk details and SHAP values</w:t>
      </w:r>
    </w:p>
    <w:p>
      <w:pPr>
        <w:pStyle w:val="ListParagraph"/>
        <w:numPr>
          <w:ilvl w:val="0"/>
          <w:numId w:val="2"/>
        </w:numPr>
        <w:spacing w:after="60"/>
      </w:pPr>
      <w:r>
        <w:rPr>
          <w:rFonts w:ascii="Calibri" w:cs="Calibri" w:eastAsia="Calibri" w:hAnsi="Calibri"/>
          <w:color w:val="333333"/>
          <w:sz w:val="22"/>
          <w:szCs w:val="22"/>
        </w:rPr>
        <w:t xml:space="preserve">Four-Eyes Approval column: Shows approval status badges (Required/1 of 2/2 of 2)</w:t>
      </w:r>
    </w:p>
    <w:p>
      <w:pPr>
        <w:pStyle w:val="ListParagraph"/>
        <w:numPr>
          <w:ilvl w:val="0"/>
          <w:numId w:val="2"/>
        </w:numPr>
        <w:spacing w:after="60"/>
      </w:pPr>
      <w:r>
        <w:rPr>
          <w:rFonts w:ascii="Calibri" w:cs="Calibri" w:eastAsia="Calibri" w:hAnsi="Calibri"/>
          <w:color w:val="333333"/>
          <w:sz w:val="22"/>
          <w:szCs w:val="22"/>
        </w:rPr>
        <w:t xml:space="preserve">Approve and Reject buttons for compliance officers</w:t>
      </w:r>
    </w:p>
    <w:p>
      <w:pPr>
        <w:pStyle w:val="ListParagraph"/>
        <w:numPr>
          <w:ilvl w:val="0"/>
          <w:numId w:val="2"/>
        </w:numPr>
        <w:spacing w:after="60"/>
      </w:pPr>
      <w:r>
        <w:rPr>
          <w:rFonts w:ascii="Calibri" w:cs="Calibri" w:eastAsia="Calibri" w:hAnsi="Calibri"/>
          <w:color w:val="333333"/>
          <w:sz w:val="22"/>
          <w:szCs w:val="22"/>
        </w:rPr>
        <w:t xml:space="preserve">Four-eyes enforcement: high-value transactions require two independent approvers</w:t>
      </w:r>
    </w:p>
    <w:p>
      <w:pPr>
        <w:pStyle w:val="ListParagraph"/>
        <w:numPr>
          <w:ilvl w:val="0"/>
          <w:numId w:val="2"/>
        </w:numPr>
        <w:spacing w:after="60"/>
      </w:pPr>
      <w:r>
        <w:rPr>
          <w:rFonts w:ascii="Calibri" w:cs="Calibri" w:eastAsia="Calibri" w:hAnsi="Calibri"/>
          <w:color w:val="333333"/>
          <w:sz w:val="22"/>
          <w:szCs w:val="22"/>
        </w:rPr>
        <w:t xml:space="preserve">Audit Log: Complete trail of all system actions</w:t>
      </w:r>
    </w:p>
    <w:p>
      <w:pPr>
        <w:pStyle w:val="ListParagraph"/>
        <w:numPr>
          <w:ilvl w:val="0"/>
          <w:numId w:val="2"/>
        </w:numPr>
        <w:spacing w:after="60"/>
      </w:pPr>
      <w:r>
        <w:rPr>
          <w:rFonts w:ascii="Calibri" w:cs="Calibri" w:eastAsia="Calibri" w:hAnsi="Calibri"/>
          <w:color w:val="333333"/>
          <w:sz w:val="22"/>
          <w:szCs w:val="22"/>
        </w:rPr>
        <w:t xml:space="preserve">GDPR Erasure: Compliance tool to anonymize/delete PII data</w:t>
      </w:r>
    </w:p>
    <w:p>
      <w:pPr>
        <w:spacing w:after="80"/>
      </w:pPr>
    </w:p>
    <w:p>
      <w:pPr>
        <w:spacing w:after="80" w:before="200"/>
        <w:jc w:val="center"/>
      </w:pPr>
      <w:r>
        <w:drawing>
          <wp:inline distT="0" distB="0" distL="0" distR="0">
            <wp:extent cx="5238750" cy="3238500"/>
            <wp:effectExtent t="0" r="0" b="0" l="0"/>
            <wp:docPr id="1" name="Screenshot 2026-04-09 at 11.02.44 AM" descr="HITL queue showing four-eyes approval badges and approval controls" title="HITL Queue with Four-Ey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238750" cy="3238500"/>
                    </a:xfrm>
                    <a:prstGeom prst="rect">
                      <a:avLst/>
                    </a:prstGeom>
                  </pic:spPr>
                </pic:pic>
              </a:graphicData>
            </a:graphic>
          </wp:inline>
        </w:drawing>
      </w:r>
    </w:p>
    <w:p>
      <w:pPr>
        <w:spacing w:after="200"/>
        <w:jc w:val="center"/>
      </w:pPr>
      <w:r>
        <w:rPr>
          <w:rFonts w:ascii="Calibri" w:cs="Calibri" w:eastAsia="Calibri" w:hAnsi="Calibri"/>
          <w:i/>
          <w:iCs/>
          <w:color w:val="777777"/>
          <w:sz w:val="18"/>
          <w:szCs w:val="18"/>
        </w:rPr>
        <w:t xml:space="preserve">Figure 14: Admin — HITL Queue with Four-Eyes Dual Approval Badges</w:t>
      </w:r>
    </w:p>
    <w:p>
      <w:pPr>
        <w:spacing w:after="80"/>
      </w:pPr>
    </w:p>
    <w:p>
      <w:pPr>
        <w:spacing w:after="80" w:before="200"/>
        <w:jc w:val="center"/>
      </w:pPr>
      <w:r>
        <w:drawing>
          <wp:inline distT="0" distB="0" distL="0" distR="0">
            <wp:extent cx="4286250" cy="1905000"/>
            <wp:effectExtent t="0" r="0" b="0" l="0"/>
            <wp:docPr id="1" name="Screenshot 2026-04-09 at 12.55.04 AM" descr="Dialog showing four-eyes requirement message" title="Four-Eyes Approval Di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286250" cy="1905000"/>
                    </a:xfrm>
                    <a:prstGeom prst="rect">
                      <a:avLst/>
                    </a:prstGeom>
                  </pic:spPr>
                </pic:pic>
              </a:graphicData>
            </a:graphic>
          </wp:inline>
        </w:drawing>
      </w:r>
    </w:p>
    <w:p>
      <w:pPr>
        <w:spacing w:after="200"/>
        <w:jc w:val="center"/>
      </w:pPr>
      <w:r>
        <w:rPr>
          <w:rFonts w:ascii="Calibri" w:cs="Calibri" w:eastAsia="Calibri" w:hAnsi="Calibri"/>
          <w:i/>
          <w:iCs/>
          <w:color w:val="777777"/>
          <w:sz w:val="18"/>
          <w:szCs w:val="18"/>
        </w:rPr>
        <w:t xml:space="preserve">Figure 15: Admin — Four-Eyes Approval Dialog (Second Approver Required)</w:t>
      </w:r>
    </w:p>
    <w:p>
      <w:pPr>
        <w:spacing w:after="80"/>
      </w:pPr>
    </w:p>
    <w:p>
      <w:pPr>
        <w:spacing w:after="80" w:before="200"/>
        <w:jc w:val="center"/>
      </w:pPr>
      <w:r>
        <w:drawing>
          <wp:inline distT="0" distB="0" distL="0" distR="0">
            <wp:extent cx="3810000" cy="1905000"/>
            <wp:effectExtent t="0" r="0" b="0" l="0"/>
            <wp:docPr id="1" name="Screenshot 2026-04-09 at 11.03.01 AM" descr="GDPR Right to Erasure interface" title="GDPR Eras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810000" cy="1905000"/>
                    </a:xfrm>
                    <a:prstGeom prst="rect">
                      <a:avLst/>
                    </a:prstGeom>
                  </pic:spPr>
                </pic:pic>
              </a:graphicData>
            </a:graphic>
          </wp:inline>
        </w:drawing>
      </w:r>
    </w:p>
    <w:p>
      <w:pPr>
        <w:spacing w:after="200"/>
        <w:jc w:val="center"/>
      </w:pPr>
      <w:r>
        <w:rPr>
          <w:rFonts w:ascii="Calibri" w:cs="Calibri" w:eastAsia="Calibri" w:hAnsi="Calibri"/>
          <w:i/>
          <w:iCs/>
          <w:color w:val="777777"/>
          <w:sz w:val="18"/>
          <w:szCs w:val="18"/>
        </w:rPr>
        <w:t xml:space="preserve">Figure 16: Admin — GDPR Right to Erasure</w:t>
      </w:r>
    </w:p>
    <w:p>
      <w:pPr>
        <w:spacing w:after="80"/>
      </w:pPr>
    </w:p>
    <w:p>
      <w:pPr>
        <w:pStyle w:val="Heading2"/>
        <w:spacing w:after="160" w:before="280"/>
      </w:pPr>
      <w:r>
        <w:rPr>
          <w:rFonts w:ascii="Calibri" w:cs="Calibri" w:eastAsia="Calibri" w:hAnsi="Calibri"/>
          <w:b/>
          <w:bCs/>
          <w:color w:val="2C3E50"/>
          <w:sz w:val="26"/>
          <w:szCs w:val="26"/>
        </w:rPr>
        <w:t xml:space="preserve">4.6 Compliance Tab</w:t>
      </w:r>
    </w:p>
    <w:p>
      <w:pPr>
        <w:spacing w:after="120"/>
        <w:jc w:val="both"/>
      </w:pPr>
      <w:r>
        <w:rPr>
          <w:rFonts w:ascii="Calibri" w:cs="Calibri" w:eastAsia="Calibri" w:hAnsi="Calibri"/>
          <w:color w:val="333333"/>
          <w:sz w:val="22"/>
          <w:szCs w:val="22"/>
        </w:rPr>
        <w:t xml:space="preserve">The Compliance tab now includes the FX Converter alongside sanctions and SWIFT GPI tools:</w:t>
      </w:r>
    </w:p>
    <w:p>
      <w:pPr>
        <w:pStyle w:val="ListParagraph"/>
        <w:numPr>
          <w:ilvl w:val="0"/>
          <w:numId w:val="2"/>
        </w:numPr>
        <w:spacing w:after="60"/>
      </w:pPr>
      <w:r>
        <w:rPr>
          <w:rFonts w:ascii="Calibri" w:cs="Calibri" w:eastAsia="Calibri" w:hAnsi="Calibri"/>
          <w:color w:val="333333"/>
          <w:sz w:val="22"/>
          <w:szCs w:val="22"/>
        </w:rPr>
        <w:t xml:space="preserve">Sanctions Management: Add and remove entities from the sanctions screening database</w:t>
      </w:r>
    </w:p>
    <w:p>
      <w:pPr>
        <w:pStyle w:val="ListParagraph"/>
        <w:numPr>
          <w:ilvl w:val="0"/>
          <w:numId w:val="2"/>
        </w:numPr>
        <w:spacing w:after="60"/>
      </w:pPr>
      <w:r>
        <w:rPr>
          <w:rFonts w:ascii="Calibri" w:cs="Calibri" w:eastAsia="Calibri" w:hAnsi="Calibri"/>
          <w:color w:val="333333"/>
          <w:sz w:val="22"/>
          <w:szCs w:val="22"/>
        </w:rPr>
        <w:t xml:space="preserve">SWIFT GPI Tracking: Search payments by UETR reference</w:t>
      </w:r>
    </w:p>
    <w:p>
      <w:pPr>
        <w:pStyle w:val="ListParagraph"/>
        <w:numPr>
          <w:ilvl w:val="0"/>
          <w:numId w:val="2"/>
        </w:numPr>
        <w:spacing w:after="60"/>
      </w:pPr>
      <w:r>
        <w:rPr>
          <w:rFonts w:ascii="Calibri" w:cs="Calibri" w:eastAsia="Calibri" w:hAnsi="Calibri"/>
          <w:color w:val="333333"/>
          <w:sz w:val="22"/>
          <w:szCs w:val="22"/>
        </w:rPr>
        <w:t xml:space="preserve">FX Converter: Multi-currency conversion tool with 13 currencies</w:t>
      </w:r>
    </w:p>
    <w:p>
      <w:pPr>
        <w:pStyle w:val="ListParagraph"/>
        <w:numPr>
          <w:ilvl w:val="0"/>
          <w:numId w:val="2"/>
        </w:numPr>
        <w:spacing w:after="60"/>
      </w:pPr>
      <w:r>
        <w:rPr>
          <w:rFonts w:ascii="Calibri" w:cs="Calibri" w:eastAsia="Calibri" w:hAnsi="Calibri"/>
          <w:color w:val="333333"/>
          <w:sz w:val="22"/>
          <w:szCs w:val="22"/>
        </w:rPr>
        <w:t xml:space="preserve">Nostro Position: View current liquidity positions across accounts</w:t>
      </w:r>
    </w:p>
    <w:p>
      <w:pPr>
        <w:spacing w:after="80"/>
      </w:pPr>
    </w:p>
    <w:p>
      <w:pPr>
        <w:spacing w:after="80" w:before="200"/>
        <w:jc w:val="center"/>
      </w:pPr>
      <w:r>
        <w:drawing>
          <wp:inline distT="0" distB="0" distL="0" distR="0">
            <wp:extent cx="4286250" cy="1905000"/>
            <wp:effectExtent t="0" r="0" b="0" l="0"/>
            <wp:docPr id="1" name="Screenshot 2026-04-09 at 11.03.04 AM" descr="Sanctions list management interface" title="Sanctions Manag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286250" cy="1905000"/>
                    </a:xfrm>
                    <a:prstGeom prst="rect">
                      <a:avLst/>
                    </a:prstGeom>
                  </pic:spPr>
                </pic:pic>
              </a:graphicData>
            </a:graphic>
          </wp:inline>
        </w:drawing>
      </w:r>
    </w:p>
    <w:p>
      <w:pPr>
        <w:spacing w:after="200"/>
        <w:jc w:val="center"/>
      </w:pPr>
      <w:r>
        <w:rPr>
          <w:rFonts w:ascii="Calibri" w:cs="Calibri" w:eastAsia="Calibri" w:hAnsi="Calibri"/>
          <w:i/>
          <w:iCs/>
          <w:color w:val="777777"/>
          <w:sz w:val="18"/>
          <w:szCs w:val="18"/>
        </w:rPr>
        <w:t xml:space="preserve">Figure 17: Compliance — Sanctions List Management</w:t>
      </w:r>
    </w:p>
    <w:p>
      <w:pPr>
        <w:spacing w:after="80"/>
      </w:pPr>
    </w:p>
    <w:p>
      <w:pPr>
        <w:spacing w:after="80" w:before="200"/>
        <w:jc w:val="center"/>
      </w:pPr>
      <w:r>
        <w:drawing>
          <wp:inline distT="0" distB="0" distL="0" distR="0">
            <wp:extent cx="4286250" cy="2381250"/>
            <wp:effectExtent t="0" r="0" b="0" l="0"/>
            <wp:docPr id="1" name="Screenshot 2026-04-09 at 11.03.15 AM" descr="FX Converter tool with 13 supported currencies" title="FX Conver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286250" cy="2381250"/>
                    </a:xfrm>
                    <a:prstGeom prst="rect">
                      <a:avLst/>
                    </a:prstGeom>
                  </pic:spPr>
                </pic:pic>
              </a:graphicData>
            </a:graphic>
          </wp:inline>
        </w:drawing>
      </w:r>
    </w:p>
    <w:p>
      <w:pPr>
        <w:spacing w:after="200"/>
        <w:jc w:val="center"/>
      </w:pPr>
      <w:r>
        <w:rPr>
          <w:rFonts w:ascii="Calibri" w:cs="Calibri" w:eastAsia="Calibri" w:hAnsi="Calibri"/>
          <w:i/>
          <w:iCs/>
          <w:color w:val="777777"/>
          <w:sz w:val="18"/>
          <w:szCs w:val="18"/>
        </w:rPr>
        <w:t xml:space="preserve">Figure 18: Compliance — FX Converter Tool</w:t>
      </w:r>
    </w:p>
    <w:p>
      <w:pPr>
        <w:spacing w:after="80"/>
      </w:pPr>
    </w:p>
    <w:p>
      <w:pPr>
        <w:spacing w:after="80" w:before="200"/>
        <w:jc w:val="center"/>
      </w:pPr>
      <w:r>
        <w:drawing>
          <wp:inline distT="0" distB="0" distL="0" distR="0">
            <wp:extent cx="5238750" cy="2857500"/>
            <wp:effectExtent t="0" r="0" b="0" l="0"/>
            <wp:docPr id="1" name="Screenshot 2026-04-09 at 11.03.19 AM" descr="Nostro account balances with Ethereum wallet addresses" title="Nostro Balan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238750" cy="2857500"/>
                    </a:xfrm>
                    <a:prstGeom prst="rect">
                      <a:avLst/>
                    </a:prstGeom>
                  </pic:spPr>
                </pic:pic>
              </a:graphicData>
            </a:graphic>
          </wp:inline>
        </w:drawing>
      </w:r>
    </w:p>
    <w:p>
      <w:pPr>
        <w:spacing w:after="200"/>
        <w:jc w:val="center"/>
      </w:pPr>
      <w:r>
        <w:rPr>
          <w:rFonts w:ascii="Calibri" w:cs="Calibri" w:eastAsia="Calibri" w:hAnsi="Calibri"/>
          <w:i/>
          <w:iCs/>
          <w:color w:val="777777"/>
          <w:sz w:val="18"/>
          <w:szCs w:val="18"/>
        </w:rPr>
        <w:t xml:space="preserve">Figure 19: Compliance — Nostro Balances and Account Positions</w:t>
      </w:r>
    </w:p>
    <w:p>
      <w:pPr>
        <w:spacing w:after="80"/>
      </w:pPr>
    </w:p>
    <w:p>
      <w:pPr>
        <w:pStyle w:val="Heading2"/>
        <w:spacing w:after="160" w:before="280"/>
      </w:pPr>
      <w:r>
        <w:rPr>
          <w:rFonts w:ascii="Calibri" w:cs="Calibri" w:eastAsia="Calibri" w:hAnsi="Calibri"/>
          <w:b/>
          <w:bCs/>
          <w:color w:val="2C3E50"/>
          <w:sz w:val="26"/>
          <w:szCs w:val="26"/>
        </w:rPr>
        <w:t xml:space="preserve">4.7 Case Management Tab</w:t>
      </w:r>
    </w:p>
    <w:p>
      <w:pPr>
        <w:spacing w:after="120"/>
        <w:jc w:val="both"/>
      </w:pPr>
      <w:r>
        <w:rPr>
          <w:rFonts w:ascii="Calibri" w:cs="Calibri" w:eastAsia="Calibri" w:hAnsi="Calibri"/>
          <w:color w:val="333333"/>
          <w:sz w:val="22"/>
          <w:szCs w:val="22"/>
        </w:rPr>
        <w:t xml:space="preserve">The case management interface now includes SLA countdown tracking:</w:t>
      </w:r>
    </w:p>
    <w:p>
      <w:pPr>
        <w:pStyle w:val="ListParagraph"/>
        <w:numPr>
          <w:ilvl w:val="0"/>
          <w:numId w:val="2"/>
        </w:numPr>
        <w:spacing w:after="60"/>
      </w:pPr>
      <w:r>
        <w:rPr>
          <w:rFonts w:ascii="Calibri" w:cs="Calibri" w:eastAsia="Calibri" w:hAnsi="Calibri"/>
          <w:color w:val="333333"/>
          <w:sz w:val="22"/>
          <w:szCs w:val="22"/>
        </w:rPr>
        <w:t xml:space="preserve">Summary Cards: Open, Investigating, Escalated, and Resolved case counts</w:t>
      </w:r>
    </w:p>
    <w:p>
      <w:pPr>
        <w:pStyle w:val="ListParagraph"/>
        <w:numPr>
          <w:ilvl w:val="0"/>
          <w:numId w:val="2"/>
        </w:numPr>
        <w:spacing w:after="60"/>
      </w:pPr>
      <w:r>
        <w:rPr>
          <w:rFonts w:ascii="Calibri" w:cs="Calibri" w:eastAsia="Calibri" w:hAnsi="Calibri"/>
          <w:color w:val="333333"/>
          <w:sz w:val="22"/>
          <w:szCs w:val="22"/>
        </w:rPr>
        <w:t xml:space="preserve">SLA Countdown: Color-coded time remaining badges per case based on severity</w:t>
      </w:r>
    </w:p>
    <w:p>
      <w:pPr>
        <w:pStyle w:val="ListParagraph"/>
        <w:numPr>
          <w:ilvl w:val="0"/>
          <w:numId w:val="2"/>
        </w:numPr>
        <w:spacing w:after="60"/>
      </w:pPr>
      <w:r>
        <w:rPr>
          <w:rFonts w:ascii="Calibri" w:cs="Calibri" w:eastAsia="Calibri" w:hAnsi="Calibri"/>
          <w:color w:val="333333"/>
          <w:sz w:val="22"/>
          <w:szCs w:val="22"/>
        </w:rPr>
        <w:t xml:space="preserve">Case Types: AML, Sanctions, Fraud, Structuring, PEP, Terrorist Financing</w:t>
      </w:r>
    </w:p>
    <w:p>
      <w:pPr>
        <w:pStyle w:val="ListParagraph"/>
        <w:numPr>
          <w:ilvl w:val="0"/>
          <w:numId w:val="2"/>
        </w:numPr>
        <w:spacing w:after="60"/>
      </w:pPr>
      <w:r>
        <w:rPr>
          <w:rFonts w:ascii="Calibri" w:cs="Calibri" w:eastAsia="Calibri" w:hAnsi="Calibri"/>
          <w:color w:val="333333"/>
          <w:sz w:val="22"/>
          <w:szCs w:val="22"/>
        </w:rPr>
        <w:t xml:space="preserve">Case Actions: Investigate, Escalate, Resolve, Assign, Add Findings, File SAR</w:t>
      </w:r>
    </w:p>
    <w:p>
      <w:pPr>
        <w:spacing w:after="80"/>
      </w:pPr>
    </w:p>
    <w:p>
      <w:pPr>
        <w:spacing w:after="80" w:before="200"/>
        <w:jc w:val="center"/>
      </w:pPr>
      <w:r>
        <w:drawing>
          <wp:inline distT="0" distB="0" distL="0" distR="0">
            <wp:extent cx="5238750" cy="3238500"/>
            <wp:effectExtent t="0" r="0" b="0" l="0"/>
            <wp:docPr id="1" name="Screenshot 2026-04-09 at 11.03.33 AM" descr="Case management dashboard with SLA countdown tracking" title="Case Management with S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238750" cy="3238500"/>
                    </a:xfrm>
                    <a:prstGeom prst="rect">
                      <a:avLst/>
                    </a:prstGeom>
                  </pic:spPr>
                </pic:pic>
              </a:graphicData>
            </a:graphic>
          </wp:inline>
        </w:drawing>
      </w:r>
    </w:p>
    <w:p>
      <w:pPr>
        <w:spacing w:after="200"/>
        <w:jc w:val="center"/>
      </w:pPr>
      <w:r>
        <w:rPr>
          <w:rFonts w:ascii="Calibri" w:cs="Calibri" w:eastAsia="Calibri" w:hAnsi="Calibri"/>
          <w:i/>
          <w:iCs/>
          <w:color w:val="777777"/>
          <w:sz w:val="18"/>
          <w:szCs w:val="18"/>
        </w:rPr>
        <w:t xml:space="preserve">Figure 20: Case Management — Dashboard with SLA Countdown Tracking</w:t>
      </w:r>
    </w:p>
    <w:p>
      <w:pPr>
        <w:spacing w:after="80"/>
      </w:pPr>
    </w:p>
    <w:p>
      <w:pPr>
        <w:spacing w:after="80" w:before="200"/>
        <w:jc w:val="center"/>
      </w:pPr>
      <w:r>
        <w:drawing>
          <wp:inline distT="0" distB="0" distL="0" distR="0">
            <wp:extent cx="5238750" cy="3238500"/>
            <wp:effectExtent t="0" r="0" b="0" l="0"/>
            <wp:docPr id="1" name="Screenshot 2026-04-09 at 11.03.58 AM" descr="Case detail modal with SANCTIONS type and CRITICAL severity" title="Case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238750" cy="3238500"/>
                    </a:xfrm>
                    <a:prstGeom prst="rect">
                      <a:avLst/>
                    </a:prstGeom>
                  </pic:spPr>
                </pic:pic>
              </a:graphicData>
            </a:graphic>
          </wp:inline>
        </w:drawing>
      </w:r>
    </w:p>
    <w:p>
      <w:pPr>
        <w:spacing w:after="200"/>
        <w:jc w:val="center"/>
      </w:pPr>
      <w:r>
        <w:rPr>
          <w:rFonts w:ascii="Calibri" w:cs="Calibri" w:eastAsia="Calibri" w:hAnsi="Calibri"/>
          <w:i/>
          <w:iCs/>
          <w:color w:val="777777"/>
          <w:sz w:val="18"/>
          <w:szCs w:val="18"/>
        </w:rPr>
        <w:t xml:space="preserve">Figure 21: Case Management — Case Detail Modal with Action Buttons</w:t>
      </w:r>
    </w:p>
    <w:p>
      <w:r>
        <w:br w:type="page"/>
      </w:r>
    </w:p>
    <w:p>
      <w:pPr>
        <w:pStyle w:val="Heading1"/>
        <w:spacing w:after="200" w:before="360"/>
      </w:pPr>
      <w:r>
        <w:rPr>
          <w:rFonts w:ascii="Calibri" w:cs="Calibri" w:eastAsia="Calibri" w:hAnsi="Calibri"/>
          <w:b/>
          <w:bCs/>
          <w:color w:val="1A5276"/>
          <w:sz w:val="32"/>
          <w:szCs w:val="32"/>
        </w:rPr>
        <w:t xml:space="preserve">5. User Accounts &amp; Role-Based Access Control</w:t>
      </w:r>
    </w:p>
    <w:p>
      <w:pPr>
        <w:spacing w:after="120"/>
        <w:jc w:val="both"/>
      </w:pPr>
      <w:r>
        <w:rPr>
          <w:rFonts w:ascii="Calibri" w:cs="Calibri" w:eastAsia="Calibri" w:hAnsi="Calibri"/>
          <w:color w:val="333333"/>
          <w:sz w:val="22"/>
          <w:szCs w:val="22"/>
        </w:rPr>
        <w:t xml:space="preserve">IPTS implements a comprehensive RBAC system with 5 user accounts, each mapped to a specific role with distinct permissions and starting balances.</w:t>
      </w:r>
    </w:p>
    <w:p>
      <w:pPr>
        <w:spacing w:after="80"/>
      </w:pPr>
    </w:p>
    <w:p>
      <w:pPr>
        <w:pStyle w:val="Heading2"/>
        <w:spacing w:after="160" w:before="280"/>
      </w:pPr>
      <w:r>
        <w:rPr>
          <w:rFonts w:ascii="Calibri" w:cs="Calibri" w:eastAsia="Calibri" w:hAnsi="Calibri"/>
          <w:b/>
          <w:bCs/>
          <w:color w:val="2C3E50"/>
          <w:sz w:val="26"/>
          <w:szCs w:val="26"/>
        </w:rPr>
        <w:t xml:space="preserve">5.1 User Accounts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1800"/>
        <w:gridCol w:w="1800"/>
        <w:gridCol w:w="2260"/>
      </w:tblGrid>
      <w:tr>
        <w:tc>
          <w:tcPr>
            <w:tcW w:type="dxa" w:w="1500"/>
            <w:tcBorders>
              <w:top w:val="single" w:color="CCCCCC" w:sz="1"/>
              <w:left w:val="single" w:color="CCCCCC" w:sz="1"/>
              <w:bottom w:val="single" w:color="CCCCCC" w:sz="1"/>
              <w:right w:val="single" w:color="CCCCCC" w:sz="1"/>
            </w:tcBorders>
            <w:shd w:fill="1A5276"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Username</w:t>
            </w:r>
          </w:p>
        </w:tc>
        <w:tc>
          <w:tcPr>
            <w:tcW w:type="dxa" w:w="2000"/>
            <w:tcBorders>
              <w:top w:val="single" w:color="CCCCCC" w:sz="1"/>
              <w:left w:val="single" w:color="CCCCCC" w:sz="1"/>
              <w:bottom w:val="single" w:color="CCCCCC" w:sz="1"/>
              <w:right w:val="single" w:color="CCCCCC" w:sz="1"/>
            </w:tcBorders>
            <w:shd w:fill="1A5276"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Password</w:t>
            </w:r>
          </w:p>
        </w:tc>
        <w:tc>
          <w:tcPr>
            <w:tcW w:type="dxa" w:w="1800"/>
            <w:tcBorders>
              <w:top w:val="single" w:color="CCCCCC" w:sz="1"/>
              <w:left w:val="single" w:color="CCCCCC" w:sz="1"/>
              <w:bottom w:val="single" w:color="CCCCCC" w:sz="1"/>
              <w:right w:val="single" w:color="CCCCCC" w:sz="1"/>
            </w:tcBorders>
            <w:shd w:fill="1A5276"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Full Name</w:t>
            </w:r>
          </w:p>
        </w:tc>
        <w:tc>
          <w:tcPr>
            <w:tcW w:type="dxa" w:w="1800"/>
            <w:tcBorders>
              <w:top w:val="single" w:color="CCCCCC" w:sz="1"/>
              <w:left w:val="single" w:color="CCCCCC" w:sz="1"/>
              <w:bottom w:val="single" w:color="CCCCCC" w:sz="1"/>
              <w:right w:val="single" w:color="CCCCCC" w:sz="1"/>
            </w:tcBorders>
            <w:shd w:fill="1A5276"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Role</w:t>
            </w:r>
          </w:p>
        </w:tc>
        <w:tc>
          <w:tcPr>
            <w:tcW w:type="dxa" w:w="2260"/>
            <w:tcBorders>
              <w:top w:val="single" w:color="CCCCCC" w:sz="1"/>
              <w:left w:val="single" w:color="CCCCCC" w:sz="1"/>
              <w:bottom w:val="single" w:color="CCCCCC" w:sz="1"/>
              <w:right w:val="single" w:color="CCCCCC" w:sz="1"/>
            </w:tcBorders>
            <w:shd w:fill="1A5276"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Balance (USD)</w:t>
            </w:r>
          </w:p>
        </w:tc>
      </w:tr>
      <w:tr>
        <w:tc>
          <w:tcPr>
            <w:tcW w:type="dxa" w:w="15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mohamad</w:t>
            </w:r>
          </w:p>
        </w:tc>
        <w:tc>
          <w:tcPr>
            <w:tcW w:type="dxa" w:w="20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Mohamad@2026!</w:t>
            </w:r>
          </w:p>
        </w:tc>
        <w:tc>
          <w:tcPr>
            <w:tcW w:type="dxa" w:w="18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Mohamad Idriss</w:t>
            </w:r>
          </w:p>
        </w:tc>
        <w:tc>
          <w:tcPr>
            <w:tcW w:type="dxa" w:w="18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Admin</w:t>
            </w:r>
          </w:p>
        </w:tc>
        <w:tc>
          <w:tcPr>
            <w:tcW w:type="dxa" w:w="226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$1,000,000</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rohit</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Rohit@2026!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Rohit Jacob Isaac</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Operator</w:t>
            </w:r>
          </w:p>
        </w:tc>
        <w:tc>
          <w:tcPr>
            <w:tcW w:type="dxa" w:w="22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$750,000</w:t>
            </w:r>
          </w:p>
        </w:tc>
      </w:tr>
      <w:tr>
        <w:tc>
          <w:tcPr>
            <w:tcW w:type="dxa" w:w="15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sriram</w:t>
            </w:r>
          </w:p>
        </w:tc>
        <w:tc>
          <w:tcPr>
            <w:tcW w:type="dxa" w:w="20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Sriram@2026!</w:t>
            </w:r>
          </w:p>
        </w:tc>
        <w:tc>
          <w:tcPr>
            <w:tcW w:type="dxa" w:w="18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Sriram Acharya M.</w:t>
            </w:r>
          </w:p>
        </w:tc>
        <w:tc>
          <w:tcPr>
            <w:tcW w:type="dxa" w:w="18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Auditor</w:t>
            </w:r>
          </w:p>
        </w:tc>
        <w:tc>
          <w:tcPr>
            <w:tcW w:type="dxa" w:w="226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$500,000</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walid</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Walid@2026!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Walid Elmahdy</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Compliance</w:t>
            </w:r>
          </w:p>
        </w:tc>
        <w:tc>
          <w:tcPr>
            <w:tcW w:type="dxa" w:w="22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$350,000</w:t>
            </w:r>
          </w:p>
        </w:tc>
      </w:tr>
      <w:tr>
        <w:tc>
          <w:tcPr>
            <w:tcW w:type="dxa" w:w="15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vibin</w:t>
            </w:r>
          </w:p>
        </w:tc>
        <w:tc>
          <w:tcPr>
            <w:tcW w:type="dxa" w:w="20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Vibin@2026!</w:t>
            </w:r>
          </w:p>
        </w:tc>
        <w:tc>
          <w:tcPr>
            <w:tcW w:type="dxa" w:w="18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Vibin Chandrabose</w:t>
            </w:r>
          </w:p>
        </w:tc>
        <w:tc>
          <w:tcPr>
            <w:tcW w:type="dxa" w:w="18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Data Scientist</w:t>
            </w:r>
          </w:p>
        </w:tc>
        <w:tc>
          <w:tcPr>
            <w:tcW w:type="dxa" w:w="226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$150,000</w:t>
            </w:r>
          </w:p>
        </w:tc>
      </w:tr>
    </w:tbl>
    <w:p>
      <w:pPr>
        <w:spacing w:after="80"/>
      </w:pPr>
    </w:p>
    <w:p>
      <w:pPr>
        <w:pStyle w:val="Heading2"/>
        <w:spacing w:after="160" w:before="280"/>
      </w:pPr>
      <w:r>
        <w:rPr>
          <w:rFonts w:ascii="Calibri" w:cs="Calibri" w:eastAsia="Calibri" w:hAnsi="Calibri"/>
          <w:b/>
          <w:bCs/>
          <w:color w:val="2C3E50"/>
          <w:sz w:val="26"/>
          <w:szCs w:val="26"/>
        </w:rPr>
        <w:t xml:space="preserve">5.2 Permission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312"/>
        <w:gridCol w:w="1312"/>
        <w:gridCol w:w="1312"/>
        <w:gridCol w:w="1312"/>
        <w:gridCol w:w="1312"/>
      </w:tblGrid>
      <w:tr>
        <w:tc>
          <w:tcPr>
            <w:tcW w:type="dxa" w:w="2800"/>
            <w:tcBorders>
              <w:top w:val="single" w:color="CCCCCC" w:sz="1"/>
              <w:left w:val="single" w:color="CCCCCC" w:sz="1"/>
              <w:bottom w:val="single" w:color="CCCCCC" w:sz="1"/>
              <w:right w:val="single" w:color="CCCCCC" w:sz="1"/>
            </w:tcBorders>
            <w:shd w:fill="1A5276"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Feature</w:t>
            </w:r>
          </w:p>
        </w:tc>
        <w:tc>
          <w:tcPr>
            <w:tcW w:type="dxa" w:w="1312"/>
            <w:tcBorders>
              <w:top w:val="single" w:color="CCCCCC" w:sz="1"/>
              <w:left w:val="single" w:color="CCCCCC" w:sz="1"/>
              <w:bottom w:val="single" w:color="CCCCCC" w:sz="1"/>
              <w:right w:val="single" w:color="CCCCCC" w:sz="1"/>
            </w:tcBorders>
            <w:shd w:fill="1A5276"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Admin</w:t>
            </w:r>
          </w:p>
        </w:tc>
        <w:tc>
          <w:tcPr>
            <w:tcW w:type="dxa" w:w="1312"/>
            <w:tcBorders>
              <w:top w:val="single" w:color="CCCCCC" w:sz="1"/>
              <w:left w:val="single" w:color="CCCCCC" w:sz="1"/>
              <w:bottom w:val="single" w:color="CCCCCC" w:sz="1"/>
              <w:right w:val="single" w:color="CCCCCC" w:sz="1"/>
            </w:tcBorders>
            <w:shd w:fill="1A5276"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Operator</w:t>
            </w:r>
          </w:p>
        </w:tc>
        <w:tc>
          <w:tcPr>
            <w:tcW w:type="dxa" w:w="1312"/>
            <w:tcBorders>
              <w:top w:val="single" w:color="CCCCCC" w:sz="1"/>
              <w:left w:val="single" w:color="CCCCCC" w:sz="1"/>
              <w:bottom w:val="single" w:color="CCCCCC" w:sz="1"/>
              <w:right w:val="single" w:color="CCCCCC" w:sz="1"/>
            </w:tcBorders>
            <w:shd w:fill="1A5276"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Auditor</w:t>
            </w:r>
          </w:p>
        </w:tc>
        <w:tc>
          <w:tcPr>
            <w:tcW w:type="dxa" w:w="1312"/>
            <w:tcBorders>
              <w:top w:val="single" w:color="CCCCCC" w:sz="1"/>
              <w:left w:val="single" w:color="CCCCCC" w:sz="1"/>
              <w:bottom w:val="single" w:color="CCCCCC" w:sz="1"/>
              <w:right w:val="single" w:color="CCCCCC" w:sz="1"/>
            </w:tcBorders>
            <w:shd w:fill="1A5276"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Compliance</w:t>
            </w:r>
          </w:p>
        </w:tc>
        <w:tc>
          <w:tcPr>
            <w:tcW w:type="dxa" w:w="1312"/>
            <w:tcBorders>
              <w:top w:val="single" w:color="CCCCCC" w:sz="1"/>
              <w:left w:val="single" w:color="CCCCCC" w:sz="1"/>
              <w:bottom w:val="single" w:color="CCCCCC" w:sz="1"/>
              <w:right w:val="single" w:color="CCCCCC" w:sz="1"/>
            </w:tcBorders>
            <w:shd w:fill="1A5276"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Data Sci.</w:t>
            </w:r>
          </w:p>
        </w:tc>
      </w:tr>
      <w:tr>
        <w:tc>
          <w:tcPr>
            <w:tcW w:type="dxa" w:w="28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Dashboard</w:t>
            </w:r>
          </w:p>
        </w:tc>
        <w:tc>
          <w:tcPr>
            <w:tcW w:type="dxa" w:w="1312"/>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center"/>
            </w:pPr>
            <w:r>
              <w:rPr>
                <w:rFonts w:ascii="Calibri" w:cs="Calibri" w:eastAsia="Calibri" w:hAnsi="Calibri"/>
                <w:b/>
                <w:bCs/>
                <w:color w:val="0E8C5F"/>
                <w:sz w:val="20"/>
                <w:szCs w:val="20"/>
              </w:rPr>
              <w:t xml:space="preserve">Y</w:t>
            </w:r>
          </w:p>
        </w:tc>
        <w:tc>
          <w:tcPr>
            <w:tcW w:type="dxa" w:w="1312"/>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center"/>
            </w:pPr>
            <w:r>
              <w:rPr>
                <w:rFonts w:ascii="Calibri" w:cs="Calibri" w:eastAsia="Calibri" w:hAnsi="Calibri"/>
                <w:b/>
                <w:bCs/>
                <w:color w:val="0E8C5F"/>
                <w:sz w:val="20"/>
                <w:szCs w:val="20"/>
              </w:rPr>
              <w:t xml:space="preserve">Y</w:t>
            </w:r>
          </w:p>
        </w:tc>
        <w:tc>
          <w:tcPr>
            <w:tcW w:type="dxa" w:w="1312"/>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center"/>
            </w:pPr>
            <w:r>
              <w:rPr>
                <w:rFonts w:ascii="Calibri" w:cs="Calibri" w:eastAsia="Calibri" w:hAnsi="Calibri"/>
                <w:b/>
                <w:bCs/>
                <w:color w:val="0E8C5F"/>
                <w:sz w:val="20"/>
                <w:szCs w:val="20"/>
              </w:rPr>
              <w:t xml:space="preserve">Y</w:t>
            </w:r>
          </w:p>
        </w:tc>
        <w:tc>
          <w:tcPr>
            <w:tcW w:type="dxa" w:w="1312"/>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center"/>
            </w:pPr>
            <w:r>
              <w:rPr>
                <w:rFonts w:ascii="Calibri" w:cs="Calibri" w:eastAsia="Calibri" w:hAnsi="Calibri"/>
                <w:b/>
                <w:bCs/>
                <w:color w:val="0E8C5F"/>
                <w:sz w:val="20"/>
                <w:szCs w:val="20"/>
              </w:rPr>
              <w:t xml:space="preserve">Y</w:t>
            </w:r>
          </w:p>
        </w:tc>
        <w:tc>
          <w:tcPr>
            <w:tcW w:type="dxa" w:w="1312"/>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center"/>
            </w:pPr>
            <w:r>
              <w:rPr>
                <w:rFonts w:ascii="Calibri" w:cs="Calibri" w:eastAsia="Calibri" w:hAnsi="Calibri"/>
                <w:b/>
                <w:bCs/>
                <w:color w:val="0E8C5F"/>
                <w:sz w:val="20"/>
                <w:szCs w:val="20"/>
              </w:rPr>
              <w:t xml:space="preserve">Y</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Execute Payments</w:t>
            </w:r>
          </w:p>
        </w:tc>
        <w:tc>
          <w:tcPr>
            <w:tcW w:type="dxa" w:w="1312"/>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libri" w:cs="Calibri" w:eastAsia="Calibri" w:hAnsi="Calibri"/>
                <w:b/>
                <w:bCs/>
                <w:color w:val="0E8C5F"/>
                <w:sz w:val="20"/>
                <w:szCs w:val="20"/>
              </w:rPr>
              <w:t xml:space="preserve">Y</w:t>
            </w:r>
          </w:p>
        </w:tc>
        <w:tc>
          <w:tcPr>
            <w:tcW w:type="dxa" w:w="1312"/>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libri" w:cs="Calibri" w:eastAsia="Calibri" w:hAnsi="Calibri"/>
                <w:b/>
                <w:bCs/>
                <w:color w:val="0E8C5F"/>
                <w:sz w:val="20"/>
                <w:szCs w:val="20"/>
              </w:rPr>
              <w:t xml:space="preserve">Y</w:t>
            </w:r>
          </w:p>
        </w:tc>
        <w:tc>
          <w:tcPr>
            <w:tcW w:type="dxa" w:w="1312"/>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libri" w:cs="Calibri" w:eastAsia="Calibri" w:hAnsi="Calibri"/>
                <w:b/>
                <w:bCs/>
                <w:color w:val="CC0000"/>
                <w:sz w:val="20"/>
                <w:szCs w:val="20"/>
              </w:rPr>
              <w:t xml:space="preserve">-</w:t>
            </w:r>
          </w:p>
        </w:tc>
        <w:tc>
          <w:tcPr>
            <w:tcW w:type="dxa" w:w="1312"/>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libri" w:cs="Calibri" w:eastAsia="Calibri" w:hAnsi="Calibri"/>
                <w:b/>
                <w:bCs/>
                <w:color w:val="CC0000"/>
                <w:sz w:val="20"/>
                <w:szCs w:val="20"/>
              </w:rPr>
              <w:t xml:space="preserve">-</w:t>
            </w:r>
          </w:p>
        </w:tc>
        <w:tc>
          <w:tcPr>
            <w:tcW w:type="dxa" w:w="1312"/>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libri" w:cs="Calibri" w:eastAsia="Calibri" w:hAnsi="Calibri"/>
                <w:b/>
                <w:bCs/>
                <w:color w:val="CC0000"/>
                <w:sz w:val="20"/>
                <w:szCs w:val="20"/>
              </w:rPr>
              <w:t xml:space="preserve">-</w:t>
            </w:r>
          </w:p>
        </w:tc>
      </w:tr>
      <w:tr>
        <w:tc>
          <w:tcPr>
            <w:tcW w:type="dxa" w:w="28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View Transactions</w:t>
            </w:r>
          </w:p>
        </w:tc>
        <w:tc>
          <w:tcPr>
            <w:tcW w:type="dxa" w:w="1312"/>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center"/>
            </w:pPr>
            <w:r>
              <w:rPr>
                <w:rFonts w:ascii="Calibri" w:cs="Calibri" w:eastAsia="Calibri" w:hAnsi="Calibri"/>
                <w:b/>
                <w:bCs/>
                <w:color w:val="0E8C5F"/>
                <w:sz w:val="20"/>
                <w:szCs w:val="20"/>
              </w:rPr>
              <w:t xml:space="preserve">Y</w:t>
            </w:r>
          </w:p>
        </w:tc>
        <w:tc>
          <w:tcPr>
            <w:tcW w:type="dxa" w:w="1312"/>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center"/>
            </w:pPr>
            <w:r>
              <w:rPr>
                <w:rFonts w:ascii="Calibri" w:cs="Calibri" w:eastAsia="Calibri" w:hAnsi="Calibri"/>
                <w:b/>
                <w:bCs/>
                <w:color w:val="0E8C5F"/>
                <w:sz w:val="20"/>
                <w:szCs w:val="20"/>
              </w:rPr>
              <w:t xml:space="preserve">Y</w:t>
            </w:r>
          </w:p>
        </w:tc>
        <w:tc>
          <w:tcPr>
            <w:tcW w:type="dxa" w:w="1312"/>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center"/>
            </w:pPr>
            <w:r>
              <w:rPr>
                <w:rFonts w:ascii="Calibri" w:cs="Calibri" w:eastAsia="Calibri" w:hAnsi="Calibri"/>
                <w:b/>
                <w:bCs/>
                <w:color w:val="0E8C5F"/>
                <w:sz w:val="20"/>
                <w:szCs w:val="20"/>
              </w:rPr>
              <w:t xml:space="preserve">Y</w:t>
            </w:r>
          </w:p>
        </w:tc>
        <w:tc>
          <w:tcPr>
            <w:tcW w:type="dxa" w:w="1312"/>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center"/>
            </w:pPr>
            <w:r>
              <w:rPr>
                <w:rFonts w:ascii="Calibri" w:cs="Calibri" w:eastAsia="Calibri" w:hAnsi="Calibri"/>
                <w:b/>
                <w:bCs/>
                <w:color w:val="0E8C5F"/>
                <w:sz w:val="20"/>
                <w:szCs w:val="20"/>
              </w:rPr>
              <w:t xml:space="preserve">Y</w:t>
            </w:r>
          </w:p>
        </w:tc>
        <w:tc>
          <w:tcPr>
            <w:tcW w:type="dxa" w:w="1312"/>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center"/>
            </w:pPr>
            <w:r>
              <w:rPr>
                <w:rFonts w:ascii="Calibri" w:cs="Calibri" w:eastAsia="Calibri" w:hAnsi="Calibri"/>
                <w:b/>
                <w:bCs/>
                <w:color w:val="0E8C5F"/>
                <w:sz w:val="20"/>
                <w:szCs w:val="20"/>
              </w:rPr>
              <w:t xml:space="preserve">Y</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HITL Approve/Reject</w:t>
            </w:r>
          </w:p>
        </w:tc>
        <w:tc>
          <w:tcPr>
            <w:tcW w:type="dxa" w:w="1312"/>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libri" w:cs="Calibri" w:eastAsia="Calibri" w:hAnsi="Calibri"/>
                <w:b/>
                <w:bCs/>
                <w:color w:val="0E8C5F"/>
                <w:sz w:val="20"/>
                <w:szCs w:val="20"/>
              </w:rPr>
              <w:t xml:space="preserve">Y</w:t>
            </w:r>
          </w:p>
        </w:tc>
        <w:tc>
          <w:tcPr>
            <w:tcW w:type="dxa" w:w="1312"/>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libri" w:cs="Calibri" w:eastAsia="Calibri" w:hAnsi="Calibri"/>
                <w:b/>
                <w:bCs/>
                <w:color w:val="CC0000"/>
                <w:sz w:val="20"/>
                <w:szCs w:val="20"/>
              </w:rPr>
              <w:t xml:space="preserve">-</w:t>
            </w:r>
          </w:p>
        </w:tc>
        <w:tc>
          <w:tcPr>
            <w:tcW w:type="dxa" w:w="1312"/>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libri" w:cs="Calibri" w:eastAsia="Calibri" w:hAnsi="Calibri"/>
                <w:b/>
                <w:bCs/>
                <w:color w:val="CC0000"/>
                <w:sz w:val="20"/>
                <w:szCs w:val="20"/>
              </w:rPr>
              <w:t xml:space="preserve">-</w:t>
            </w:r>
          </w:p>
        </w:tc>
        <w:tc>
          <w:tcPr>
            <w:tcW w:type="dxa" w:w="1312"/>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libri" w:cs="Calibri" w:eastAsia="Calibri" w:hAnsi="Calibri"/>
                <w:b/>
                <w:bCs/>
                <w:color w:val="0E8C5F"/>
                <w:sz w:val="20"/>
                <w:szCs w:val="20"/>
              </w:rPr>
              <w:t xml:space="preserve">Y</w:t>
            </w:r>
          </w:p>
        </w:tc>
        <w:tc>
          <w:tcPr>
            <w:tcW w:type="dxa" w:w="1312"/>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libri" w:cs="Calibri" w:eastAsia="Calibri" w:hAnsi="Calibri"/>
                <w:b/>
                <w:bCs/>
                <w:color w:val="CC0000"/>
                <w:sz w:val="20"/>
                <w:szCs w:val="20"/>
              </w:rPr>
              <w:t xml:space="preserve">-</w:t>
            </w:r>
          </w:p>
        </w:tc>
      </w:tr>
      <w:tr>
        <w:tc>
          <w:tcPr>
            <w:tcW w:type="dxa" w:w="28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Four-Eyes Approval</w:t>
            </w:r>
          </w:p>
        </w:tc>
        <w:tc>
          <w:tcPr>
            <w:tcW w:type="dxa" w:w="1312"/>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center"/>
            </w:pPr>
            <w:r>
              <w:rPr>
                <w:rFonts w:ascii="Calibri" w:cs="Calibri" w:eastAsia="Calibri" w:hAnsi="Calibri"/>
                <w:b/>
                <w:bCs/>
                <w:color w:val="0E8C5F"/>
                <w:sz w:val="20"/>
                <w:szCs w:val="20"/>
              </w:rPr>
              <w:t xml:space="preserve">Y</w:t>
            </w:r>
          </w:p>
        </w:tc>
        <w:tc>
          <w:tcPr>
            <w:tcW w:type="dxa" w:w="1312"/>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center"/>
            </w:pPr>
            <w:r>
              <w:rPr>
                <w:rFonts w:ascii="Calibri" w:cs="Calibri" w:eastAsia="Calibri" w:hAnsi="Calibri"/>
                <w:b/>
                <w:bCs/>
                <w:color w:val="CC0000"/>
                <w:sz w:val="20"/>
                <w:szCs w:val="20"/>
              </w:rPr>
              <w:t xml:space="preserve">-</w:t>
            </w:r>
          </w:p>
        </w:tc>
        <w:tc>
          <w:tcPr>
            <w:tcW w:type="dxa" w:w="1312"/>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center"/>
            </w:pPr>
            <w:r>
              <w:rPr>
                <w:rFonts w:ascii="Calibri" w:cs="Calibri" w:eastAsia="Calibri" w:hAnsi="Calibri"/>
                <w:b/>
                <w:bCs/>
                <w:color w:val="CC0000"/>
                <w:sz w:val="20"/>
                <w:szCs w:val="20"/>
              </w:rPr>
              <w:t xml:space="preserve">-</w:t>
            </w:r>
          </w:p>
        </w:tc>
        <w:tc>
          <w:tcPr>
            <w:tcW w:type="dxa" w:w="1312"/>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center"/>
            </w:pPr>
            <w:r>
              <w:rPr>
                <w:rFonts w:ascii="Calibri" w:cs="Calibri" w:eastAsia="Calibri" w:hAnsi="Calibri"/>
                <w:b/>
                <w:bCs/>
                <w:color w:val="0E8C5F"/>
                <w:sz w:val="20"/>
                <w:szCs w:val="20"/>
              </w:rPr>
              <w:t xml:space="preserve">Y</w:t>
            </w:r>
          </w:p>
        </w:tc>
        <w:tc>
          <w:tcPr>
            <w:tcW w:type="dxa" w:w="1312"/>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center"/>
            </w:pPr>
            <w:r>
              <w:rPr>
                <w:rFonts w:ascii="Calibri" w:cs="Calibri" w:eastAsia="Calibri" w:hAnsi="Calibri"/>
                <w:b/>
                <w:bCs/>
                <w:color w:val="CC0000"/>
                <w:sz w:val="20"/>
                <w:szCs w:val="20"/>
              </w:rPr>
              <w:t xml:space="preserve">-</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Case Management</w:t>
            </w:r>
          </w:p>
        </w:tc>
        <w:tc>
          <w:tcPr>
            <w:tcW w:type="dxa" w:w="1312"/>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libri" w:cs="Calibri" w:eastAsia="Calibri" w:hAnsi="Calibri"/>
                <w:b/>
                <w:bCs/>
                <w:color w:val="0E8C5F"/>
                <w:sz w:val="20"/>
                <w:szCs w:val="20"/>
              </w:rPr>
              <w:t xml:space="preserve">Y</w:t>
            </w:r>
          </w:p>
        </w:tc>
        <w:tc>
          <w:tcPr>
            <w:tcW w:type="dxa" w:w="1312"/>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libri" w:cs="Calibri" w:eastAsia="Calibri" w:hAnsi="Calibri"/>
                <w:b/>
                <w:bCs/>
                <w:color w:val="CC0000"/>
                <w:sz w:val="20"/>
                <w:szCs w:val="20"/>
              </w:rPr>
              <w:t xml:space="preserve">-</w:t>
            </w:r>
          </w:p>
        </w:tc>
        <w:tc>
          <w:tcPr>
            <w:tcW w:type="dxa" w:w="1312"/>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libri" w:cs="Calibri" w:eastAsia="Calibri" w:hAnsi="Calibri"/>
                <w:b/>
                <w:bCs/>
                <w:color w:val="0E8C5F"/>
                <w:sz w:val="20"/>
                <w:szCs w:val="20"/>
              </w:rPr>
              <w:t xml:space="preserve">Y</w:t>
            </w:r>
          </w:p>
        </w:tc>
        <w:tc>
          <w:tcPr>
            <w:tcW w:type="dxa" w:w="1312"/>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libri" w:cs="Calibri" w:eastAsia="Calibri" w:hAnsi="Calibri"/>
                <w:b/>
                <w:bCs/>
                <w:color w:val="0E8C5F"/>
                <w:sz w:val="20"/>
                <w:szCs w:val="20"/>
              </w:rPr>
              <w:t xml:space="preserve">Y</w:t>
            </w:r>
          </w:p>
        </w:tc>
        <w:tc>
          <w:tcPr>
            <w:tcW w:type="dxa" w:w="1312"/>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libri" w:cs="Calibri" w:eastAsia="Calibri" w:hAnsi="Calibri"/>
                <w:b/>
                <w:bCs/>
                <w:color w:val="CC0000"/>
                <w:sz w:val="20"/>
                <w:szCs w:val="20"/>
              </w:rPr>
              <w:t xml:space="preserve">-</w:t>
            </w:r>
          </w:p>
        </w:tc>
      </w:tr>
      <w:tr>
        <w:tc>
          <w:tcPr>
            <w:tcW w:type="dxa" w:w="28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Retrain Models</w:t>
            </w:r>
          </w:p>
        </w:tc>
        <w:tc>
          <w:tcPr>
            <w:tcW w:type="dxa" w:w="1312"/>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center"/>
            </w:pPr>
            <w:r>
              <w:rPr>
                <w:rFonts w:ascii="Calibri" w:cs="Calibri" w:eastAsia="Calibri" w:hAnsi="Calibri"/>
                <w:b/>
                <w:bCs/>
                <w:color w:val="0E8C5F"/>
                <w:sz w:val="20"/>
                <w:szCs w:val="20"/>
              </w:rPr>
              <w:t xml:space="preserve">Y</w:t>
            </w:r>
          </w:p>
        </w:tc>
        <w:tc>
          <w:tcPr>
            <w:tcW w:type="dxa" w:w="1312"/>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center"/>
            </w:pPr>
            <w:r>
              <w:rPr>
                <w:rFonts w:ascii="Calibri" w:cs="Calibri" w:eastAsia="Calibri" w:hAnsi="Calibri"/>
                <w:b/>
                <w:bCs/>
                <w:color w:val="CC0000"/>
                <w:sz w:val="20"/>
                <w:szCs w:val="20"/>
              </w:rPr>
              <w:t xml:space="preserve">-</w:t>
            </w:r>
          </w:p>
        </w:tc>
        <w:tc>
          <w:tcPr>
            <w:tcW w:type="dxa" w:w="1312"/>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center"/>
            </w:pPr>
            <w:r>
              <w:rPr>
                <w:rFonts w:ascii="Calibri" w:cs="Calibri" w:eastAsia="Calibri" w:hAnsi="Calibri"/>
                <w:b/>
                <w:bCs/>
                <w:color w:val="CC0000"/>
                <w:sz w:val="20"/>
                <w:szCs w:val="20"/>
              </w:rPr>
              <w:t xml:space="preserve">-</w:t>
            </w:r>
          </w:p>
        </w:tc>
        <w:tc>
          <w:tcPr>
            <w:tcW w:type="dxa" w:w="1312"/>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center"/>
            </w:pPr>
            <w:r>
              <w:rPr>
                <w:rFonts w:ascii="Calibri" w:cs="Calibri" w:eastAsia="Calibri" w:hAnsi="Calibri"/>
                <w:b/>
                <w:bCs/>
                <w:color w:val="CC0000"/>
                <w:sz w:val="20"/>
                <w:szCs w:val="20"/>
              </w:rPr>
              <w:t xml:space="preserve">-</w:t>
            </w:r>
          </w:p>
        </w:tc>
        <w:tc>
          <w:tcPr>
            <w:tcW w:type="dxa" w:w="1312"/>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center"/>
            </w:pPr>
            <w:r>
              <w:rPr>
                <w:rFonts w:ascii="Calibri" w:cs="Calibri" w:eastAsia="Calibri" w:hAnsi="Calibri"/>
                <w:b/>
                <w:bCs/>
                <w:color w:val="0E8C5F"/>
                <w:sz w:val="20"/>
                <w:szCs w:val="20"/>
              </w:rPr>
              <w:t xml:space="preserve">Y</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GDPR Erasure</w:t>
            </w:r>
          </w:p>
        </w:tc>
        <w:tc>
          <w:tcPr>
            <w:tcW w:type="dxa" w:w="1312"/>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libri" w:cs="Calibri" w:eastAsia="Calibri" w:hAnsi="Calibri"/>
                <w:b/>
                <w:bCs/>
                <w:color w:val="0E8C5F"/>
                <w:sz w:val="20"/>
                <w:szCs w:val="20"/>
              </w:rPr>
              <w:t xml:space="preserve">Y</w:t>
            </w:r>
          </w:p>
        </w:tc>
        <w:tc>
          <w:tcPr>
            <w:tcW w:type="dxa" w:w="1312"/>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libri" w:cs="Calibri" w:eastAsia="Calibri" w:hAnsi="Calibri"/>
                <w:b/>
                <w:bCs/>
                <w:color w:val="CC0000"/>
                <w:sz w:val="20"/>
                <w:szCs w:val="20"/>
              </w:rPr>
              <w:t xml:space="preserve">-</w:t>
            </w:r>
          </w:p>
        </w:tc>
        <w:tc>
          <w:tcPr>
            <w:tcW w:type="dxa" w:w="1312"/>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libri" w:cs="Calibri" w:eastAsia="Calibri" w:hAnsi="Calibri"/>
                <w:b/>
                <w:bCs/>
                <w:color w:val="CC0000"/>
                <w:sz w:val="20"/>
                <w:szCs w:val="20"/>
              </w:rPr>
              <w:t xml:space="preserve">-</w:t>
            </w:r>
          </w:p>
        </w:tc>
        <w:tc>
          <w:tcPr>
            <w:tcW w:type="dxa" w:w="1312"/>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libri" w:cs="Calibri" w:eastAsia="Calibri" w:hAnsi="Calibri"/>
                <w:b/>
                <w:bCs/>
                <w:color w:val="0E8C5F"/>
                <w:sz w:val="20"/>
                <w:szCs w:val="20"/>
              </w:rPr>
              <w:t xml:space="preserve">Y</w:t>
            </w:r>
          </w:p>
        </w:tc>
        <w:tc>
          <w:tcPr>
            <w:tcW w:type="dxa" w:w="1312"/>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libri" w:cs="Calibri" w:eastAsia="Calibri" w:hAnsi="Calibri"/>
                <w:b/>
                <w:bCs/>
                <w:color w:val="CC0000"/>
                <w:sz w:val="20"/>
                <w:szCs w:val="20"/>
              </w:rPr>
              <w:t xml:space="preserve">-</w:t>
            </w:r>
          </w:p>
        </w:tc>
      </w:tr>
      <w:tr>
        <w:tc>
          <w:tcPr>
            <w:tcW w:type="dxa" w:w="28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Sanctions Mgmt.</w:t>
            </w:r>
          </w:p>
        </w:tc>
        <w:tc>
          <w:tcPr>
            <w:tcW w:type="dxa" w:w="1312"/>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center"/>
            </w:pPr>
            <w:r>
              <w:rPr>
                <w:rFonts w:ascii="Calibri" w:cs="Calibri" w:eastAsia="Calibri" w:hAnsi="Calibri"/>
                <w:b/>
                <w:bCs/>
                <w:color w:val="0E8C5F"/>
                <w:sz w:val="20"/>
                <w:szCs w:val="20"/>
              </w:rPr>
              <w:t xml:space="preserve">Y</w:t>
            </w:r>
          </w:p>
        </w:tc>
        <w:tc>
          <w:tcPr>
            <w:tcW w:type="dxa" w:w="1312"/>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center"/>
            </w:pPr>
            <w:r>
              <w:rPr>
                <w:rFonts w:ascii="Calibri" w:cs="Calibri" w:eastAsia="Calibri" w:hAnsi="Calibri"/>
                <w:b/>
                <w:bCs/>
                <w:color w:val="CC0000"/>
                <w:sz w:val="20"/>
                <w:szCs w:val="20"/>
              </w:rPr>
              <w:t xml:space="preserve">-</w:t>
            </w:r>
          </w:p>
        </w:tc>
        <w:tc>
          <w:tcPr>
            <w:tcW w:type="dxa" w:w="1312"/>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center"/>
            </w:pPr>
            <w:r>
              <w:rPr>
                <w:rFonts w:ascii="Calibri" w:cs="Calibri" w:eastAsia="Calibri" w:hAnsi="Calibri"/>
                <w:b/>
                <w:bCs/>
                <w:color w:val="CC0000"/>
                <w:sz w:val="20"/>
                <w:szCs w:val="20"/>
              </w:rPr>
              <w:t xml:space="preserve">-</w:t>
            </w:r>
          </w:p>
        </w:tc>
        <w:tc>
          <w:tcPr>
            <w:tcW w:type="dxa" w:w="1312"/>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center"/>
            </w:pPr>
            <w:r>
              <w:rPr>
                <w:rFonts w:ascii="Calibri" w:cs="Calibri" w:eastAsia="Calibri" w:hAnsi="Calibri"/>
                <w:b/>
                <w:bCs/>
                <w:color w:val="0E8C5F"/>
                <w:sz w:val="20"/>
                <w:szCs w:val="20"/>
              </w:rPr>
              <w:t xml:space="preserve">Y</w:t>
            </w:r>
          </w:p>
        </w:tc>
        <w:tc>
          <w:tcPr>
            <w:tcW w:type="dxa" w:w="1312"/>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center"/>
            </w:pPr>
            <w:r>
              <w:rPr>
                <w:rFonts w:ascii="Calibri" w:cs="Calibri" w:eastAsia="Calibri" w:hAnsi="Calibri"/>
                <w:b/>
                <w:bCs/>
                <w:color w:val="CC0000"/>
                <w:sz w:val="20"/>
                <w:szCs w:val="20"/>
              </w:rPr>
              <w:t xml:space="preserve">-</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Audit Logs</w:t>
            </w:r>
          </w:p>
        </w:tc>
        <w:tc>
          <w:tcPr>
            <w:tcW w:type="dxa" w:w="1312"/>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libri" w:cs="Calibri" w:eastAsia="Calibri" w:hAnsi="Calibri"/>
                <w:b/>
                <w:bCs/>
                <w:color w:val="0E8C5F"/>
                <w:sz w:val="20"/>
                <w:szCs w:val="20"/>
              </w:rPr>
              <w:t xml:space="preserve">Y</w:t>
            </w:r>
          </w:p>
        </w:tc>
        <w:tc>
          <w:tcPr>
            <w:tcW w:type="dxa" w:w="1312"/>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libri" w:cs="Calibri" w:eastAsia="Calibri" w:hAnsi="Calibri"/>
                <w:b/>
                <w:bCs/>
                <w:color w:val="CC0000"/>
                <w:sz w:val="20"/>
                <w:szCs w:val="20"/>
              </w:rPr>
              <w:t xml:space="preserve">-</w:t>
            </w:r>
          </w:p>
        </w:tc>
        <w:tc>
          <w:tcPr>
            <w:tcW w:type="dxa" w:w="1312"/>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libri" w:cs="Calibri" w:eastAsia="Calibri" w:hAnsi="Calibri"/>
                <w:b/>
                <w:bCs/>
                <w:color w:val="0E8C5F"/>
                <w:sz w:val="20"/>
                <w:szCs w:val="20"/>
              </w:rPr>
              <w:t xml:space="preserve">Y</w:t>
            </w:r>
          </w:p>
        </w:tc>
        <w:tc>
          <w:tcPr>
            <w:tcW w:type="dxa" w:w="1312"/>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libri" w:cs="Calibri" w:eastAsia="Calibri" w:hAnsi="Calibri"/>
                <w:b/>
                <w:bCs/>
                <w:color w:val="0E8C5F"/>
                <w:sz w:val="20"/>
                <w:szCs w:val="20"/>
              </w:rPr>
              <w:t xml:space="preserve">Y</w:t>
            </w:r>
          </w:p>
        </w:tc>
        <w:tc>
          <w:tcPr>
            <w:tcW w:type="dxa" w:w="1312"/>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libri" w:cs="Calibri" w:eastAsia="Calibri" w:hAnsi="Calibri"/>
                <w:b/>
                <w:bCs/>
                <w:color w:val="CC0000"/>
                <w:sz w:val="20"/>
                <w:szCs w:val="20"/>
              </w:rPr>
              <w:t xml:space="preserve">-</w:t>
            </w:r>
          </w:p>
        </w:tc>
      </w:tr>
      <w:tr>
        <w:tc>
          <w:tcPr>
            <w:tcW w:type="dxa" w:w="28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FX Converter</w:t>
            </w:r>
          </w:p>
        </w:tc>
        <w:tc>
          <w:tcPr>
            <w:tcW w:type="dxa" w:w="1312"/>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center"/>
            </w:pPr>
            <w:r>
              <w:rPr>
                <w:rFonts w:ascii="Calibri" w:cs="Calibri" w:eastAsia="Calibri" w:hAnsi="Calibri"/>
                <w:b/>
                <w:bCs/>
                <w:color w:val="0E8C5F"/>
                <w:sz w:val="20"/>
                <w:szCs w:val="20"/>
              </w:rPr>
              <w:t xml:space="preserve">Y</w:t>
            </w:r>
          </w:p>
        </w:tc>
        <w:tc>
          <w:tcPr>
            <w:tcW w:type="dxa" w:w="1312"/>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center"/>
            </w:pPr>
            <w:r>
              <w:rPr>
                <w:rFonts w:ascii="Calibri" w:cs="Calibri" w:eastAsia="Calibri" w:hAnsi="Calibri"/>
                <w:b/>
                <w:bCs/>
                <w:color w:val="0E8C5F"/>
                <w:sz w:val="20"/>
                <w:szCs w:val="20"/>
              </w:rPr>
              <w:t xml:space="preserve">Y</w:t>
            </w:r>
          </w:p>
        </w:tc>
        <w:tc>
          <w:tcPr>
            <w:tcW w:type="dxa" w:w="1312"/>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center"/>
            </w:pPr>
            <w:r>
              <w:rPr>
                <w:rFonts w:ascii="Calibri" w:cs="Calibri" w:eastAsia="Calibri" w:hAnsi="Calibri"/>
                <w:b/>
                <w:bCs/>
                <w:color w:val="0E8C5F"/>
                <w:sz w:val="20"/>
                <w:szCs w:val="20"/>
              </w:rPr>
              <w:t xml:space="preserve">Y</w:t>
            </w:r>
          </w:p>
        </w:tc>
        <w:tc>
          <w:tcPr>
            <w:tcW w:type="dxa" w:w="1312"/>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center"/>
            </w:pPr>
            <w:r>
              <w:rPr>
                <w:rFonts w:ascii="Calibri" w:cs="Calibri" w:eastAsia="Calibri" w:hAnsi="Calibri"/>
                <w:b/>
                <w:bCs/>
                <w:color w:val="0E8C5F"/>
                <w:sz w:val="20"/>
                <w:szCs w:val="20"/>
              </w:rPr>
              <w:t xml:space="preserve">Y</w:t>
            </w:r>
          </w:p>
        </w:tc>
        <w:tc>
          <w:tcPr>
            <w:tcW w:type="dxa" w:w="1312"/>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center"/>
            </w:pPr>
            <w:r>
              <w:rPr>
                <w:rFonts w:ascii="Calibri" w:cs="Calibri" w:eastAsia="Calibri" w:hAnsi="Calibri"/>
                <w:b/>
                <w:bCs/>
                <w:color w:val="0E8C5F"/>
                <w:sz w:val="20"/>
                <w:szCs w:val="20"/>
              </w:rPr>
              <w:t xml:space="preserve">Y</w:t>
            </w:r>
          </w:p>
        </w:tc>
      </w:tr>
    </w:tbl>
    <w:p>
      <w:r>
        <w:br w:type="page"/>
      </w:r>
    </w:p>
    <w:p>
      <w:pPr>
        <w:pStyle w:val="Heading1"/>
        <w:spacing w:after="200" w:before="360"/>
      </w:pPr>
      <w:r>
        <w:rPr>
          <w:rFonts w:ascii="Calibri" w:cs="Calibri" w:eastAsia="Calibri" w:hAnsi="Calibri"/>
          <w:b/>
          <w:bCs/>
          <w:color w:val="1A5276"/>
          <w:sz w:val="32"/>
          <w:szCs w:val="32"/>
        </w:rPr>
        <w:t xml:space="preserve">6. API Reference</w:t>
      </w:r>
    </w:p>
    <w:p>
      <w:pPr>
        <w:spacing w:after="120"/>
        <w:jc w:val="both"/>
      </w:pPr>
      <w:r>
        <w:rPr>
          <w:rFonts w:ascii="Calibri" w:cs="Calibri" w:eastAsia="Calibri" w:hAnsi="Calibri"/>
          <w:color w:val="333333"/>
          <w:sz w:val="22"/>
          <w:szCs w:val="22"/>
        </w:rPr>
        <w:t xml:space="preserve">All API endpoints (except /api/login) require JWT authentication via the Authorization: Bearer &lt;token&gt; header. The API follows RESTful conventions with JSON request/response bodies.</w:t>
      </w:r>
    </w:p>
    <w:p>
      <w:pPr>
        <w:spacing w:after="80"/>
      </w:pPr>
    </w:p>
    <w:p>
      <w:pPr>
        <w:pStyle w:val="Heading2"/>
        <w:spacing w:after="160" w:before="280"/>
      </w:pPr>
      <w:r>
        <w:rPr>
          <w:rFonts w:ascii="Calibri" w:cs="Calibri" w:eastAsia="Calibri" w:hAnsi="Calibri"/>
          <w:b/>
          <w:bCs/>
          <w:color w:val="2C3E50"/>
          <w:sz w:val="26"/>
          <w:szCs w:val="26"/>
        </w:rPr>
        <w:t xml:space="preserve">6.1 Authentication &amp;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3500"/>
        <w:gridCol w:w="4860"/>
      </w:tblGrid>
      <w:tr>
        <w:tc>
          <w:tcPr>
            <w:tcW w:type="dxa" w:w="1000"/>
            <w:tcBorders>
              <w:top w:val="single" w:color="CCCCCC" w:sz="1"/>
              <w:left w:val="single" w:color="CCCCCC" w:sz="1"/>
              <w:bottom w:val="single" w:color="CCCCCC" w:sz="1"/>
              <w:right w:val="single" w:color="CCCCCC" w:sz="1"/>
            </w:tcBorders>
            <w:shd w:fill="1A5276"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Method</w:t>
            </w:r>
          </w:p>
        </w:tc>
        <w:tc>
          <w:tcPr>
            <w:tcW w:type="dxa" w:w="3500"/>
            <w:tcBorders>
              <w:top w:val="single" w:color="CCCCCC" w:sz="1"/>
              <w:left w:val="single" w:color="CCCCCC" w:sz="1"/>
              <w:bottom w:val="single" w:color="CCCCCC" w:sz="1"/>
              <w:right w:val="single" w:color="CCCCCC" w:sz="1"/>
            </w:tcBorders>
            <w:shd w:fill="1A5276"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Endpoint</w:t>
            </w:r>
          </w:p>
        </w:tc>
        <w:tc>
          <w:tcPr>
            <w:tcW w:type="dxa" w:w="4860"/>
            <w:tcBorders>
              <w:top w:val="single" w:color="CCCCCC" w:sz="1"/>
              <w:left w:val="single" w:color="CCCCCC" w:sz="1"/>
              <w:bottom w:val="single" w:color="CCCCCC" w:sz="1"/>
              <w:right w:val="single" w:color="CCCCCC" w:sz="1"/>
            </w:tcBorders>
            <w:shd w:fill="1A5276"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Description</w:t>
            </w:r>
          </w:p>
        </w:tc>
      </w:tr>
      <w:tr>
        <w:tc>
          <w:tcPr>
            <w:tcW w:type="dxa" w:w="10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POST</w:t>
            </w:r>
          </w:p>
        </w:tc>
        <w:tc>
          <w:tcPr>
            <w:tcW w:type="dxa" w:w="35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/api/login</w:t>
            </w:r>
          </w:p>
        </w:tc>
        <w:tc>
          <w:tcPr>
            <w:tcW w:type="dxa" w:w="486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Authenticate user and receive JWT token</w:t>
            </w:r>
          </w:p>
        </w:tc>
      </w:tr>
      <w:tr>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GET</w:t>
            </w:r>
          </w:p>
        </w:tc>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/api/accounts/me</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Current user account info and balance</w:t>
            </w:r>
          </w:p>
        </w:tc>
      </w:tr>
      <w:tr>
        <w:tc>
          <w:tcPr>
            <w:tcW w:type="dxa" w:w="10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GET</w:t>
            </w:r>
          </w:p>
        </w:tc>
        <w:tc>
          <w:tcPr>
            <w:tcW w:type="dxa" w:w="35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/api/accounts/beneficiaries</w:t>
            </w:r>
          </w:p>
        </w:tc>
        <w:tc>
          <w:tcPr>
            <w:tcW w:type="dxa" w:w="486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List available beneficiaries for payment</w:t>
            </w:r>
          </w:p>
        </w:tc>
      </w:tr>
    </w:tbl>
    <w:p>
      <w:pPr>
        <w:spacing w:after="80"/>
      </w:pPr>
    </w:p>
    <w:p>
      <w:pPr>
        <w:pStyle w:val="Heading2"/>
        <w:spacing w:after="160" w:before="280"/>
      </w:pPr>
      <w:r>
        <w:rPr>
          <w:rFonts w:ascii="Calibri" w:cs="Calibri" w:eastAsia="Calibri" w:hAnsi="Calibri"/>
          <w:b/>
          <w:bCs/>
          <w:color w:val="2C3E50"/>
          <w:sz w:val="26"/>
          <w:szCs w:val="26"/>
        </w:rPr>
        <w:t xml:space="preserve">6.2 Settlements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3000"/>
        <w:gridCol w:w="5360"/>
      </w:tblGrid>
      <w:tr>
        <w:tc>
          <w:tcPr>
            <w:tcW w:type="dxa" w:w="1000"/>
            <w:tcBorders>
              <w:top w:val="single" w:color="CCCCCC" w:sz="1"/>
              <w:left w:val="single" w:color="CCCCCC" w:sz="1"/>
              <w:bottom w:val="single" w:color="CCCCCC" w:sz="1"/>
              <w:right w:val="single" w:color="CCCCCC" w:sz="1"/>
            </w:tcBorders>
            <w:shd w:fill="1A5276"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Method</w:t>
            </w:r>
          </w:p>
        </w:tc>
        <w:tc>
          <w:tcPr>
            <w:tcW w:type="dxa" w:w="3000"/>
            <w:tcBorders>
              <w:top w:val="single" w:color="CCCCCC" w:sz="1"/>
              <w:left w:val="single" w:color="CCCCCC" w:sz="1"/>
              <w:bottom w:val="single" w:color="CCCCCC" w:sz="1"/>
              <w:right w:val="single" w:color="CCCCCC" w:sz="1"/>
            </w:tcBorders>
            <w:shd w:fill="1A5276"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Endpoint</w:t>
            </w:r>
          </w:p>
        </w:tc>
        <w:tc>
          <w:tcPr>
            <w:tcW w:type="dxa" w:w="5360"/>
            <w:tcBorders>
              <w:top w:val="single" w:color="CCCCCC" w:sz="1"/>
              <w:left w:val="single" w:color="CCCCCC" w:sz="1"/>
              <w:bottom w:val="single" w:color="CCCCCC" w:sz="1"/>
              <w:right w:val="single" w:color="CCCCCC" w:sz="1"/>
            </w:tcBorders>
            <w:shd w:fill="1A5276"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Description</w:t>
            </w:r>
          </w:p>
        </w:tc>
      </w:tr>
      <w:tr>
        <w:tc>
          <w:tcPr>
            <w:tcW w:type="dxa" w:w="10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POST</w:t>
            </w:r>
          </w:p>
        </w:tc>
        <w:tc>
          <w:tcPr>
            <w:tcW w:type="dxa" w:w="30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/api/settlement</w:t>
            </w:r>
          </w:p>
        </w:tc>
        <w:tc>
          <w:tcPr>
            <w:tcW w:type="dxa" w:w="536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Execute settlement. Returns risk_score, shap_values, status, tx_hash, settlement_time_ms</w:t>
            </w:r>
          </w:p>
        </w:tc>
      </w:tr>
      <w:tr>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GET</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/api/transactions</w:t>
            </w:r>
          </w:p>
        </w:tc>
        <w:tc>
          <w:tcPr>
            <w:tcW w:type="dxa" w:w="53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List transactions (paginated: ?page=1&amp;per_page=20)</w:t>
            </w:r>
          </w:p>
        </w:tc>
      </w:tr>
      <w:tr>
        <w:tc>
          <w:tcPr>
            <w:tcW w:type="dxa" w:w="10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GET</w:t>
            </w:r>
          </w:p>
        </w:tc>
        <w:tc>
          <w:tcPr>
            <w:tcW w:type="dxa" w:w="30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/api/dashboard</w:t>
            </w:r>
          </w:p>
        </w:tc>
        <w:tc>
          <w:tcPr>
            <w:tcW w:type="dxa" w:w="536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Real-time dashboard metrics and KPIs</w:t>
            </w:r>
          </w:p>
        </w:tc>
      </w:tr>
    </w:tbl>
    <w:p>
      <w:pPr>
        <w:spacing w:after="80"/>
      </w:pPr>
    </w:p>
    <w:p>
      <w:pPr>
        <w:pStyle w:val="Heading2"/>
        <w:spacing w:after="160" w:before="280"/>
      </w:pPr>
      <w:r>
        <w:rPr>
          <w:rFonts w:ascii="Calibri" w:cs="Calibri" w:eastAsia="Calibri" w:hAnsi="Calibri"/>
          <w:b/>
          <w:bCs/>
          <w:color w:val="2C3E50"/>
          <w:sz w:val="26"/>
          <w:szCs w:val="26"/>
        </w:rPr>
        <w:t xml:space="preserve">6.3 HITL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3000"/>
        <w:gridCol w:w="5360"/>
      </w:tblGrid>
      <w:tr>
        <w:tc>
          <w:tcPr>
            <w:tcW w:type="dxa" w:w="1000"/>
            <w:tcBorders>
              <w:top w:val="single" w:color="CCCCCC" w:sz="1"/>
              <w:left w:val="single" w:color="CCCCCC" w:sz="1"/>
              <w:bottom w:val="single" w:color="CCCCCC" w:sz="1"/>
              <w:right w:val="single" w:color="CCCCCC" w:sz="1"/>
            </w:tcBorders>
            <w:shd w:fill="1A5276"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Method</w:t>
            </w:r>
          </w:p>
        </w:tc>
        <w:tc>
          <w:tcPr>
            <w:tcW w:type="dxa" w:w="3000"/>
            <w:tcBorders>
              <w:top w:val="single" w:color="CCCCCC" w:sz="1"/>
              <w:left w:val="single" w:color="CCCCCC" w:sz="1"/>
              <w:bottom w:val="single" w:color="CCCCCC" w:sz="1"/>
              <w:right w:val="single" w:color="CCCCCC" w:sz="1"/>
            </w:tcBorders>
            <w:shd w:fill="1A5276"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Endpoint</w:t>
            </w:r>
          </w:p>
        </w:tc>
        <w:tc>
          <w:tcPr>
            <w:tcW w:type="dxa" w:w="5360"/>
            <w:tcBorders>
              <w:top w:val="single" w:color="CCCCCC" w:sz="1"/>
              <w:left w:val="single" w:color="CCCCCC" w:sz="1"/>
              <w:bottom w:val="single" w:color="CCCCCC" w:sz="1"/>
              <w:right w:val="single" w:color="CCCCCC" w:sz="1"/>
            </w:tcBorders>
            <w:shd w:fill="1A5276"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Description</w:t>
            </w:r>
          </w:p>
        </w:tc>
      </w:tr>
      <w:tr>
        <w:tc>
          <w:tcPr>
            <w:tcW w:type="dxa" w:w="10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GET</w:t>
            </w:r>
          </w:p>
        </w:tc>
        <w:tc>
          <w:tcPr>
            <w:tcW w:type="dxa" w:w="30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/api/hitl/queue</w:t>
            </w:r>
          </w:p>
        </w:tc>
        <w:tc>
          <w:tcPr>
            <w:tcW w:type="dxa" w:w="536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List HITL items with four_eyes_status, first_approver, second_approver</w:t>
            </w:r>
          </w:p>
        </w:tc>
      </w:tr>
      <w:tr>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POST</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/api/hitl/approve/&lt;id&gt;</w:t>
            </w:r>
          </w:p>
        </w:tc>
        <w:tc>
          <w:tcPr>
            <w:tcW w:type="dxa" w:w="53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Approve blocked transaction (four-eyes enforced for &gt;= $100K)</w:t>
            </w:r>
          </w:p>
        </w:tc>
      </w:tr>
      <w:tr>
        <w:tc>
          <w:tcPr>
            <w:tcW w:type="dxa" w:w="10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POST</w:t>
            </w:r>
          </w:p>
        </w:tc>
        <w:tc>
          <w:tcPr>
            <w:tcW w:type="dxa" w:w="30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/api/hitl/reject/&lt;id&gt;</w:t>
            </w:r>
          </w:p>
        </w:tc>
        <w:tc>
          <w:tcPr>
            <w:tcW w:type="dxa" w:w="536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Reject a blocked transaction</w:t>
            </w:r>
          </w:p>
        </w:tc>
      </w:tr>
    </w:tbl>
    <w:p>
      <w:pPr>
        <w:spacing w:after="80"/>
      </w:pPr>
    </w:p>
    <w:p>
      <w:pPr>
        <w:pStyle w:val="Heading2"/>
        <w:spacing w:after="160" w:before="280"/>
      </w:pPr>
      <w:r>
        <w:rPr>
          <w:rFonts w:ascii="Calibri" w:cs="Calibri" w:eastAsia="Calibri" w:hAnsi="Calibri"/>
          <w:b/>
          <w:bCs/>
          <w:color w:val="2C3E50"/>
          <w:sz w:val="26"/>
          <w:szCs w:val="26"/>
        </w:rPr>
        <w:t xml:space="preserve">6.4 Compliance &amp; Case Management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3800"/>
        <w:gridCol w:w="4560"/>
      </w:tblGrid>
      <w:tr>
        <w:tc>
          <w:tcPr>
            <w:tcW w:type="dxa" w:w="1000"/>
            <w:tcBorders>
              <w:top w:val="single" w:color="CCCCCC" w:sz="1"/>
              <w:left w:val="single" w:color="CCCCCC" w:sz="1"/>
              <w:bottom w:val="single" w:color="CCCCCC" w:sz="1"/>
              <w:right w:val="single" w:color="CCCCCC" w:sz="1"/>
            </w:tcBorders>
            <w:shd w:fill="1A5276"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Method</w:t>
            </w:r>
          </w:p>
        </w:tc>
        <w:tc>
          <w:tcPr>
            <w:tcW w:type="dxa" w:w="3800"/>
            <w:tcBorders>
              <w:top w:val="single" w:color="CCCCCC" w:sz="1"/>
              <w:left w:val="single" w:color="CCCCCC" w:sz="1"/>
              <w:bottom w:val="single" w:color="CCCCCC" w:sz="1"/>
              <w:right w:val="single" w:color="CCCCCC" w:sz="1"/>
            </w:tcBorders>
            <w:shd w:fill="1A5276"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Endpoint</w:t>
            </w:r>
          </w:p>
        </w:tc>
        <w:tc>
          <w:tcPr>
            <w:tcW w:type="dxa" w:w="4560"/>
            <w:tcBorders>
              <w:top w:val="single" w:color="CCCCCC" w:sz="1"/>
              <w:left w:val="single" w:color="CCCCCC" w:sz="1"/>
              <w:bottom w:val="single" w:color="CCCCCC" w:sz="1"/>
              <w:right w:val="single" w:color="CCCCCC" w:sz="1"/>
            </w:tcBorders>
            <w:shd w:fill="1A5276"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Description</w:t>
            </w:r>
          </w:p>
        </w:tc>
      </w:tr>
      <w:tr>
        <w:tc>
          <w:tcPr>
            <w:tcW w:type="dxa" w:w="10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GET</w:t>
            </w:r>
          </w:p>
        </w:tc>
        <w:tc>
          <w:tcPr>
            <w:tcW w:type="dxa" w:w="38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/api/compliance/cases</w:t>
            </w:r>
          </w:p>
        </w:tc>
        <w:tc>
          <w:tcPr>
            <w:tcW w:type="dxa" w:w="456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List cases (filterable by status, severity, type)</w:t>
            </w:r>
          </w:p>
        </w:tc>
      </w:tr>
      <w:tr>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GET</w:t>
            </w:r>
          </w:p>
        </w:tc>
        <w:tc>
          <w:tcPr>
            <w:tcW w:type="dxa" w:w="3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/api/compliance/cases/&lt;id&gt;</w:t>
            </w:r>
          </w:p>
        </w:tc>
        <w:tc>
          <w:tcPr>
            <w:tcW w:type="dxa" w:w="45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Get detailed case information with SLA status</w:t>
            </w:r>
          </w:p>
        </w:tc>
      </w:tr>
      <w:tr>
        <w:tc>
          <w:tcPr>
            <w:tcW w:type="dxa" w:w="10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POST</w:t>
            </w:r>
          </w:p>
        </w:tc>
        <w:tc>
          <w:tcPr>
            <w:tcW w:type="dxa" w:w="38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/api/compliance/cases</w:t>
            </w:r>
          </w:p>
        </w:tc>
        <w:tc>
          <w:tcPr>
            <w:tcW w:type="dxa" w:w="456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Create new compliance case manually</w:t>
            </w:r>
          </w:p>
        </w:tc>
      </w:tr>
      <w:tr>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PUT</w:t>
            </w:r>
          </w:p>
        </w:tc>
        <w:tc>
          <w:tcPr>
            <w:tcW w:type="dxa" w:w="3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/api/compliance/cases/&lt;id&gt;</w:t>
            </w:r>
          </w:p>
        </w:tc>
        <w:tc>
          <w:tcPr>
            <w:tcW w:type="dxa" w:w="45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Update case (status, findings, assignment)</w:t>
            </w:r>
          </w:p>
        </w:tc>
      </w:tr>
      <w:tr>
        <w:tc>
          <w:tcPr>
            <w:tcW w:type="dxa" w:w="10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POST</w:t>
            </w:r>
          </w:p>
        </w:tc>
        <w:tc>
          <w:tcPr>
            <w:tcW w:type="dxa" w:w="38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/api/compliance/cases/&lt;id&gt;/escalate</w:t>
            </w:r>
          </w:p>
        </w:tc>
        <w:tc>
          <w:tcPr>
            <w:tcW w:type="dxa" w:w="456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Escalate case to senior compliance</w:t>
            </w:r>
          </w:p>
        </w:tc>
      </w:tr>
      <w:tr>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POST</w:t>
            </w:r>
          </w:p>
        </w:tc>
        <w:tc>
          <w:tcPr>
            <w:tcW w:type="dxa" w:w="3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/api/compliance/cases/&lt;id&gt;/file-sar</w:t>
            </w:r>
          </w:p>
        </w:tc>
        <w:tc>
          <w:tcPr>
            <w:tcW w:type="dxa" w:w="45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File Suspicious Activity Report</w:t>
            </w:r>
          </w:p>
        </w:tc>
      </w:tr>
      <w:tr>
        <w:tc>
          <w:tcPr>
            <w:tcW w:type="dxa" w:w="10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GET</w:t>
            </w:r>
          </w:p>
        </w:tc>
        <w:tc>
          <w:tcPr>
            <w:tcW w:type="dxa" w:w="38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/api/compliance/sanctions</w:t>
            </w:r>
          </w:p>
        </w:tc>
        <w:tc>
          <w:tcPr>
            <w:tcW w:type="dxa" w:w="456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List sanctions database entries</w:t>
            </w:r>
          </w:p>
        </w:tc>
      </w:tr>
      <w:tr>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POST</w:t>
            </w:r>
          </w:p>
        </w:tc>
        <w:tc>
          <w:tcPr>
            <w:tcW w:type="dxa" w:w="3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/api/compliance/sanctions</w:t>
            </w:r>
          </w:p>
        </w:tc>
        <w:tc>
          <w:tcPr>
            <w:tcW w:type="dxa" w:w="45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Add entity to sanctions list</w:t>
            </w:r>
          </w:p>
        </w:tc>
      </w:tr>
      <w:tr>
        <w:tc>
          <w:tcPr>
            <w:tcW w:type="dxa" w:w="10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GET</w:t>
            </w:r>
          </w:p>
        </w:tc>
        <w:tc>
          <w:tcPr>
            <w:tcW w:type="dxa" w:w="38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/api/compliance/swift-gpi/&lt;uetr&gt;</w:t>
            </w:r>
          </w:p>
        </w:tc>
        <w:tc>
          <w:tcPr>
            <w:tcW w:type="dxa" w:w="456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Track SWIFT payment by UETR</w:t>
            </w:r>
          </w:p>
        </w:tc>
      </w:tr>
    </w:tbl>
    <w:p>
      <w:pPr>
        <w:spacing w:after="80"/>
      </w:pPr>
    </w:p>
    <w:p>
      <w:pPr>
        <w:pStyle w:val="Heading2"/>
        <w:spacing w:after="160" w:before="280"/>
      </w:pPr>
      <w:r>
        <w:rPr>
          <w:rFonts w:ascii="Calibri" w:cs="Calibri" w:eastAsia="Calibri" w:hAnsi="Calibri"/>
          <w:b/>
          <w:bCs/>
          <w:color w:val="2C3E50"/>
          <w:sz w:val="26"/>
          <w:szCs w:val="26"/>
        </w:rPr>
        <w:t xml:space="preserve">6.5 AI/ML, FX &amp;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3000"/>
        <w:gridCol w:w="5360"/>
      </w:tblGrid>
      <w:tr>
        <w:tc>
          <w:tcPr>
            <w:tcW w:type="dxa" w:w="1000"/>
            <w:tcBorders>
              <w:top w:val="single" w:color="CCCCCC" w:sz="1"/>
              <w:left w:val="single" w:color="CCCCCC" w:sz="1"/>
              <w:bottom w:val="single" w:color="CCCCCC" w:sz="1"/>
              <w:right w:val="single" w:color="CCCCCC" w:sz="1"/>
            </w:tcBorders>
            <w:shd w:fill="1A5276"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Method</w:t>
            </w:r>
          </w:p>
        </w:tc>
        <w:tc>
          <w:tcPr>
            <w:tcW w:type="dxa" w:w="3000"/>
            <w:tcBorders>
              <w:top w:val="single" w:color="CCCCCC" w:sz="1"/>
              <w:left w:val="single" w:color="CCCCCC" w:sz="1"/>
              <w:bottom w:val="single" w:color="CCCCCC" w:sz="1"/>
              <w:right w:val="single" w:color="CCCCCC" w:sz="1"/>
            </w:tcBorders>
            <w:shd w:fill="1A5276"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Endpoint</w:t>
            </w:r>
          </w:p>
        </w:tc>
        <w:tc>
          <w:tcPr>
            <w:tcW w:type="dxa" w:w="5360"/>
            <w:tcBorders>
              <w:top w:val="single" w:color="CCCCCC" w:sz="1"/>
              <w:left w:val="single" w:color="CCCCCC" w:sz="1"/>
              <w:bottom w:val="single" w:color="CCCCCC" w:sz="1"/>
              <w:right w:val="single" w:color="CCCCCC" w:sz="1"/>
            </w:tcBorders>
            <w:shd w:fill="1A5276"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Description</w:t>
            </w:r>
          </w:p>
        </w:tc>
      </w:tr>
      <w:tr>
        <w:tc>
          <w:tcPr>
            <w:tcW w:type="dxa" w:w="10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GET</w:t>
            </w:r>
          </w:p>
        </w:tc>
        <w:tc>
          <w:tcPr>
            <w:tcW w:type="dxa" w:w="30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/api/models/metrics</w:t>
            </w:r>
          </w:p>
        </w:tc>
        <w:tc>
          <w:tcPr>
            <w:tcW w:type="dxa" w:w="536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ML model performance metrics for all 5 models</w:t>
            </w:r>
          </w:p>
        </w:tc>
      </w:tr>
      <w:tr>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POST</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/api/models/retrain</w:t>
            </w:r>
          </w:p>
        </w:tc>
        <w:tc>
          <w:tcPr>
            <w:tcW w:type="dxa" w:w="53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Trigger model retraining (admin/datascientist)</w:t>
            </w:r>
          </w:p>
        </w:tc>
      </w:tr>
      <w:tr>
        <w:tc>
          <w:tcPr>
            <w:tcW w:type="dxa" w:w="10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GET</w:t>
            </w:r>
          </w:p>
        </w:tc>
        <w:tc>
          <w:tcPr>
            <w:tcW w:type="dxa" w:w="30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/api/network/graph</w:t>
            </w:r>
          </w:p>
        </w:tc>
        <w:tc>
          <w:tcPr>
            <w:tcW w:type="dxa" w:w="536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Transaction network graph data for D3.js</w:t>
            </w:r>
          </w:p>
        </w:tc>
      </w:tr>
      <w:tr>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GET</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/api/shap/test</w:t>
            </w:r>
          </w:p>
        </w:tc>
        <w:tc>
          <w:tcPr>
            <w:tcW w:type="dxa" w:w="53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Debug: test SHAP computation directly</w:t>
            </w:r>
          </w:p>
        </w:tc>
      </w:tr>
      <w:tr>
        <w:tc>
          <w:tcPr>
            <w:tcW w:type="dxa" w:w="10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GET</w:t>
            </w:r>
          </w:p>
        </w:tc>
        <w:tc>
          <w:tcPr>
            <w:tcW w:type="dxa" w:w="30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/api/fx/rates</w:t>
            </w:r>
          </w:p>
        </w:tc>
        <w:tc>
          <w:tcPr>
            <w:tcW w:type="dxa" w:w="536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Live FX rates for all 13 currencies</w:t>
            </w:r>
          </w:p>
        </w:tc>
      </w:tr>
      <w:tr>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GET</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/api/health</w:t>
            </w:r>
          </w:p>
        </w:tc>
        <w:tc>
          <w:tcPr>
            <w:tcW w:type="dxa" w:w="53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System health status (API, Ganache, ML, DB)</w:t>
            </w:r>
          </w:p>
        </w:tc>
      </w:tr>
      <w:tr>
        <w:tc>
          <w:tcPr>
            <w:tcW w:type="dxa" w:w="10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GET</w:t>
            </w:r>
          </w:p>
        </w:tc>
        <w:tc>
          <w:tcPr>
            <w:tcW w:type="dxa" w:w="30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/api/audit/log</w:t>
            </w:r>
          </w:p>
        </w:tc>
        <w:tc>
          <w:tcPr>
            <w:tcW w:type="dxa" w:w="536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Audit trail entries</w:t>
            </w:r>
          </w:p>
        </w:tc>
      </w:tr>
      <w:tr>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POST</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/api/gdpr/erasure</w:t>
            </w:r>
          </w:p>
        </w:tc>
        <w:tc>
          <w:tcPr>
            <w:tcW w:type="dxa" w:w="53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GDPR right to erasure</w:t>
            </w:r>
          </w:p>
        </w:tc>
      </w:tr>
      <w:tr>
        <w:tc>
          <w:tcPr>
            <w:tcW w:type="dxa" w:w="10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GET</w:t>
            </w:r>
          </w:p>
        </w:tc>
        <w:tc>
          <w:tcPr>
            <w:tcW w:type="dxa" w:w="30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/api/stream</w:t>
            </w:r>
          </w:p>
        </w:tc>
        <w:tc>
          <w:tcPr>
            <w:tcW w:type="dxa" w:w="536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SSE real-time event stream</w:t>
            </w:r>
          </w:p>
        </w:tc>
      </w:tr>
    </w:tbl>
    <w:p>
      <w:r>
        <w:br w:type="page"/>
      </w:r>
    </w:p>
    <w:p>
      <w:pPr>
        <w:pStyle w:val="Heading1"/>
        <w:spacing w:after="200" w:before="360"/>
      </w:pPr>
      <w:r>
        <w:rPr>
          <w:rFonts w:ascii="Calibri" w:cs="Calibri" w:eastAsia="Calibri" w:hAnsi="Calibri"/>
          <w:b/>
          <w:bCs/>
          <w:color w:val="1A5276"/>
          <w:sz w:val="32"/>
          <w:szCs w:val="32"/>
        </w:rPr>
        <w:t xml:space="preserve">7. Deployment Guide</w:t>
      </w:r>
    </w:p>
    <w:p>
      <w:pPr>
        <w:pStyle w:val="Heading2"/>
        <w:spacing w:after="160" w:before="280"/>
      </w:pPr>
      <w:r>
        <w:rPr>
          <w:rFonts w:ascii="Calibri" w:cs="Calibri" w:eastAsia="Calibri" w:hAnsi="Calibri"/>
          <w:b/>
          <w:bCs/>
          <w:color w:val="2C3E50"/>
          <w:sz w:val="26"/>
          <w:szCs w:val="26"/>
        </w:rPr>
        <w:t xml:space="preserve">7.1 Local macOS Deployment</w:t>
      </w:r>
    </w:p>
    <w:p>
      <w:pPr>
        <w:spacing w:after="120"/>
        <w:jc w:val="both"/>
      </w:pPr>
      <w:r>
        <w:rPr>
          <w:rFonts w:ascii="Calibri" w:cs="Calibri" w:eastAsia="Calibri" w:hAnsi="Calibri"/>
          <w:color w:val="333333"/>
          <w:sz w:val="22"/>
          <w:szCs w:val="22"/>
        </w:rPr>
        <w:t xml:space="preserve">IPTS supports native local deployment on macOS. The run_local.sh script automates the entire setup:</w:t>
      </w:r>
    </w:p>
    <w:p>
      <w:pPr>
        <w:spacing w:after="80"/>
      </w:pPr>
    </w:p>
    <w:p>
      <w:pPr>
        <w:spacing w:after="120"/>
        <w:jc w:val="both"/>
      </w:pPr>
      <w:r>
        <w:rPr>
          <w:rFonts w:ascii="Calibri" w:cs="Calibri" w:eastAsia="Calibri" w:hAnsi="Calibri"/>
          <w:b/>
          <w:bCs/>
          <w:color w:val="2C3E50"/>
          <w:sz w:val="22"/>
          <w:szCs w:val="22"/>
        </w:rPr>
        <w:t xml:space="preserve">Step 1: </w:t>
      </w:r>
      <w:r>
        <w:rPr>
          <w:rFonts w:ascii="Calibri" w:cs="Calibri" w:eastAsia="Calibri" w:hAnsi="Calibri"/>
          <w:color w:val="333333"/>
          <w:sz w:val="22"/>
          <w:szCs w:val="22"/>
        </w:rPr>
        <w:t xml:space="preserve">Ensure Python 3.12 and Node.js 18+ are installed.</w:t>
      </w:r>
    </w:p>
    <w:p>
      <w:pPr>
        <w:spacing w:after="120"/>
        <w:jc w:val="both"/>
      </w:pPr>
      <w:r>
        <w:rPr>
          <w:rFonts w:ascii="Calibri" w:cs="Calibri" w:eastAsia="Calibri" w:hAnsi="Calibri"/>
          <w:b/>
          <w:bCs/>
          <w:color w:val="2C3E50"/>
          <w:sz w:val="22"/>
          <w:szCs w:val="22"/>
        </w:rPr>
        <w:t xml:space="preserve">Step 2: </w:t>
      </w:r>
      <w:r>
        <w:rPr>
          <w:rFonts w:ascii="Calibri" w:cs="Calibri" w:eastAsia="Calibri" w:hAnsi="Calibri"/>
          <w:color w:val="333333"/>
          <w:sz w:val="22"/>
          <w:szCs w:val="22"/>
        </w:rPr>
        <w:t xml:space="preserve">Navigate to the IPTS project directory.</w:t>
      </w:r>
    </w:p>
    <w:p>
      <w:pPr>
        <w:spacing w:after="120"/>
        <w:jc w:val="both"/>
      </w:pPr>
      <w:r>
        <w:rPr>
          <w:rFonts w:ascii="Calibri" w:cs="Calibri" w:eastAsia="Calibri" w:hAnsi="Calibri"/>
          <w:b/>
          <w:bCs/>
          <w:color w:val="2C3E50"/>
          <w:sz w:val="22"/>
          <w:szCs w:val="22"/>
        </w:rPr>
        <w:t xml:space="preserve">Step 3: </w:t>
      </w:r>
      <w:r>
        <w:rPr>
          <w:rFonts w:ascii="Calibri" w:cs="Calibri" w:eastAsia="Calibri" w:hAnsi="Calibri"/>
          <w:color w:val="333333"/>
          <w:sz w:val="22"/>
          <w:szCs w:val="22"/>
        </w:rPr>
        <w:t xml:space="preserve">Run: bash run_local.sh</w:t>
      </w:r>
    </w:p>
    <w:p>
      <w:pPr>
        <w:spacing w:after="120"/>
        <w:jc w:val="both"/>
      </w:pPr>
      <w:r>
        <w:rPr>
          <w:rFonts w:ascii="Calibri" w:cs="Calibri" w:eastAsia="Calibri" w:hAnsi="Calibri"/>
          <w:b/>
          <w:bCs/>
          <w:color w:val="2C3E50"/>
          <w:sz w:val="22"/>
          <w:szCs w:val="22"/>
        </w:rPr>
        <w:t xml:space="preserve">Step 4: </w:t>
      </w:r>
      <w:r>
        <w:rPr>
          <w:rFonts w:ascii="Calibri" w:cs="Calibri" w:eastAsia="Calibri" w:hAnsi="Calibri"/>
          <w:color w:val="333333"/>
          <w:sz w:val="22"/>
          <w:szCs w:val="22"/>
        </w:rPr>
        <w:t xml:space="preserve">Access the system at http://127.0.0.1:5001</w:t>
      </w:r>
    </w:p>
    <w:p>
      <w:pPr>
        <w:spacing w:after="80"/>
      </w:pPr>
    </w:p>
    <w:p>
      <w:pPr>
        <w:spacing w:after="120"/>
        <w:jc w:val="both"/>
      </w:pPr>
      <w:r>
        <w:rPr>
          <w:rFonts w:ascii="Calibri" w:cs="Calibri" w:eastAsia="Calibri" w:hAnsi="Calibri"/>
          <w:color w:val="333333"/>
          <w:sz w:val="22"/>
          <w:szCs w:val="22"/>
        </w:rPr>
        <w:t xml:space="preserve">The script creates a Python virtual environment, installs all dependencies, patches the Colab deployment script for local execution (replacing /content paths with local runtime paths and changing port 5000 to 5001 to avoid macOS AirPlay conflicts), installs Ganache, and launches the full IPTS stack.</w:t>
      </w:r>
    </w:p>
    <w:p>
      <w:pPr>
        <w:spacing w:after="80"/>
      </w:pPr>
    </w:p>
    <w:p>
      <w:pPr>
        <w:pStyle w:val="Heading2"/>
        <w:spacing w:after="160" w:before="280"/>
      </w:pPr>
      <w:r>
        <w:rPr>
          <w:rFonts w:ascii="Calibri" w:cs="Calibri" w:eastAsia="Calibri" w:hAnsi="Calibri"/>
          <w:b/>
          <w:bCs/>
          <w:color w:val="2C3E50"/>
          <w:sz w:val="26"/>
          <w:szCs w:val="26"/>
        </w:rPr>
        <w:t xml:space="preserve">7.2 Google Colab Deployment</w:t>
      </w:r>
    </w:p>
    <w:p>
      <w:pPr>
        <w:spacing w:after="120"/>
        <w:jc w:val="both"/>
      </w:pPr>
      <w:r>
        <w:rPr>
          <w:rFonts w:ascii="Calibri" w:cs="Calibri" w:eastAsia="Calibri" w:hAnsi="Calibri"/>
          <w:color w:val="333333"/>
          <w:sz w:val="22"/>
          <w:szCs w:val="22"/>
        </w:rPr>
        <w:t xml:space="preserve">For cloud-based demonstrations, IPTS runs on Google Colab:</w:t>
      </w:r>
    </w:p>
    <w:p>
      <w:pPr>
        <w:spacing w:after="120"/>
        <w:jc w:val="both"/>
      </w:pPr>
      <w:r>
        <w:rPr>
          <w:rFonts w:ascii="Calibri" w:cs="Calibri" w:eastAsia="Calibri" w:hAnsi="Calibri"/>
          <w:b/>
          <w:bCs/>
          <w:color w:val="2C3E50"/>
          <w:sz w:val="22"/>
          <w:szCs w:val="22"/>
        </w:rPr>
        <w:t xml:space="preserve">Step 1: </w:t>
      </w:r>
      <w:r>
        <w:rPr>
          <w:rFonts w:ascii="Calibri" w:cs="Calibri" w:eastAsia="Calibri" w:hAnsi="Calibri"/>
          <w:color w:val="333333"/>
          <w:sz w:val="22"/>
          <w:szCs w:val="22"/>
        </w:rPr>
        <w:t xml:space="preserve">Open Google Colab and create a new notebook.</w:t>
      </w:r>
    </w:p>
    <w:p>
      <w:pPr>
        <w:spacing w:after="120"/>
        <w:jc w:val="both"/>
      </w:pPr>
      <w:r>
        <w:rPr>
          <w:rFonts w:ascii="Calibri" w:cs="Calibri" w:eastAsia="Calibri" w:hAnsi="Calibri"/>
          <w:b/>
          <w:bCs/>
          <w:color w:val="2C3E50"/>
          <w:sz w:val="22"/>
          <w:szCs w:val="22"/>
        </w:rPr>
        <w:t xml:space="preserve">Step 2: </w:t>
      </w:r>
      <w:r>
        <w:rPr>
          <w:rFonts w:ascii="Calibri" w:cs="Calibri" w:eastAsia="Calibri" w:hAnsi="Calibri"/>
          <w:color w:val="333333"/>
          <w:sz w:val="22"/>
          <w:szCs w:val="22"/>
        </w:rPr>
        <w:t xml:space="preserve">Upload ipts_colab_deploy.py and ipts_frontend.html.</w:t>
      </w:r>
    </w:p>
    <w:p>
      <w:pPr>
        <w:spacing w:after="120"/>
        <w:jc w:val="both"/>
      </w:pPr>
      <w:r>
        <w:rPr>
          <w:rFonts w:ascii="Calibri" w:cs="Calibri" w:eastAsia="Calibri" w:hAnsi="Calibri"/>
          <w:b/>
          <w:bCs/>
          <w:color w:val="2C3E50"/>
          <w:sz w:val="22"/>
          <w:szCs w:val="22"/>
        </w:rPr>
        <w:t xml:space="preserve">Step 3: </w:t>
      </w:r>
      <w:r>
        <w:rPr>
          <w:rFonts w:ascii="Calibri" w:cs="Calibri" w:eastAsia="Calibri" w:hAnsi="Calibri"/>
          <w:color w:val="333333"/>
          <w:sz w:val="22"/>
          <w:szCs w:val="22"/>
        </w:rPr>
        <w:t xml:space="preserve">Install Node.js 18+ via the NodeSource setup script.</w:t>
      </w:r>
    </w:p>
    <w:p>
      <w:pPr>
        <w:spacing w:after="120"/>
        <w:jc w:val="both"/>
      </w:pPr>
      <w:r>
        <w:rPr>
          <w:rFonts w:ascii="Calibri" w:cs="Calibri" w:eastAsia="Calibri" w:hAnsi="Calibri"/>
          <w:b/>
          <w:bCs/>
          <w:color w:val="2C3E50"/>
          <w:sz w:val="22"/>
          <w:szCs w:val="22"/>
        </w:rPr>
        <w:t xml:space="preserve">Step 4: </w:t>
      </w:r>
      <w:r>
        <w:rPr>
          <w:rFonts w:ascii="Calibri" w:cs="Calibri" w:eastAsia="Calibri" w:hAnsi="Calibri"/>
          <w:color w:val="333333"/>
          <w:sz w:val="22"/>
          <w:szCs w:val="22"/>
        </w:rPr>
        <w:t xml:space="preserve">Run: python ipts_colab_deploy.py</w:t>
      </w:r>
    </w:p>
    <w:p>
      <w:pPr>
        <w:spacing w:after="120"/>
        <w:jc w:val="both"/>
      </w:pPr>
      <w:r>
        <w:rPr>
          <w:rFonts w:ascii="Calibri" w:cs="Calibri" w:eastAsia="Calibri" w:hAnsi="Calibri"/>
          <w:b/>
          <w:bCs/>
          <w:color w:val="2C3E50"/>
          <w:sz w:val="22"/>
          <w:szCs w:val="22"/>
        </w:rPr>
        <w:t xml:space="preserve">Step 5: </w:t>
      </w:r>
      <w:r>
        <w:rPr>
          <w:rFonts w:ascii="Calibri" w:cs="Calibri" w:eastAsia="Calibri" w:hAnsi="Calibri"/>
          <w:color w:val="333333"/>
          <w:sz w:val="22"/>
          <w:szCs w:val="22"/>
        </w:rPr>
        <w:t xml:space="preserve">Access via the Localtunnel URL printed in the output.</w:t>
      </w:r>
    </w:p>
    <w:p>
      <w:pPr>
        <w:spacing w:after="80"/>
      </w:pPr>
    </w:p>
    <w:p>
      <w:pPr>
        <w:pStyle w:val="Heading2"/>
        <w:spacing w:after="160" w:before="280"/>
      </w:pPr>
      <w:r>
        <w:rPr>
          <w:rFonts w:ascii="Calibri" w:cs="Calibri" w:eastAsia="Calibri" w:hAnsi="Calibri"/>
          <w:b/>
          <w:bCs/>
          <w:color w:val="2C3E50"/>
          <w:sz w:val="26"/>
          <w:szCs w:val="26"/>
        </w:rPr>
        <w:t xml:space="preserve">7.3 Deployment Phases</w:t>
      </w:r>
    </w:p>
    <w:p>
      <w:pPr>
        <w:spacing w:after="120"/>
        <w:jc w:val="both"/>
      </w:pPr>
      <w:r>
        <w:rPr>
          <w:rFonts w:ascii="Calibri" w:cs="Calibri" w:eastAsia="Calibri" w:hAnsi="Calibri"/>
          <w:color w:val="333333"/>
          <w:sz w:val="22"/>
          <w:szCs w:val="22"/>
        </w:rPr>
        <w:t xml:space="preserve">The deployment script executes 8 sequential phases: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500"/>
        <w:gridCol w:w="1200"/>
        <w:gridCol w:w="3460"/>
      </w:tblGrid>
      <w:tr>
        <w:tc>
          <w:tcPr>
            <w:tcW w:type="dxa" w:w="1200"/>
            <w:tcBorders>
              <w:top w:val="single" w:color="CCCCCC" w:sz="1"/>
              <w:left w:val="single" w:color="CCCCCC" w:sz="1"/>
              <w:bottom w:val="single" w:color="CCCCCC" w:sz="1"/>
              <w:right w:val="single" w:color="CCCCCC" w:sz="1"/>
            </w:tcBorders>
            <w:shd w:fill="1A5276"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Phase</w:t>
            </w:r>
          </w:p>
        </w:tc>
        <w:tc>
          <w:tcPr>
            <w:tcW w:type="dxa" w:w="3500"/>
            <w:tcBorders>
              <w:top w:val="single" w:color="CCCCCC" w:sz="1"/>
              <w:left w:val="single" w:color="CCCCCC" w:sz="1"/>
              <w:bottom w:val="single" w:color="CCCCCC" w:sz="1"/>
              <w:right w:val="single" w:color="CCCCCC" w:sz="1"/>
            </w:tcBorders>
            <w:shd w:fill="1A5276"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Description</w:t>
            </w:r>
          </w:p>
        </w:tc>
        <w:tc>
          <w:tcPr>
            <w:tcW w:type="dxa" w:w="1200"/>
            <w:tcBorders>
              <w:top w:val="single" w:color="CCCCCC" w:sz="1"/>
              <w:left w:val="single" w:color="CCCCCC" w:sz="1"/>
              <w:bottom w:val="single" w:color="CCCCCC" w:sz="1"/>
              <w:right w:val="single" w:color="CCCCCC" w:sz="1"/>
            </w:tcBorders>
            <w:shd w:fill="1A5276"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Duration</w:t>
            </w:r>
          </w:p>
        </w:tc>
        <w:tc>
          <w:tcPr>
            <w:tcW w:type="dxa" w:w="3460"/>
            <w:tcBorders>
              <w:top w:val="single" w:color="CCCCCC" w:sz="1"/>
              <w:left w:val="single" w:color="CCCCCC" w:sz="1"/>
              <w:bottom w:val="single" w:color="CCCCCC" w:sz="1"/>
              <w:right w:val="single" w:color="CCCCCC" w:sz="1"/>
            </w:tcBorders>
            <w:shd w:fill="1A5276"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Details</w:t>
            </w:r>
          </w:p>
        </w:tc>
      </w:tr>
      <w:tr>
        <w:tc>
          <w:tcPr>
            <w:tcW w:type="dxa" w:w="12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Phase 0</w:t>
            </w:r>
          </w:p>
        </w:tc>
        <w:tc>
          <w:tcPr>
            <w:tcW w:type="dxa" w:w="35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Environment Cleanup</w:t>
            </w:r>
          </w:p>
        </w:tc>
        <w:tc>
          <w:tcPr>
            <w:tcW w:type="dxa" w:w="12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~1s</w:t>
            </w:r>
          </w:p>
        </w:tc>
        <w:tc>
          <w:tcPr>
            <w:tcW w:type="dxa" w:w="346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Kill stale processes on ports 8545/5000-5001</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Phase 1</w:t>
            </w:r>
          </w:p>
        </w:tc>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Dependency Installation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~30-60s</w:t>
            </w:r>
          </w:p>
        </w:tc>
        <w:tc>
          <w:tcPr>
            <w:tcW w:type="dxa" w:w="34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Python packages, Node.js packages (ganache)</w:t>
            </w:r>
          </w:p>
        </w:tc>
      </w:tr>
      <w:tr>
        <w:tc>
          <w:tcPr>
            <w:tcW w:type="dxa" w:w="12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Phase 2</w:t>
            </w:r>
          </w:p>
        </w:tc>
        <w:tc>
          <w:tcPr>
            <w:tcW w:type="dxa" w:w="35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Directory Structure</w:t>
            </w:r>
          </w:p>
        </w:tc>
        <w:tc>
          <w:tcPr>
            <w:tcW w:type="dxa" w:w="12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~1s</w:t>
            </w:r>
          </w:p>
        </w:tc>
        <w:tc>
          <w:tcPr>
            <w:tcW w:type="dxa" w:w="346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Create runtime directory with subdirectories</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Phase 3</w:t>
            </w:r>
          </w:p>
        </w:tc>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ML Model Training</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~10-20s</w:t>
            </w:r>
          </w:p>
        </w:tc>
        <w:tc>
          <w:tcPr>
            <w:tcW w:type="dxa" w:w="34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Generate 15K synthetic txns, train 5 models on 16 features, graph analysis</w:t>
            </w:r>
          </w:p>
        </w:tc>
      </w:tr>
      <w:tr>
        <w:tc>
          <w:tcPr>
            <w:tcW w:type="dxa" w:w="12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Phase 4</w:t>
            </w:r>
          </w:p>
        </w:tc>
        <w:tc>
          <w:tcPr>
            <w:tcW w:type="dxa" w:w="35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Contract Compilation</w:t>
            </w:r>
          </w:p>
        </w:tc>
        <w:tc>
          <w:tcPr>
            <w:tcW w:type="dxa" w:w="12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~10-15s</w:t>
            </w:r>
          </w:p>
        </w:tc>
        <w:tc>
          <w:tcPr>
            <w:tcW w:type="dxa" w:w="346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Compile 7 Solidity contracts using py-solc-x (solc 0.8.21)</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Phase 5</w:t>
            </w:r>
          </w:p>
        </w:tc>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Frontend Deployment</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~1s</w:t>
            </w:r>
          </w:p>
        </w:tc>
        <w:tc>
          <w:tcPr>
            <w:tcW w:type="dxa" w:w="34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Copy frontend HTML to templates/ directory</w:t>
            </w:r>
          </w:p>
        </w:tc>
      </w:tr>
      <w:tr>
        <w:tc>
          <w:tcPr>
            <w:tcW w:type="dxa" w:w="12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Phase 6</w:t>
            </w:r>
          </w:p>
        </w:tc>
        <w:tc>
          <w:tcPr>
            <w:tcW w:type="dxa" w:w="35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Backend Generation</w:t>
            </w:r>
          </w:p>
        </w:tc>
        <w:tc>
          <w:tcPr>
            <w:tcW w:type="dxa" w:w="12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~1s</w:t>
            </w:r>
          </w:p>
        </w:tc>
        <w:tc>
          <w:tcPr>
            <w:tcW w:type="dxa" w:w="346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Write Flask app.py with all API endpoints, SHAP, four-eyes, FX, health</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Phase 7</w:t>
            </w:r>
          </w:p>
        </w:tc>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Service Launch</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~15-20s</w:t>
            </w:r>
          </w:p>
        </w:tc>
        <w:tc>
          <w:tcPr>
            <w:tcW w:type="dxa" w:w="34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Start Ganache, deploy contracts, start Flask, expose system</w:t>
            </w:r>
          </w:p>
        </w:tc>
      </w:tr>
    </w:tbl>
    <w:p>
      <w:pPr>
        <w:spacing w:after="80"/>
      </w:pPr>
    </w:p>
    <w:p>
      <w:pPr>
        <w:spacing w:after="120"/>
        <w:jc w:val="both"/>
      </w:pPr>
      <w:r>
        <w:rPr>
          <w:rFonts w:ascii="Calibri" w:cs="Calibri" w:eastAsia="Calibri" w:hAnsi="Calibri"/>
          <w:b/>
          <w:bCs/>
          <w:color w:val="2C3E50"/>
          <w:sz w:val="22"/>
          <w:szCs w:val="22"/>
        </w:rPr>
        <w:t xml:space="preserve">Total boot time: </w:t>
      </w:r>
      <w:r>
        <w:rPr>
          <w:rFonts w:ascii="Calibri" w:cs="Calibri" w:eastAsia="Calibri" w:hAnsi="Calibri"/>
          <w:color w:val="333333"/>
          <w:sz w:val="22"/>
          <w:szCs w:val="22"/>
        </w:rPr>
        <w:t xml:space="preserve">approximately 90-120 seconds from execution to a live system.</w:t>
      </w:r>
    </w:p>
    <w:p>
      <w:r>
        <w:br w:type="page"/>
      </w:r>
    </w:p>
    <w:p>
      <w:pPr>
        <w:pStyle w:val="Heading1"/>
        <w:spacing w:after="200" w:before="360"/>
      </w:pPr>
      <w:r>
        <w:rPr>
          <w:rFonts w:ascii="Calibri" w:cs="Calibri" w:eastAsia="Calibri" w:hAnsi="Calibri"/>
          <w:b/>
          <w:bCs/>
          <w:color w:val="1A5276"/>
          <w:sz w:val="32"/>
          <w:szCs w:val="32"/>
        </w:rPr>
        <w:t xml:space="preserve">8. Testing Scenarios</w:t>
      </w:r>
    </w:p>
    <w:p>
      <w:pPr>
        <w:spacing w:after="120"/>
        <w:jc w:val="both"/>
      </w:pPr>
      <w:r>
        <w:rPr>
          <w:rFonts w:ascii="Calibri" w:cs="Calibri" w:eastAsia="Calibri" w:hAnsi="Calibri"/>
          <w:color w:val="333333"/>
          <w:sz w:val="22"/>
          <w:szCs w:val="22"/>
        </w:rPr>
        <w:t xml:space="preserve">The following test scenarios validate the core functionality of the IPTS platform, including the new features added in Version 4.0.</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200"/>
        <w:gridCol w:w="2400"/>
        <w:gridCol w:w="1400"/>
        <w:gridCol w:w="2760"/>
      </w:tblGrid>
      <w:tr>
        <w:tc>
          <w:tcPr>
            <w:tcW w:type="dxa" w:w="600"/>
            <w:tcBorders>
              <w:top w:val="single" w:color="CCCCCC" w:sz="1"/>
              <w:left w:val="single" w:color="CCCCCC" w:sz="1"/>
              <w:bottom w:val="single" w:color="CCCCCC" w:sz="1"/>
              <w:right w:val="single" w:color="CCCCCC" w:sz="1"/>
            </w:tcBorders>
            <w:shd w:fill="1A5276"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w:t>
            </w:r>
          </w:p>
        </w:tc>
        <w:tc>
          <w:tcPr>
            <w:tcW w:type="dxa" w:w="2200"/>
            <w:tcBorders>
              <w:top w:val="single" w:color="CCCCCC" w:sz="1"/>
              <w:left w:val="single" w:color="CCCCCC" w:sz="1"/>
              <w:bottom w:val="single" w:color="CCCCCC" w:sz="1"/>
              <w:right w:val="single" w:color="CCCCCC" w:sz="1"/>
            </w:tcBorders>
            <w:shd w:fill="1A5276"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Scenario</w:t>
            </w:r>
          </w:p>
        </w:tc>
        <w:tc>
          <w:tcPr>
            <w:tcW w:type="dxa" w:w="2400"/>
            <w:tcBorders>
              <w:top w:val="single" w:color="CCCCCC" w:sz="1"/>
              <w:left w:val="single" w:color="CCCCCC" w:sz="1"/>
              <w:bottom w:val="single" w:color="CCCCCC" w:sz="1"/>
              <w:right w:val="single" w:color="CCCCCC" w:sz="1"/>
            </w:tcBorders>
            <w:shd w:fill="1A5276"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Input</w:t>
            </w:r>
          </w:p>
        </w:tc>
        <w:tc>
          <w:tcPr>
            <w:tcW w:type="dxa" w:w="1400"/>
            <w:tcBorders>
              <w:top w:val="single" w:color="CCCCCC" w:sz="1"/>
              <w:left w:val="single" w:color="CCCCCC" w:sz="1"/>
              <w:bottom w:val="single" w:color="CCCCCC" w:sz="1"/>
              <w:right w:val="single" w:color="CCCCCC" w:sz="1"/>
            </w:tcBorders>
            <w:shd w:fill="1A5276"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Expected</w:t>
            </w:r>
          </w:p>
        </w:tc>
        <w:tc>
          <w:tcPr>
            <w:tcW w:type="dxa" w:w="2760"/>
            <w:tcBorders>
              <w:top w:val="single" w:color="CCCCCC" w:sz="1"/>
              <w:left w:val="single" w:color="CCCCCC" w:sz="1"/>
              <w:bottom w:val="single" w:color="CCCCCC" w:sz="1"/>
              <w:right w:val="single" w:color="CCCCCC" w:sz="1"/>
            </w:tcBorders>
            <w:shd w:fill="1A5276"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Validates</w:t>
            </w:r>
          </w:p>
        </w:tc>
      </w:tr>
      <w:tr>
        <w:tc>
          <w:tcPr>
            <w:tcW w:type="dxa" w:w="6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center"/>
            </w:pPr>
            <w:r>
              <w:rPr>
                <w:rFonts w:ascii="Calibri" w:cs="Calibri" w:eastAsia="Calibri" w:hAnsi="Calibri"/>
                <w:b/>
                <w:bCs/>
                <w:color w:val="333333"/>
                <w:sz w:val="20"/>
                <w:szCs w:val="20"/>
              </w:rPr>
              <w:t xml:space="preserve">1</w:t>
            </w:r>
          </w:p>
        </w:tc>
        <w:tc>
          <w:tcPr>
            <w:tcW w:type="dxa" w:w="22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Normal Payment</w:t>
            </w:r>
          </w:p>
        </w:tc>
        <w:tc>
          <w:tcPr>
            <w:tcW w:type="dxa" w:w="24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$50,000 to Rohit</w:t>
            </w:r>
          </w:p>
        </w:tc>
        <w:tc>
          <w:tcPr>
            <w:tcW w:type="dxa" w:w="14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center"/>
            </w:pPr>
            <w:r>
              <w:rPr>
                <w:rFonts w:ascii="Calibri" w:cs="Calibri" w:eastAsia="Calibri" w:hAnsi="Calibri"/>
                <w:b/>
                <w:bCs/>
                <w:color w:val="0E8C5F"/>
                <w:sz w:val="20"/>
                <w:szCs w:val="20"/>
              </w:rPr>
              <w:t xml:space="preserve">APPROVED</w:t>
            </w:r>
          </w:p>
        </w:tc>
        <w:tc>
          <w:tcPr>
            <w:tcW w:type="dxa" w:w="276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Basic flow, SHAP values returned</w:t>
            </w:r>
          </w:p>
        </w:tc>
      </w:tr>
      <w:tr>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libri" w:cs="Calibri" w:eastAsia="Calibri" w:hAnsi="Calibri"/>
                <w:b/>
                <w:bCs/>
                <w:color w:val="333333"/>
                <w:sz w:val="20"/>
                <w:szCs w:val="20"/>
              </w:rPr>
              <w:t xml:space="preserve">2</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AML Threshold</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$150,000 to any</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libri" w:cs="Calibri" w:eastAsia="Calibri" w:hAnsi="Calibri"/>
                <w:b/>
                <w:bCs/>
                <w:color w:val="CC0000"/>
                <w:sz w:val="20"/>
                <w:szCs w:val="20"/>
              </w:rPr>
              <w:t xml:space="preserve">BLOCKED</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$100K auto-block, four-eyes created</w:t>
            </w:r>
          </w:p>
        </w:tc>
      </w:tr>
      <w:tr>
        <w:tc>
          <w:tcPr>
            <w:tcW w:type="dxa" w:w="6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center"/>
            </w:pPr>
            <w:r>
              <w:rPr>
                <w:rFonts w:ascii="Calibri" w:cs="Calibri" w:eastAsia="Calibri" w:hAnsi="Calibri"/>
                <w:b/>
                <w:bCs/>
                <w:color w:val="333333"/>
                <w:sz w:val="20"/>
                <w:szCs w:val="20"/>
              </w:rPr>
              <w:t xml:space="preserve">3</w:t>
            </w:r>
          </w:p>
        </w:tc>
        <w:tc>
          <w:tcPr>
            <w:tcW w:type="dxa" w:w="22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Watchlist Match</w:t>
            </w:r>
          </w:p>
        </w:tc>
        <w:tc>
          <w:tcPr>
            <w:tcW w:type="dxa" w:w="24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Any to Dark Web Exchange</w:t>
            </w:r>
          </w:p>
        </w:tc>
        <w:tc>
          <w:tcPr>
            <w:tcW w:type="dxa" w:w="14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center"/>
            </w:pPr>
            <w:r>
              <w:rPr>
                <w:rFonts w:ascii="Calibri" w:cs="Calibri" w:eastAsia="Calibri" w:hAnsi="Calibri"/>
                <w:b/>
                <w:bCs/>
                <w:color w:val="CC0000"/>
                <w:sz w:val="20"/>
                <w:szCs w:val="20"/>
              </w:rPr>
              <w:t xml:space="preserve">BLOCKED</w:t>
            </w:r>
          </w:p>
        </w:tc>
        <w:tc>
          <w:tcPr>
            <w:tcW w:type="dxa" w:w="276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NLP screening, score 95+</w:t>
            </w:r>
          </w:p>
        </w:tc>
      </w:tr>
      <w:tr>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libri" w:cs="Calibri" w:eastAsia="Calibri" w:hAnsi="Calibri"/>
                <w:b/>
                <w:bCs/>
                <w:color w:val="333333"/>
                <w:sz w:val="20"/>
                <w:szCs w:val="20"/>
              </w:rPr>
              <w:t xml:space="preserve">4</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Structuring</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$9,500 repeated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libri" w:cs="Calibri" w:eastAsia="Calibri" w:hAnsi="Calibri"/>
                <w:b/>
                <w:bCs/>
                <w:color w:val="CC0000"/>
                <w:sz w:val="20"/>
                <w:szCs w:val="20"/>
              </w:rPr>
              <w:t xml:space="preserve">BLOCKED</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Smurfing detection, Sequence Detector</w:t>
            </w:r>
          </w:p>
        </w:tc>
      </w:tr>
      <w:tr>
        <w:tc>
          <w:tcPr>
            <w:tcW w:type="dxa" w:w="6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center"/>
            </w:pPr>
            <w:r>
              <w:rPr>
                <w:rFonts w:ascii="Calibri" w:cs="Calibri" w:eastAsia="Calibri" w:hAnsi="Calibri"/>
                <w:b/>
                <w:bCs/>
                <w:color w:val="333333"/>
                <w:sz w:val="20"/>
                <w:szCs w:val="20"/>
              </w:rPr>
              <w:t xml:space="preserve">5</w:t>
            </w:r>
          </w:p>
        </w:tc>
        <w:tc>
          <w:tcPr>
            <w:tcW w:type="dxa" w:w="22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Insufficient Funds</w:t>
            </w:r>
          </w:p>
        </w:tc>
        <w:tc>
          <w:tcPr>
            <w:tcW w:type="dxa" w:w="24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Amount &gt; balance</w:t>
            </w:r>
          </w:p>
        </w:tc>
        <w:tc>
          <w:tcPr>
            <w:tcW w:type="dxa" w:w="14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center"/>
            </w:pPr>
            <w:r>
              <w:rPr>
                <w:rFonts w:ascii="Calibri" w:cs="Calibri" w:eastAsia="Calibri" w:hAnsi="Calibri"/>
                <w:b/>
                <w:bCs/>
                <w:color w:val="E67E00"/>
                <w:sz w:val="20"/>
                <w:szCs w:val="20"/>
              </w:rPr>
              <w:t xml:space="preserve">ERROR</w:t>
            </w:r>
          </w:p>
        </w:tc>
        <w:tc>
          <w:tcPr>
            <w:tcW w:type="dxa" w:w="276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Balance validation</w:t>
            </w:r>
          </w:p>
        </w:tc>
      </w:tr>
      <w:tr>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libri" w:cs="Calibri" w:eastAsia="Calibri" w:hAnsi="Calibri"/>
                <w:b/>
                <w:bCs/>
                <w:color w:val="333333"/>
                <w:sz w:val="20"/>
                <w:szCs w:val="20"/>
              </w:rPr>
              <w:t xml:space="preserve">6</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Four-Eyes 1st Approval</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Approve $100K+ as rohit</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libri" w:cs="Calibri" w:eastAsia="Calibri" w:hAnsi="Calibri"/>
                <w:b/>
                <w:bCs/>
                <w:color w:val="333333"/>
                <w:sz w:val="20"/>
                <w:szCs w:val="20"/>
              </w:rPr>
              <w:t xml:space="preserve">AWAITING</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First approval recorded</w:t>
            </w:r>
          </w:p>
        </w:tc>
      </w:tr>
      <w:tr>
        <w:tc>
          <w:tcPr>
            <w:tcW w:type="dxa" w:w="6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center"/>
            </w:pPr>
            <w:r>
              <w:rPr>
                <w:rFonts w:ascii="Calibri" w:cs="Calibri" w:eastAsia="Calibri" w:hAnsi="Calibri"/>
                <w:b/>
                <w:bCs/>
                <w:color w:val="333333"/>
                <w:sz w:val="20"/>
                <w:szCs w:val="20"/>
              </w:rPr>
              <w:t xml:space="preserve">7</w:t>
            </w:r>
          </w:p>
        </w:tc>
        <w:tc>
          <w:tcPr>
            <w:tcW w:type="dxa" w:w="22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Four-Eyes 2nd Approval</w:t>
            </w:r>
          </w:p>
        </w:tc>
        <w:tc>
          <w:tcPr>
            <w:tcW w:type="dxa" w:w="24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Approve same as walid</w:t>
            </w:r>
          </w:p>
        </w:tc>
        <w:tc>
          <w:tcPr>
            <w:tcW w:type="dxa" w:w="14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center"/>
            </w:pPr>
            <w:r>
              <w:rPr>
                <w:rFonts w:ascii="Calibri" w:cs="Calibri" w:eastAsia="Calibri" w:hAnsi="Calibri"/>
                <w:b/>
                <w:bCs/>
                <w:color w:val="333333"/>
                <w:sz w:val="20"/>
                <w:szCs w:val="20"/>
              </w:rPr>
              <w:t xml:space="preserve">SETTLED</w:t>
            </w:r>
          </w:p>
        </w:tc>
        <w:tc>
          <w:tcPr>
            <w:tcW w:type="dxa" w:w="276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Dual approval, blockchain settlement</w:t>
            </w:r>
          </w:p>
        </w:tc>
      </w:tr>
      <w:tr>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libri" w:cs="Calibri" w:eastAsia="Calibri" w:hAnsi="Calibri"/>
                <w:b/>
                <w:bCs/>
                <w:color w:val="333333"/>
                <w:sz w:val="20"/>
                <w:szCs w:val="20"/>
              </w:rPr>
              <w:t xml:space="preserve">8</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Four-Eyes Same User</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Approve again as rohit</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libri" w:cs="Calibri" w:eastAsia="Calibri" w:hAnsi="Calibri"/>
                <w:b/>
                <w:bCs/>
                <w:color w:val="E67E00"/>
                <w:sz w:val="20"/>
                <w:szCs w:val="20"/>
              </w:rPr>
              <w:t xml:space="preserve">REJECTED</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Same-user block enforced</w:t>
            </w:r>
          </w:p>
        </w:tc>
      </w:tr>
      <w:tr>
        <w:tc>
          <w:tcPr>
            <w:tcW w:type="dxa" w:w="6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center"/>
            </w:pPr>
            <w:r>
              <w:rPr>
                <w:rFonts w:ascii="Calibri" w:cs="Calibri" w:eastAsia="Calibri" w:hAnsi="Calibri"/>
                <w:b/>
                <w:bCs/>
                <w:color w:val="333333"/>
                <w:sz w:val="20"/>
                <w:szCs w:val="20"/>
              </w:rPr>
              <w:t xml:space="preserve">9</w:t>
            </w:r>
          </w:p>
        </w:tc>
        <w:tc>
          <w:tcPr>
            <w:tcW w:type="dxa" w:w="22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SHAP Values</w:t>
            </w:r>
          </w:p>
        </w:tc>
        <w:tc>
          <w:tcPr>
            <w:tcW w:type="dxa" w:w="24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Any settlement</w:t>
            </w:r>
          </w:p>
        </w:tc>
        <w:tc>
          <w:tcPr>
            <w:tcW w:type="dxa" w:w="14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center"/>
            </w:pPr>
            <w:r>
              <w:rPr>
                <w:rFonts w:ascii="Calibri" w:cs="Calibri" w:eastAsia="Calibri" w:hAnsi="Calibri"/>
                <w:b/>
                <w:bCs/>
                <w:color w:val="333333"/>
                <w:sz w:val="20"/>
                <w:szCs w:val="20"/>
              </w:rPr>
              <w:t xml:space="preserve">SHAP JSON</w:t>
            </w:r>
          </w:p>
        </w:tc>
        <w:tc>
          <w:tcPr>
            <w:tcW w:type="dxa" w:w="276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16-feature SHAP in response</w:t>
            </w:r>
          </w:p>
        </w:tc>
      </w:tr>
      <w:tr>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libri" w:cs="Calibri" w:eastAsia="Calibri" w:hAnsi="Calibri"/>
                <w:b/>
                <w:bCs/>
                <w:color w:val="333333"/>
                <w:sz w:val="20"/>
                <w:szCs w:val="20"/>
              </w:rPr>
              <w:t xml:space="preserve">10</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FX Conversion</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EUR 10,000</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libri" w:cs="Calibri" w:eastAsia="Calibri" w:hAnsi="Calibri"/>
                <w:b/>
                <w:bCs/>
                <w:color w:val="333333"/>
                <w:sz w:val="20"/>
                <w:szCs w:val="20"/>
              </w:rPr>
              <w:t xml:space="preserve">USD equiv</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FX rate applied, AML warning if applicable</w:t>
            </w:r>
          </w:p>
        </w:tc>
      </w:tr>
      <w:tr>
        <w:tc>
          <w:tcPr>
            <w:tcW w:type="dxa" w:w="6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center"/>
            </w:pPr>
            <w:r>
              <w:rPr>
                <w:rFonts w:ascii="Calibri" w:cs="Calibri" w:eastAsia="Calibri" w:hAnsi="Calibri"/>
                <w:b/>
                <w:bCs/>
                <w:color w:val="333333"/>
                <w:sz w:val="20"/>
                <w:szCs w:val="20"/>
              </w:rPr>
              <w:t xml:space="preserve">11</w:t>
            </w:r>
          </w:p>
        </w:tc>
        <w:tc>
          <w:tcPr>
            <w:tcW w:type="dxa" w:w="22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Model Retrain</w:t>
            </w:r>
          </w:p>
        </w:tc>
        <w:tc>
          <w:tcPr>
            <w:tcW w:type="dxa" w:w="24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Admin triggers</w:t>
            </w:r>
          </w:p>
        </w:tc>
        <w:tc>
          <w:tcPr>
            <w:tcW w:type="dxa" w:w="14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center"/>
            </w:pPr>
            <w:r>
              <w:rPr>
                <w:rFonts w:ascii="Calibri" w:cs="Calibri" w:eastAsia="Calibri" w:hAnsi="Calibri"/>
                <w:b/>
                <w:bCs/>
                <w:color w:val="333333"/>
                <w:sz w:val="20"/>
                <w:szCs w:val="20"/>
              </w:rPr>
              <w:t xml:space="preserve">SUCCESS</w:t>
            </w:r>
          </w:p>
        </w:tc>
        <w:tc>
          <w:tcPr>
            <w:tcW w:type="dxa" w:w="276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5 models retrained on 16 features</w:t>
            </w:r>
          </w:p>
        </w:tc>
      </w:tr>
      <w:tr>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libri" w:cs="Calibri" w:eastAsia="Calibri" w:hAnsi="Calibri"/>
                <w:b/>
                <w:bCs/>
                <w:color w:val="333333"/>
                <w:sz w:val="20"/>
                <w:szCs w:val="20"/>
              </w:rPr>
              <w:t xml:space="preserve">12</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Health Check</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GET /api/health</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libri" w:cs="Calibri" w:eastAsia="Calibri" w:hAnsi="Calibri"/>
                <w:b/>
                <w:bCs/>
                <w:color w:val="333333"/>
                <w:sz w:val="20"/>
                <w:szCs w:val="20"/>
              </w:rPr>
              <w:t xml:space="preserve">200 OK</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All components healthy</w:t>
            </w:r>
          </w:p>
        </w:tc>
      </w:tr>
      <w:tr>
        <w:tc>
          <w:tcPr>
            <w:tcW w:type="dxa" w:w="6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center"/>
            </w:pPr>
            <w:r>
              <w:rPr>
                <w:rFonts w:ascii="Calibri" w:cs="Calibri" w:eastAsia="Calibri" w:hAnsi="Calibri"/>
                <w:b/>
                <w:bCs/>
                <w:color w:val="333333"/>
                <w:sz w:val="20"/>
                <w:szCs w:val="20"/>
              </w:rPr>
              <w:t xml:space="preserve">13</w:t>
            </w:r>
          </w:p>
        </w:tc>
        <w:tc>
          <w:tcPr>
            <w:tcW w:type="dxa" w:w="22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SLA Tracking</w:t>
            </w:r>
          </w:p>
        </w:tc>
        <w:tc>
          <w:tcPr>
            <w:tcW w:type="dxa" w:w="24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View case management</w:t>
            </w:r>
          </w:p>
        </w:tc>
        <w:tc>
          <w:tcPr>
            <w:tcW w:type="dxa" w:w="14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center"/>
            </w:pPr>
            <w:r>
              <w:rPr>
                <w:rFonts w:ascii="Calibri" w:cs="Calibri" w:eastAsia="Calibri" w:hAnsi="Calibri"/>
                <w:b/>
                <w:bCs/>
                <w:color w:val="333333"/>
                <w:sz w:val="20"/>
                <w:szCs w:val="20"/>
              </w:rPr>
              <w:t xml:space="preserve">SLA badges</w:t>
            </w:r>
          </w:p>
        </w:tc>
        <w:tc>
          <w:tcPr>
            <w:tcW w:type="dxa" w:w="276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Color-coded countdown per severity</w:t>
            </w:r>
          </w:p>
        </w:tc>
      </w:tr>
      <w:tr>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libri" w:cs="Calibri" w:eastAsia="Calibri" w:hAnsi="Calibri"/>
                <w:b/>
                <w:bCs/>
                <w:color w:val="333333"/>
                <w:sz w:val="20"/>
                <w:szCs w:val="20"/>
              </w:rPr>
              <w:t xml:space="preserve">14</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GDPR Erasure</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Erase entity PII</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libri" w:cs="Calibri" w:eastAsia="Calibri" w:hAnsi="Calibri"/>
                <w:b/>
                <w:bCs/>
                <w:color w:val="333333"/>
                <w:sz w:val="20"/>
                <w:szCs w:val="20"/>
              </w:rPr>
              <w:t xml:space="preserve">REDACTED</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PII anonymized, hash preserved</w:t>
            </w:r>
          </w:p>
        </w:tc>
      </w:tr>
    </w:tbl>
    <w:p>
      <w:r>
        <w:br w:type="page"/>
      </w:r>
    </w:p>
    <w:p>
      <w:pPr>
        <w:pStyle w:val="Heading1"/>
        <w:spacing w:after="200" w:before="360"/>
      </w:pPr>
      <w:r>
        <w:rPr>
          <w:rFonts w:ascii="Calibri" w:cs="Calibri" w:eastAsia="Calibri" w:hAnsi="Calibri"/>
          <w:b/>
          <w:bCs/>
          <w:color w:val="1A5276"/>
          <w:sz w:val="32"/>
          <w:szCs w:val="32"/>
        </w:rPr>
        <w:t xml:space="preserve">9. Future Roadmap</w:t>
      </w:r>
    </w:p>
    <w:p>
      <w:pPr>
        <w:spacing w:after="120"/>
        <w:jc w:val="both"/>
      </w:pPr>
      <w:r>
        <w:rPr>
          <w:rFonts w:ascii="Calibri" w:cs="Calibri" w:eastAsia="Calibri" w:hAnsi="Calibri"/>
          <w:color w:val="333333"/>
          <w:sz w:val="22"/>
          <w:szCs w:val="22"/>
        </w:rPr>
        <w:t xml:space="preserve">The following enhancements are planned for future versions of the IPTS platform:</w:t>
      </w:r>
    </w:p>
    <w:p>
      <w:pPr>
        <w:spacing w:after="80"/>
      </w:pPr>
    </w:p>
    <w:p>
      <w:pPr>
        <w:pStyle w:val="Heading2"/>
        <w:spacing w:after="160" w:before="280"/>
      </w:pPr>
      <w:r>
        <w:rPr>
          <w:rFonts w:ascii="Calibri" w:cs="Calibri" w:eastAsia="Calibri" w:hAnsi="Calibri"/>
          <w:b/>
          <w:bCs/>
          <w:color w:val="2C3E50"/>
          <w:sz w:val="26"/>
          <w:szCs w:val="26"/>
        </w:rPr>
        <w:t xml:space="preserve">9.1 Production Hardening</w:t>
      </w:r>
    </w:p>
    <w:p>
      <w:pPr>
        <w:pStyle w:val="ListParagraph"/>
        <w:numPr>
          <w:ilvl w:val="0"/>
          <w:numId w:val="2"/>
        </w:numPr>
        <w:spacing w:after="60"/>
      </w:pPr>
      <w:r>
        <w:rPr>
          <w:rFonts w:ascii="Calibri" w:cs="Calibri" w:eastAsia="Calibri" w:hAnsi="Calibri"/>
          <w:color w:val="333333"/>
          <w:sz w:val="22"/>
          <w:szCs w:val="22"/>
        </w:rPr>
        <w:t xml:space="preserve">Replace SQLite with PostgreSQL for production-grade concurrent access</w:t>
      </w:r>
    </w:p>
    <w:p>
      <w:pPr>
        <w:pStyle w:val="ListParagraph"/>
        <w:numPr>
          <w:ilvl w:val="0"/>
          <w:numId w:val="2"/>
        </w:numPr>
        <w:spacing w:after="60"/>
      </w:pPr>
      <w:r>
        <w:rPr>
          <w:rFonts w:ascii="Calibri" w:cs="Calibri" w:eastAsia="Calibri" w:hAnsi="Calibri"/>
          <w:color w:val="333333"/>
          <w:sz w:val="22"/>
          <w:szCs w:val="22"/>
        </w:rPr>
        <w:t xml:space="preserve">Add Redis for session caching, rate limiting, and pub/sub messaging</w:t>
      </w:r>
    </w:p>
    <w:p>
      <w:pPr>
        <w:pStyle w:val="ListParagraph"/>
        <w:numPr>
          <w:ilvl w:val="0"/>
          <w:numId w:val="2"/>
        </w:numPr>
        <w:spacing w:after="60"/>
      </w:pPr>
      <w:r>
        <w:rPr>
          <w:rFonts w:ascii="Calibri" w:cs="Calibri" w:eastAsia="Calibri" w:hAnsi="Calibri"/>
          <w:color w:val="333333"/>
          <w:sz w:val="22"/>
          <w:szCs w:val="22"/>
        </w:rPr>
        <w:t xml:space="preserve">Containerize with Docker and Docker Compose for consistent deployment</w:t>
      </w:r>
    </w:p>
    <w:p>
      <w:pPr>
        <w:pStyle w:val="ListParagraph"/>
        <w:numPr>
          <w:ilvl w:val="0"/>
          <w:numId w:val="2"/>
        </w:numPr>
        <w:spacing w:after="60"/>
      </w:pPr>
      <w:r>
        <w:rPr>
          <w:rFonts w:ascii="Calibri" w:cs="Calibri" w:eastAsia="Calibri" w:hAnsi="Calibri"/>
          <w:color w:val="333333"/>
          <w:sz w:val="22"/>
          <w:szCs w:val="22"/>
        </w:rPr>
        <w:t xml:space="preserve">Implement Kubernetes orchestration for horizontal scaling</w:t>
      </w:r>
    </w:p>
    <w:p>
      <w:pPr>
        <w:pStyle w:val="ListParagraph"/>
        <w:numPr>
          <w:ilvl w:val="0"/>
          <w:numId w:val="2"/>
        </w:numPr>
        <w:spacing w:after="60"/>
      </w:pPr>
      <w:r>
        <w:rPr>
          <w:rFonts w:ascii="Calibri" w:cs="Calibri" w:eastAsia="Calibri" w:hAnsi="Calibri"/>
          <w:color w:val="333333"/>
          <w:sz w:val="22"/>
          <w:szCs w:val="22"/>
        </w:rPr>
        <w:t xml:space="preserve">Add comprehensive unit, integration, and end-to-end test suites</w:t>
      </w:r>
    </w:p>
    <w:p>
      <w:pPr>
        <w:spacing w:after="80"/>
      </w:pPr>
    </w:p>
    <w:p>
      <w:pPr>
        <w:pStyle w:val="Heading2"/>
        <w:spacing w:after="160" w:before="280"/>
      </w:pPr>
      <w:r>
        <w:rPr>
          <w:rFonts w:ascii="Calibri" w:cs="Calibri" w:eastAsia="Calibri" w:hAnsi="Calibri"/>
          <w:b/>
          <w:bCs/>
          <w:color w:val="2C3E50"/>
          <w:sz w:val="26"/>
          <w:szCs w:val="26"/>
        </w:rPr>
        <w:t xml:space="preserve">9.2 Blockchain Enhancement</w:t>
      </w:r>
    </w:p>
    <w:p>
      <w:pPr>
        <w:pStyle w:val="ListParagraph"/>
        <w:numPr>
          <w:ilvl w:val="0"/>
          <w:numId w:val="2"/>
        </w:numPr>
        <w:spacing w:after="60"/>
      </w:pPr>
      <w:r>
        <w:rPr>
          <w:rFonts w:ascii="Calibri" w:cs="Calibri" w:eastAsia="Calibri" w:hAnsi="Calibri"/>
          <w:color w:val="333333"/>
          <w:sz w:val="22"/>
          <w:szCs w:val="22"/>
        </w:rPr>
        <w:t xml:space="preserve">Deploy to Ethereum mainnet or Layer 2 solutions (Polygon, Arbitrum, Optimism)</w:t>
      </w:r>
    </w:p>
    <w:p>
      <w:pPr>
        <w:pStyle w:val="ListParagraph"/>
        <w:numPr>
          <w:ilvl w:val="0"/>
          <w:numId w:val="2"/>
        </w:numPr>
        <w:spacing w:after="60"/>
      </w:pPr>
      <w:r>
        <w:rPr>
          <w:rFonts w:ascii="Calibri" w:cs="Calibri" w:eastAsia="Calibri" w:hAnsi="Calibri"/>
          <w:color w:val="333333"/>
          <w:sz w:val="22"/>
          <w:szCs w:val="22"/>
        </w:rPr>
        <w:t xml:space="preserve">Implement ERC-20 token support for stablecoin settlements (USDC, USDT)</w:t>
      </w:r>
    </w:p>
    <w:p>
      <w:pPr>
        <w:pStyle w:val="ListParagraph"/>
        <w:numPr>
          <w:ilvl w:val="0"/>
          <w:numId w:val="2"/>
        </w:numPr>
        <w:spacing w:after="60"/>
      </w:pPr>
      <w:r>
        <w:rPr>
          <w:rFonts w:ascii="Calibri" w:cs="Calibri" w:eastAsia="Calibri" w:hAnsi="Calibri"/>
          <w:color w:val="333333"/>
          <w:sz w:val="22"/>
          <w:szCs w:val="22"/>
        </w:rPr>
        <w:t xml:space="preserve">Add cross-chain bridge functionality for multi-blockchain settlement</w:t>
      </w:r>
    </w:p>
    <w:p>
      <w:pPr>
        <w:pStyle w:val="ListParagraph"/>
        <w:numPr>
          <w:ilvl w:val="0"/>
          <w:numId w:val="2"/>
        </w:numPr>
        <w:spacing w:after="60"/>
      </w:pPr>
      <w:r>
        <w:rPr>
          <w:rFonts w:ascii="Calibri" w:cs="Calibri" w:eastAsia="Calibri" w:hAnsi="Calibri"/>
          <w:color w:val="333333"/>
          <w:sz w:val="22"/>
          <w:szCs w:val="22"/>
        </w:rPr>
        <w:t xml:space="preserve">Integrate with Chainlink oracles for real-time FX rates on-chain</w:t>
      </w:r>
    </w:p>
    <w:p>
      <w:pPr>
        <w:spacing w:after="80"/>
      </w:pPr>
    </w:p>
    <w:p>
      <w:pPr>
        <w:pStyle w:val="Heading2"/>
        <w:spacing w:after="160" w:before="280"/>
      </w:pPr>
      <w:r>
        <w:rPr>
          <w:rFonts w:ascii="Calibri" w:cs="Calibri" w:eastAsia="Calibri" w:hAnsi="Calibri"/>
          <w:b/>
          <w:bCs/>
          <w:color w:val="2C3E50"/>
          <w:sz w:val="26"/>
          <w:szCs w:val="26"/>
        </w:rPr>
        <w:t xml:space="preserve">9.3 AI/ML Evolution</w:t>
      </w:r>
    </w:p>
    <w:p>
      <w:pPr>
        <w:pStyle w:val="ListParagraph"/>
        <w:numPr>
          <w:ilvl w:val="0"/>
          <w:numId w:val="2"/>
        </w:numPr>
        <w:spacing w:after="60"/>
      </w:pPr>
      <w:r>
        <w:rPr>
          <w:rFonts w:ascii="Calibri" w:cs="Calibri" w:eastAsia="Calibri" w:hAnsi="Calibri"/>
          <w:color w:val="333333"/>
          <w:sz w:val="22"/>
          <w:szCs w:val="22"/>
        </w:rPr>
        <w:t xml:space="preserve">Implement federated learning for privacy-preserving model training across institutions</w:t>
      </w:r>
    </w:p>
    <w:p>
      <w:pPr>
        <w:pStyle w:val="ListParagraph"/>
        <w:numPr>
          <w:ilvl w:val="0"/>
          <w:numId w:val="2"/>
        </w:numPr>
        <w:spacing w:after="60"/>
      </w:pPr>
      <w:r>
        <w:rPr>
          <w:rFonts w:ascii="Calibri" w:cs="Calibri" w:eastAsia="Calibri" w:hAnsi="Calibri"/>
          <w:color w:val="333333"/>
          <w:sz w:val="22"/>
          <w:szCs w:val="22"/>
        </w:rPr>
        <w:t xml:space="preserve">Add graph neural networks (GNN) for more sophisticated network analysis</w:t>
      </w:r>
    </w:p>
    <w:p>
      <w:pPr>
        <w:pStyle w:val="ListParagraph"/>
        <w:numPr>
          <w:ilvl w:val="0"/>
          <w:numId w:val="2"/>
        </w:numPr>
        <w:spacing w:after="60"/>
      </w:pPr>
      <w:r>
        <w:rPr>
          <w:rFonts w:ascii="Calibri" w:cs="Calibri" w:eastAsia="Calibri" w:hAnsi="Calibri"/>
          <w:color w:val="333333"/>
          <w:sz w:val="22"/>
          <w:szCs w:val="22"/>
        </w:rPr>
        <w:t xml:space="preserve">Integrate real transaction data feeds for continuous model improvement</w:t>
      </w:r>
    </w:p>
    <w:p>
      <w:pPr>
        <w:pStyle w:val="ListParagraph"/>
        <w:numPr>
          <w:ilvl w:val="0"/>
          <w:numId w:val="2"/>
        </w:numPr>
        <w:spacing w:after="60"/>
      </w:pPr>
      <w:r>
        <w:rPr>
          <w:rFonts w:ascii="Calibri" w:cs="Calibri" w:eastAsia="Calibri" w:hAnsi="Calibri"/>
          <w:color w:val="333333"/>
          <w:sz w:val="22"/>
          <w:szCs w:val="22"/>
        </w:rPr>
        <w:t xml:space="preserve">Expand SHAP to all ensemble models with aggregated explainability scores</w:t>
      </w:r>
    </w:p>
    <w:p>
      <w:pPr>
        <w:pStyle w:val="ListParagraph"/>
        <w:numPr>
          <w:ilvl w:val="0"/>
          <w:numId w:val="2"/>
        </w:numPr>
        <w:spacing w:after="60"/>
      </w:pPr>
      <w:r>
        <w:rPr>
          <w:rFonts w:ascii="Calibri" w:cs="Calibri" w:eastAsia="Calibri" w:hAnsi="Calibri"/>
          <w:color w:val="333333"/>
          <w:sz w:val="22"/>
          <w:szCs w:val="22"/>
        </w:rPr>
        <w:t xml:space="preserve">Add real-time model monitoring and drift detection with automated alerts</w:t>
      </w:r>
    </w:p>
    <w:p>
      <w:pPr>
        <w:pStyle w:val="ListParagraph"/>
        <w:numPr>
          <w:ilvl w:val="0"/>
          <w:numId w:val="2"/>
        </w:numPr>
        <w:spacing w:after="60"/>
      </w:pPr>
      <w:r>
        <w:rPr>
          <w:rFonts w:ascii="Calibri" w:cs="Calibri" w:eastAsia="Calibri" w:hAnsi="Calibri"/>
          <w:color w:val="333333"/>
          <w:sz w:val="22"/>
          <w:szCs w:val="22"/>
        </w:rPr>
        <w:t xml:space="preserve">Implement time-series forecasting for transaction volume prediction</w:t>
      </w:r>
    </w:p>
    <w:p>
      <w:pPr>
        <w:spacing w:after="80"/>
      </w:pPr>
    </w:p>
    <w:p>
      <w:pPr>
        <w:pStyle w:val="Heading2"/>
        <w:spacing w:after="160" w:before="280"/>
      </w:pPr>
      <w:r>
        <w:rPr>
          <w:rFonts w:ascii="Calibri" w:cs="Calibri" w:eastAsia="Calibri" w:hAnsi="Calibri"/>
          <w:b/>
          <w:bCs/>
          <w:color w:val="2C3E50"/>
          <w:sz w:val="26"/>
          <w:szCs w:val="26"/>
        </w:rPr>
        <w:t xml:space="preserve">9.4 Compliance &amp; Integration</w:t>
      </w:r>
    </w:p>
    <w:p>
      <w:pPr>
        <w:pStyle w:val="ListParagraph"/>
        <w:numPr>
          <w:ilvl w:val="0"/>
          <w:numId w:val="2"/>
        </w:numPr>
        <w:spacing w:after="60"/>
      </w:pPr>
      <w:r>
        <w:rPr>
          <w:rFonts w:ascii="Calibri" w:cs="Calibri" w:eastAsia="Calibri" w:hAnsi="Calibri"/>
          <w:color w:val="333333"/>
          <w:sz w:val="22"/>
          <w:szCs w:val="22"/>
        </w:rPr>
        <w:t xml:space="preserve">Full SWIFT ISO 20022 message parsing and generation</w:t>
      </w:r>
    </w:p>
    <w:p>
      <w:pPr>
        <w:pStyle w:val="ListParagraph"/>
        <w:numPr>
          <w:ilvl w:val="0"/>
          <w:numId w:val="2"/>
        </w:numPr>
        <w:spacing w:after="60"/>
      </w:pPr>
      <w:r>
        <w:rPr>
          <w:rFonts w:ascii="Calibri" w:cs="Calibri" w:eastAsia="Calibri" w:hAnsi="Calibri"/>
          <w:color w:val="333333"/>
          <w:sz w:val="22"/>
          <w:szCs w:val="22"/>
        </w:rPr>
        <w:t xml:space="preserve">KYC integration with providers like Onfido and Jumio</w:t>
      </w:r>
    </w:p>
    <w:p>
      <w:pPr>
        <w:pStyle w:val="ListParagraph"/>
        <w:numPr>
          <w:ilvl w:val="0"/>
          <w:numId w:val="2"/>
        </w:numPr>
        <w:spacing w:after="60"/>
      </w:pPr>
      <w:r>
        <w:rPr>
          <w:rFonts w:ascii="Calibri" w:cs="Calibri" w:eastAsia="Calibri" w:hAnsi="Calibri"/>
          <w:color w:val="333333"/>
          <w:sz w:val="22"/>
          <w:szCs w:val="22"/>
        </w:rPr>
        <w:t xml:space="preserve">Automated regulatory reporting (FinCEN, FCA, MAS)</w:t>
      </w:r>
    </w:p>
    <w:p>
      <w:pPr>
        <w:pStyle w:val="ListParagraph"/>
        <w:numPr>
          <w:ilvl w:val="0"/>
          <w:numId w:val="2"/>
        </w:numPr>
        <w:spacing w:after="60"/>
      </w:pPr>
      <w:r>
        <w:rPr>
          <w:rFonts w:ascii="Calibri" w:cs="Calibri" w:eastAsia="Calibri" w:hAnsi="Calibri"/>
          <w:color w:val="333333"/>
          <w:sz w:val="22"/>
          <w:szCs w:val="22"/>
        </w:rPr>
        <w:t xml:space="preserve">Multi-tenancy support for multiple financial institutions</w:t>
      </w:r>
    </w:p>
    <w:p>
      <w:pPr>
        <w:pStyle w:val="ListParagraph"/>
        <w:numPr>
          <w:ilvl w:val="0"/>
          <w:numId w:val="2"/>
        </w:numPr>
        <w:spacing w:after="60"/>
      </w:pPr>
      <w:r>
        <w:rPr>
          <w:rFonts w:ascii="Calibri" w:cs="Calibri" w:eastAsia="Calibri" w:hAnsi="Calibri"/>
          <w:color w:val="333333"/>
          <w:sz w:val="22"/>
          <w:szCs w:val="22"/>
        </w:rPr>
        <w:t xml:space="preserve">Live FX rate integration with market data providers (Bloomberg, Reuters)</w:t>
      </w:r>
    </w:p>
    <w:p>
      <w:r>
        <w:br w:type="page"/>
      </w:r>
    </w:p>
    <w:p>
      <w:pPr>
        <w:pStyle w:val="Heading1"/>
        <w:spacing w:after="200" w:before="360"/>
      </w:pPr>
      <w:r>
        <w:rPr>
          <w:rFonts w:ascii="Calibri" w:cs="Calibri" w:eastAsia="Calibri" w:hAnsi="Calibri"/>
          <w:b/>
          <w:bCs/>
          <w:color w:val="1A5276"/>
          <w:sz w:val="32"/>
          <w:szCs w:val="32"/>
        </w:rPr>
        <w:t xml:space="preserve">10. Conclusion</w:t>
      </w:r>
    </w:p>
    <w:p>
      <w:pPr>
        <w:spacing w:after="120"/>
        <w:jc w:val="both"/>
      </w:pPr>
      <w:r>
        <w:rPr>
          <w:rFonts w:ascii="Calibri" w:cs="Calibri" w:eastAsia="Calibri" w:hAnsi="Calibri"/>
          <w:color w:val="333333"/>
          <w:sz w:val="22"/>
          <w:szCs w:val="22"/>
        </w:rPr>
        <w:t xml:space="preserve">The Integrated Payment Transformation System (IPTS) Version 4.0 demonstrates that the convergence of blockchain technology, explainable artificial intelligence, and Zero Trust security can fundamentally transform cross-border financial settlement. By reducing settlement times from 5 days to under 10 seconds while simultaneously strengthening compliance and providing full AI explainability, IPTS represents a viable blueprint for next-generation financial infrastructure.</w:t>
      </w:r>
    </w:p>
    <w:p>
      <w:pPr>
        <w:spacing w:after="80"/>
      </w:pPr>
    </w:p>
    <w:p>
      <w:pPr>
        <w:spacing w:after="120"/>
        <w:jc w:val="both"/>
      </w:pPr>
      <w:r>
        <w:rPr>
          <w:rFonts w:ascii="Calibri" w:cs="Calibri" w:eastAsia="Calibri" w:hAnsi="Calibri"/>
          <w:color w:val="333333"/>
          <w:sz w:val="22"/>
          <w:szCs w:val="22"/>
        </w:rPr>
        <w:t xml:space="preserve">The 7-layer convergent architecture ensures clean separation of concerns while enabling seamless end-to-end transaction processing. The AI/ML risk engine, with its 5-model ensemble, 16-feature vector with real-time velocity tracking, and SHAP explainability, provides robust and transparent fraud detection that meets evolving regulatory requirements for algorithmic accountability.</w:t>
      </w:r>
    </w:p>
    <w:p>
      <w:pPr>
        <w:spacing w:after="80"/>
      </w:pPr>
    </w:p>
    <w:p>
      <w:pPr>
        <w:spacing w:after="120"/>
        <w:jc w:val="both"/>
      </w:pPr>
      <w:r>
        <w:rPr>
          <w:rFonts w:ascii="Calibri" w:cs="Calibri" w:eastAsia="Calibri" w:hAnsi="Calibri"/>
          <w:color w:val="333333"/>
          <w:sz w:val="22"/>
          <w:szCs w:val="22"/>
        </w:rPr>
        <w:t xml:space="preserve">The four-eyes dual approval mechanism, SLA tracking, multi-currency FX engine, and comprehensive health monitoring demonstrate that IPTS is designed for real-world enterprise operation, not just academic demonstration. Every risk decision is explainable, every high-value approval requires segregation of duties, and every system component is continuously monitored.</w:t>
      </w:r>
    </w:p>
    <w:p>
      <w:pPr>
        <w:spacing w:after="80"/>
      </w:pPr>
    </w:p>
    <w:p>
      <w:pPr>
        <w:spacing w:after="120"/>
        <w:jc w:val="both"/>
      </w:pPr>
      <w:r>
        <w:rPr>
          <w:rFonts w:ascii="Calibri" w:cs="Calibri" w:eastAsia="Calibri" w:hAnsi="Calibri"/>
          <w:color w:val="333333"/>
          <w:sz w:val="22"/>
          <w:szCs w:val="22"/>
        </w:rPr>
        <w:t xml:space="preserve">As the financial industry continues its digital transformation journey, platforms like IPTS will play an increasingly critical role in bridging the gap between legacy settlement infrastructure and the real-time, transparent, and secure financial systems that the global economy demands.</w:t>
      </w:r>
    </w:p>
    <w:p>
      <w:pPr>
        <w:spacing w:after="80"/>
      </w:pPr>
    </w:p>
    <w:p>
      <w:pPr>
        <w:spacing w:after="80"/>
      </w:pPr>
    </w:p>
    <w:p>
      <w:pPr>
        <w:pBdr>
          <w:top w:val="single" w:color="10B981" w:sz="2" w:space="8"/>
        </w:pBdr>
        <w:spacing w:before="400"/>
        <w:jc w:val="center"/>
      </w:pPr>
      <w:r>
        <w:rPr>
          <w:rFonts w:ascii="Calibri" w:cs="Calibri" w:eastAsia="Calibri" w:hAnsi="Calibri"/>
          <w:i/>
          <w:iCs/>
          <w:color w:val="888888"/>
          <w:sz w:val="20"/>
          <w:szCs w:val="20"/>
        </w:rPr>
        <w:t xml:space="preserve">End of Report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1" w:space="4"/>
      </w:pBdr>
      <w:jc w:val="center"/>
    </w:pPr>
    <w:r>
      <w:rPr>
        <w:rFonts w:ascii="Calibri" w:cs="Calibri" w:eastAsia="Calibri" w:hAnsi="Calibri"/>
        <w:color w:val="999999"/>
        <w:sz w:val="16"/>
        <w:szCs w:val="16"/>
      </w:rPr>
      <w:t xml:space="preserve">Page </w:t>
    </w:r>
    <w:r>
      <w:rPr>
        <w:rFonts w:ascii="Calibri" w:cs="Calibri" w:eastAsia="Calibri" w:hAnsi="Calibri"/>
        <w:color w:val="999999"/>
        <w:sz w:val="16"/>
        <w:szCs w:val="16"/>
      </w:rPr>
      <w:fldChar w:fldCharType="begin"/>
      <w:instrText xml:space="preserve">PAGE</w:instrText>
      <w:fldChar w:fldCharType="separate"/>
      <w:fldChar w:fldCharType="end"/>
    </w:r>
    <w:r>
      <w:rPr>
        <w:rFonts w:ascii="Calibri" w:cs="Calibri" w:eastAsia="Calibri" w:hAnsi="Calibri"/>
        <w:color w:val="999999"/>
        <w:sz w:val="16"/>
        <w:szCs w:val="16"/>
      </w:rPr>
      <w:t xml:space="preserve">  |  Mohamad Idriss  |  April 2026  |  Version 4.0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1" w:space="4"/>
      </w:pBdr>
      <w:jc w:val="right"/>
    </w:pPr>
    <w:r>
      <w:rPr>
        <w:rFonts w:ascii="Calibri" w:cs="Calibri" w:eastAsia="Calibri" w:hAnsi="Calibri"/>
        <w:i/>
        <w:iCs/>
        <w:color w:val="999999"/>
        <w:sz w:val="16"/>
        <w:szCs w:val="16"/>
      </w:rPr>
      <w:t xml:space="preserve">IPTS Technical Report v4.0</w:t>
    </w:r>
    <w:r>
      <w:rPr>
        <w:rFonts w:ascii="Calibri" w:cs="Calibri" w:eastAsia="Calibri" w:hAnsi="Calibri"/>
        <w:color w:val="CCCCCC"/>
        <w:sz w:val="16"/>
        <w:szCs w:val="16"/>
      </w:rPr>
      <w:t xml:space="preserve">  |  </w:t>
    </w:r>
    <w:r>
      <w:rPr>
        <w:rFonts w:ascii="Calibri" w:cs="Calibri" w:eastAsia="Calibri" w:hAnsi="Calibri"/>
        <w:b/>
        <w:bCs/>
        <w:color w:val="CC0000"/>
        <w:sz w:val="16"/>
        <w:szCs w:val="16"/>
      </w:rPr>
      <w:t xml:space="preserve">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color w:val="1A5276"/>
      <w:sz w:val="32"/>
      <w:szCs w:val="32"/>
    </w:rPr>
  </w:style>
  <w:style w:type="paragraph" w:styleId="Heading2">
    <w:name w:val="Heading 2"/>
    <w:basedOn w:val="Normal"/>
    <w:next w:val="Normal"/>
    <w:qFormat/>
    <w:pPr>
      <w:spacing w:after="160" w:before="280"/>
      <w:outlineLvl w:val="1"/>
    </w:pPr>
    <w:rPr>
      <w:rFonts w:ascii="Calibri" w:cs="Calibri" w:eastAsia="Calibri" w:hAnsi="Calibri"/>
      <w:b/>
      <w:bCs/>
      <w:color w:val="2C3E50"/>
      <w:sz w:val="26"/>
      <w:szCs w:val="26"/>
    </w:rPr>
  </w:style>
  <w:style w:type="paragraph" w:styleId="Heading3">
    <w:name w:val="Heading 3"/>
    <w:basedOn w:val="Normal"/>
    <w:next w:val="Normal"/>
    <w:qFormat/>
    <w:pPr>
      <w:spacing w:after="120" w:before="200"/>
      <w:outlineLvl w:val="2"/>
    </w:pPr>
    <w:rPr>
      <w:rFonts w:ascii="Calibri" w:cs="Calibri" w:eastAsia="Calibri" w:hAnsi="Calibri"/>
      <w:b/>
      <w:bCs/>
      <w:color w:val="2C3E5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548faac71fd40f7a2d67258c8f985e71e4b9435.png"/><Relationship Id="rId10" Type="http://schemas.openxmlformats.org/officeDocument/2006/relationships/image" Target="media/24085f428e895285902db43189d402fae1339be5.png"/><Relationship Id="rId11" Type="http://schemas.openxmlformats.org/officeDocument/2006/relationships/image" Target="media/482589110f419eb62251eb80d39d1d330c995c24.png"/><Relationship Id="rId12" Type="http://schemas.openxmlformats.org/officeDocument/2006/relationships/image" Target="media/fc5a7a1769a7ff0a62923d783241807ab795dcaf.png"/><Relationship Id="rId13" Type="http://schemas.openxmlformats.org/officeDocument/2006/relationships/image" Target="media/dc9c44c9ff5f813735739a84ad068fff0b3f63a8.png"/><Relationship Id="rId14" Type="http://schemas.openxmlformats.org/officeDocument/2006/relationships/image" Target="media/6ce905cac4dc67b51cef00f5d7629dfef038fe36.png"/><Relationship Id="rId15" Type="http://schemas.openxmlformats.org/officeDocument/2006/relationships/image" Target="media/ec9e395db8445e0720bd0e0c34ec3f5eb4601191.png"/><Relationship Id="rId16" Type="http://schemas.openxmlformats.org/officeDocument/2006/relationships/image" Target="media/1f52f68545dba444f4acc909bcf993861537e079.png"/><Relationship Id="rId17" Type="http://schemas.openxmlformats.org/officeDocument/2006/relationships/image" Target="media/e0fc5bece5c9e279b18086bd3a250b1c4b6b5458.png"/><Relationship Id="rId18" Type="http://schemas.openxmlformats.org/officeDocument/2006/relationships/image" Target="media/75a22a8b385b4d0b115356974bda6e138938d552.png"/><Relationship Id="rId19" Type="http://schemas.openxmlformats.org/officeDocument/2006/relationships/image" Target="media/258b914abcfdc29c6c434c29f339467051877220.png"/><Relationship Id="rId20" Type="http://schemas.openxmlformats.org/officeDocument/2006/relationships/image" Target="media/21bee0fe4bcc45fa85eec054d5559025d11590ce.png"/><Relationship Id="rId21" Type="http://schemas.openxmlformats.org/officeDocument/2006/relationships/image" Target="media/3d6fcfbd8e0824c5ea6aa49d09031c69bc70783f.png"/><Relationship Id="rId22" Type="http://schemas.openxmlformats.org/officeDocument/2006/relationships/image" Target="media/9fd937aa3b9a696e11668e14a7795f26f7de5fbe.png"/><Relationship Id="rId23" Type="http://schemas.openxmlformats.org/officeDocument/2006/relationships/image" Target="media/a7994b54790a10b52d5a0a189dbccf9fd1c363d4.png"/><Relationship Id="rId24" Type="http://schemas.openxmlformats.org/officeDocument/2006/relationships/image" Target="media/9163c8ccd132af52dff5de64d287c3ce8be02f20.png"/><Relationship Id="rId25" Type="http://schemas.openxmlformats.org/officeDocument/2006/relationships/image" Target="media/16cac5c17b6c2b8a84ebb3c05c7e5eb520253d8e.png"/><Relationship Id="rId26" Type="http://schemas.openxmlformats.org/officeDocument/2006/relationships/image" Target="media/74f240766df5849732e753917fbb921f9cfd39f3.png"/><Relationship Id="rId27" Type="http://schemas.openxmlformats.org/officeDocument/2006/relationships/image" Target="media/f3baaae8b0b4173a49705be1a777677f8964cfa9.png"/><Relationship Id="rId28" Type="http://schemas.openxmlformats.org/officeDocument/2006/relationships/image" Target="media/a01399e78f98c7a4fce5f92372b12c188aa2f48e.png"/><Relationship Id="rId29" Type="http://schemas.openxmlformats.org/officeDocument/2006/relationships/image" Target="media/9491bda54b742a06eee55c7b4a7b404b99ab1125.png"/><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2026-04-09T13:12:18.414Z</dcterms:created>
  <dcterms:modified xsi:type="dcterms:W3CDTF">2026-04-09T13:12:18.415Z</dcterms:modified>
</cp:coreProperties>
</file>

<file path=docProps/custom.xml><?xml version="1.0" encoding="utf-8"?>
<Properties xmlns="http://schemas.openxmlformats.org/officeDocument/2006/custom-properties" xmlns:vt="http://schemas.openxmlformats.org/officeDocument/2006/docPropsVTypes"/>
</file>