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Calibri" w:cs="Calibri" w:eastAsia="Calibri" w:hAnsi="Calibri"/>
          <w:b/>
          <w:bCs/>
          <w:color w:val="1A5276"/>
          <w:sz w:val="72"/>
          <w:szCs w:val="72"/>
        </w:rPr>
        <w:t xml:space="preserve">IPTS</w:t>
      </w:r>
    </w:p>
    <w:p>
      <w:pPr>
        <w:spacing w:after="100"/>
        <w:jc w:val="center"/>
      </w:pPr>
      <w:r>
        <w:rPr>
          <w:rFonts w:ascii="Calibri" w:cs="Calibri" w:eastAsia="Calibri" w:hAnsi="Calibri"/>
          <w:color w:val="2C3E50"/>
          <w:sz w:val="32"/>
          <w:szCs w:val="32"/>
        </w:rPr>
        <w:t xml:space="preserve">Integrated Payment Transformation System</w:t>
      </w:r>
    </w:p>
    <w:p>
      <w:pPr>
        <w:pBdr>
          <w:bottom w:val="single" w:color="10B981" w:sz="6" w:space="1"/>
        </w:pBdr>
        <w:spacing w:after="400"/>
        <w:jc w:val="center"/>
      </w:pPr>
    </w:p>
    <w:p>
      <w:pPr>
        <w:spacing w:after="80"/>
        <w:jc w:val="center"/>
      </w:pPr>
      <w:r>
        <w:rPr>
          <w:rFonts w:ascii="Calibri" w:cs="Calibri" w:eastAsia="Calibri" w:hAnsi="Calibri"/>
          <w:i/>
          <w:iCs/>
          <w:color w:val="2C3E50"/>
          <w:sz w:val="28"/>
          <w:szCs w:val="28"/>
        </w:rPr>
        <w:t xml:space="preserve">Technical Architecture &amp; Capability Report</w:t>
      </w:r>
    </w:p>
    <w:p>
      <w:pPr>
        <w:spacing w:before="600"/>
      </w:pPr>
    </w:p>
    <w:p>
      <w:pPr>
        <w:spacing w:after="80"/>
        <w:jc w:val="center"/>
      </w:pPr>
      <w:r>
        <w:rPr>
          <w:rFonts w:ascii="Calibri" w:cs="Calibri" w:eastAsia="Calibri" w:hAnsi="Calibri"/>
          <w:color w:val="666666"/>
          <w:sz w:val="24"/>
          <w:szCs w:val="24"/>
        </w:rPr>
        <w:t xml:space="preserve">Version 3.0</w:t>
      </w:r>
    </w:p>
    <w:p>
      <w:pPr>
        <w:spacing w:after="80"/>
        <w:jc w:val="center"/>
      </w:pPr>
      <w:r>
        <w:rPr>
          <w:rFonts w:ascii="Calibri" w:cs="Calibri" w:eastAsia="Calibri" w:hAnsi="Calibri"/>
          <w:color w:val="666666"/>
          <w:sz w:val="24"/>
          <w:szCs w:val="24"/>
        </w:rPr>
        <w:t xml:space="preserve">April 2026</w:t>
      </w:r>
    </w:p>
    <w:p>
      <w:pPr>
        <w:spacing w:after="80"/>
        <w:jc w:val="center"/>
      </w:pPr>
      <w:r>
        <w:rPr>
          <w:rFonts w:ascii="Calibri" w:cs="Calibri" w:eastAsia="Calibri" w:hAnsi="Calibri"/>
          <w:b/>
          <w:bCs/>
          <w:color w:val="2C3E50"/>
          <w:sz w:val="24"/>
          <w:szCs w:val="24"/>
        </w:rPr>
        <w:t xml:space="preserve">Author: Mohamad Idriss</w:t>
      </w:r>
    </w:p>
    <w:p>
      <w:pPr>
        <w:spacing w:before="1200"/>
      </w:pPr>
    </w:p>
    <w:p>
      <w:pPr>
        <w:spacing w:after="40"/>
        <w:jc w:val="center"/>
      </w:pPr>
      <w:r>
        <w:rPr>
          <w:rFonts w:ascii="Calibri" w:cs="Calibri" w:eastAsia="Calibri" w:hAnsi="Calibri"/>
          <w:b/>
          <w:bCs/>
          <w:color w:val="CC0000"/>
          <w:sz w:val="20"/>
          <w:szCs w:val="20"/>
        </w:rPr>
        <w:t xml:space="preserve">CONFIDENTIAL</w:t>
      </w:r>
    </w:p>
    <w:p>
      <w:pPr>
        <w:jc w:val="center"/>
      </w:pPr>
      <w:r>
        <w:rPr>
          <w:rFonts w:ascii="Calibri" w:cs="Calibri" w:eastAsia="Calibri" w:hAnsi="Calibri"/>
          <w:color w:val="888888"/>
          <w:sz w:val="18"/>
          <w:szCs w:val="18"/>
        </w:rPr>
        <w:t xml:space="preserve">Enterprise-Grade Financial Settlement Platform</w:t>
      </w:r>
    </w:p>
    <w:p>
      <w:r>
        <w:br w:type="page"/>
      </w:r>
    </w:p>
    <w:p>
      <w:pPr>
        <w:pStyle w:val="Heading1"/>
        <w:spacing w:after="200" w:before="360"/>
      </w:pPr>
      <w:r>
        <w:rPr>
          <w:rFonts w:ascii="Calibri" w:cs="Calibri" w:eastAsia="Calibri" w:hAnsi="Calibri"/>
          <w:b/>
          <w:bCs/>
          <w:color w:val="1A5276"/>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A5276"/>
          <w:sz w:val="32"/>
          <w:szCs w:val="32"/>
        </w:rPr>
        <w:t xml:space="preserve">1. Executive Summary</w:t>
      </w:r>
    </w:p>
    <w:p>
      <w:pPr>
        <w:spacing w:after="120"/>
        <w:jc w:val="both"/>
      </w:pPr>
      <w:r>
        <w:rPr>
          <w:rFonts w:ascii="Calibri" w:cs="Calibri" w:eastAsia="Calibri" w:hAnsi="Calibri"/>
          <w:color w:val="333333"/>
          <w:sz w:val="22"/>
          <w:szCs w:val="22"/>
        </w:rPr>
        <w:t xml:space="preserve">The Integrated Payment Transformation System (IPTS) is an enterprise-grade financial settlement platform built on a 7-layer convergent architecture. Its primary mission is to collapse cross-border settlement cycles from the traditional T+5 (five business days) to under 10 seconds, achieving near-real-time atomic settlement.</w:t>
      </w:r>
    </w:p>
    <w:p>
      <w:pPr>
        <w:spacing w:after="80"/>
      </w:pPr>
    </w:p>
    <w:p>
      <w:pPr>
        <w:spacing w:after="120"/>
        <w:jc w:val="both"/>
      </w:pPr>
      <w:r>
        <w:rPr>
          <w:rFonts w:ascii="Calibri" w:cs="Calibri" w:eastAsia="Calibri" w:hAnsi="Calibri"/>
          <w:color w:val="333333"/>
          <w:sz w:val="22"/>
          <w:szCs w:val="22"/>
        </w:rPr>
        <w:t xml:space="preserve">IPTS integrates four foundational technology pillars into a unified platform:</w:t>
      </w:r>
    </w:p>
    <w:p>
      <w:pPr>
        <w:pStyle w:val="ListParagraph"/>
        <w:numPr>
          <w:ilvl w:val="0"/>
          <w:numId w:val="2"/>
        </w:numPr>
        <w:spacing w:after="60"/>
      </w:pPr>
      <w:r>
        <w:rPr>
          <w:rFonts w:ascii="Calibri" w:cs="Calibri" w:eastAsia="Calibri" w:hAnsi="Calibri"/>
          <w:b/>
          <w:bCs/>
          <w:color w:val="2C3E50"/>
          <w:sz w:val="22"/>
          <w:szCs w:val="22"/>
        </w:rPr>
        <w:t xml:space="preserve">Blockchain Settlement: </w:t>
      </w:r>
      <w:r>
        <w:rPr>
          <w:rFonts w:ascii="Calibri" w:cs="Calibri" w:eastAsia="Calibri" w:hAnsi="Calibri"/>
          <w:color w:val="333333"/>
          <w:sz w:val="22"/>
          <w:szCs w:val="22"/>
        </w:rPr>
        <w:t xml:space="preserve">Ethereum smart contracts (Solidity ^0.8.0) deployed on a local Ganache blockchain provide immutable, atomic T+0 settlement with cryptographic audit trails.</w:t>
      </w:r>
    </w:p>
    <w:p>
      <w:pPr>
        <w:pStyle w:val="ListParagraph"/>
        <w:numPr>
          <w:ilvl w:val="0"/>
          <w:numId w:val="2"/>
        </w:numPr>
        <w:spacing w:after="60"/>
      </w:pPr>
      <w:r>
        <w:rPr>
          <w:rFonts w:ascii="Calibri" w:cs="Calibri" w:eastAsia="Calibri" w:hAnsi="Calibri"/>
          <w:b/>
          <w:bCs/>
          <w:color w:val="2C3E50"/>
          <w:sz w:val="22"/>
          <w:szCs w:val="22"/>
        </w:rPr>
        <w:t xml:space="preserve">AI/ML Fraud Detection: </w:t>
      </w:r>
      <w:r>
        <w:rPr>
          <w:rFonts w:ascii="Calibri" w:cs="Calibri" w:eastAsia="Calibri" w:hAnsi="Calibri"/>
          <w:color w:val="333333"/>
          <w:sz w:val="22"/>
          <w:szCs w:val="22"/>
        </w:rPr>
        <w:t xml:space="preserve">A 4-model ensemble (Isolation Forest, Random Forest, XGBoost, Autoencoder) trained on 15,000 synthetic transactions provides real-time risk scoring on every transaction.</w:t>
      </w:r>
    </w:p>
    <w:p>
      <w:pPr>
        <w:pStyle w:val="ListParagraph"/>
        <w:numPr>
          <w:ilvl w:val="0"/>
          <w:numId w:val="2"/>
        </w:numPr>
        <w:spacing w:after="60"/>
      </w:pPr>
      <w:r>
        <w:rPr>
          <w:rFonts w:ascii="Calibri" w:cs="Calibri" w:eastAsia="Calibri" w:hAnsi="Calibri"/>
          <w:b/>
          <w:bCs/>
          <w:color w:val="2C3E50"/>
          <w:sz w:val="22"/>
          <w:szCs w:val="22"/>
        </w:rPr>
        <w:t xml:space="preserve">Zero Trust Security: </w:t>
      </w:r>
      <w:r>
        <w:rPr>
          <w:rFonts w:ascii="Calibri" w:cs="Calibri" w:eastAsia="Calibri" w:hAnsi="Calibri"/>
          <w:color w:val="333333"/>
          <w:sz w:val="22"/>
          <w:szCs w:val="22"/>
        </w:rPr>
        <w:t xml:space="preserve">JWT-based authentication, role-based access control (RBAC) with 5 distinct roles, rate limiting, and comprehensive security headers enforce a zero-implicit-trust perimeter.</w:t>
      </w:r>
    </w:p>
    <w:p>
      <w:pPr>
        <w:pStyle w:val="ListParagraph"/>
        <w:numPr>
          <w:ilvl w:val="0"/>
          <w:numId w:val="2"/>
        </w:numPr>
        <w:spacing w:after="60"/>
      </w:pPr>
      <w:r>
        <w:rPr>
          <w:rFonts w:ascii="Calibri" w:cs="Calibri" w:eastAsia="Calibri" w:hAnsi="Calibri"/>
          <w:b/>
          <w:bCs/>
          <w:color w:val="2C3E50"/>
          <w:sz w:val="22"/>
          <w:szCs w:val="22"/>
        </w:rPr>
        <w:t xml:space="preserve">GDPR-Compliant Data Sovereignty: </w:t>
      </w:r>
      <w:r>
        <w:rPr>
          <w:rFonts w:ascii="Calibri" w:cs="Calibri" w:eastAsia="Calibri" w:hAnsi="Calibri"/>
          <w:color w:val="333333"/>
          <w:sz w:val="22"/>
          <w:szCs w:val="22"/>
        </w:rPr>
        <w:t xml:space="preserve">Off-chain PII vaulting with on-chain hash anchoring ensures regulatory compliance while maintaining blockchain immutability.</w:t>
      </w:r>
    </w:p>
    <w:p>
      <w:pPr>
        <w:spacing w:after="80"/>
      </w:pPr>
    </w:p>
    <w:p>
      <w:pPr>
        <w:spacing w:after="120"/>
        <w:jc w:val="both"/>
      </w:pPr>
      <w:r>
        <w:rPr>
          <w:rFonts w:ascii="Calibri" w:cs="Calibri" w:eastAsia="Calibri" w:hAnsi="Calibri"/>
          <w:color w:val="333333"/>
          <w:sz w:val="22"/>
          <w:szCs w:val="22"/>
        </w:rPr>
        <w:t xml:space="preserve">The entire system is packaged as a single Python deployment script (~2,500 lines) designed to run in Google Colab. Within 90-120 seconds, it orchestrates dependency installation, ML model training, smart contract compilation and deployment, Flask API server startup, and public URL exposure via Localtunnel.</w:t>
      </w:r>
    </w:p>
    <w:p>
      <w:pPr>
        <w:spacing w:after="80"/>
      </w:pPr>
    </w:p>
    <w:p>
      <w:pPr>
        <w:spacing w:after="120"/>
        <w:jc w:val="both"/>
      </w:pPr>
      <w:r>
        <w:rPr>
          <w:rFonts w:ascii="Calibri" w:cs="Calibri" w:eastAsia="Calibri" w:hAnsi="Calibri"/>
          <w:color w:val="333333"/>
          <w:sz w:val="22"/>
          <w:szCs w:val="22"/>
        </w:rPr>
        <w:t xml:space="preserve">Key capabilities include automated AML screening with configurable blocking thresholds ($100K+ auto-block), human-in-the-loop (HITL) triage for blocked transactions, compliance case management with SAR filing workflows, SWIFT GPI payment tracking, and a professional real-time dashboard with 7 functional tabs.</w:t>
      </w:r>
    </w:p>
    <w:p>
      <w:r>
        <w:br w:type="page"/>
      </w:r>
    </w:p>
    <w:p>
      <w:pPr>
        <w:pStyle w:val="Heading1"/>
        <w:spacing w:after="200" w:before="360"/>
      </w:pPr>
      <w:r>
        <w:rPr>
          <w:rFonts w:ascii="Calibri" w:cs="Calibri" w:eastAsia="Calibri" w:hAnsi="Calibri"/>
          <w:b/>
          <w:bCs/>
          <w:color w:val="1A5276"/>
          <w:sz w:val="32"/>
          <w:szCs w:val="32"/>
        </w:rPr>
        <w:t xml:space="preserve">2. System Architecture</w:t>
      </w:r>
    </w:p>
    <w:p>
      <w:pPr>
        <w:spacing w:after="120"/>
        <w:jc w:val="both"/>
      </w:pPr>
      <w:r>
        <w:rPr>
          <w:rFonts w:ascii="Calibri" w:cs="Calibri" w:eastAsia="Calibri" w:hAnsi="Calibri"/>
          <w:color w:val="333333"/>
          <w:sz w:val="22"/>
          <w:szCs w:val="22"/>
        </w:rPr>
        <w:t xml:space="preserve">IPTS implements a 7-Layer Convergent Architecture where each layer encapsulates a specific domain concern. This separation enables independent scaling, testing, and regulatory auditing of each layer while maintaining cohesive end-to-end transaction processing.</w:t>
      </w:r>
    </w:p>
    <w:p>
      <w:pPr>
        <w:spacing w:after="80"/>
      </w:pPr>
    </w:p>
    <w:p>
      <w:pPr>
        <w:pStyle w:val="Heading2"/>
        <w:spacing w:after="160" w:before="280"/>
      </w:pPr>
      <w:r>
        <w:rPr>
          <w:rFonts w:ascii="Calibri" w:cs="Calibri" w:eastAsia="Calibri" w:hAnsi="Calibri"/>
          <w:b/>
          <w:bCs/>
          <w:color w:val="2C3E50"/>
          <w:sz w:val="26"/>
          <w:szCs w:val="26"/>
        </w:rPr>
        <w:t xml:space="preserve">2.1 Architecture Overview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Name</w:t>
            </w:r>
          </w:p>
        </w:tc>
        <w:tc>
          <w:tcPr>
            <w:tcW w:type="dxa" w:w="57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Layer 1</w:t>
            </w:r>
          </w:p>
        </w:tc>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Presentation</w:t>
            </w:r>
          </w:p>
        </w:tc>
        <w:tc>
          <w:tcPr>
            <w:tcW w:type="dxa" w:w="57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Single-page application with Tailwind CSS, Chart.js, D3.js, and Server-Sent Events (SSE) for real-time dashboard updates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Layer 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Security</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Zero Trust perimeter with JWT HS256 auth, rate limiting (100 req/min), RBAC with 5 roles, HSTS, XSS, and CORS headers</w:t>
            </w:r>
          </w:p>
        </w:tc>
      </w:tr>
      <w:tr>
        <w:tc>
          <w:tcPr>
            <w:tcW w:type="dxa" w:w="1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Layer 3</w:t>
            </w:r>
          </w:p>
        </w:tc>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AI/ML Intelligence</w:t>
            </w:r>
          </w:p>
        </w:tc>
        <w:tc>
          <w:tcPr>
            <w:tcW w:type="dxa" w:w="57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4-model ensemble (Isolation Forest, Random Forest, XGBoost, Autoencoder), NLP watchlist screening, PageRank graph analysis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Layer 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Compliance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AML/KYC screening, HITL triage, case management lifecycle, SAR filing, sanctions database, SWIFT GPI tracking</w:t>
            </w:r>
          </w:p>
        </w:tc>
      </w:tr>
      <w:tr>
        <w:tc>
          <w:tcPr>
            <w:tcW w:type="dxa" w:w="1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Layer 5</w:t>
            </w:r>
          </w:p>
        </w:tc>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Blockchain</w:t>
            </w:r>
          </w:p>
        </w:tc>
        <w:tc>
          <w:tcPr>
            <w:tcW w:type="dxa" w:w="57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Ethereum smart contracts (Solidity ^0.8.0), atomic swaps, Nostro/Vostro liquidity, multi-sig approval, compliance oracle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Layer 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Data Sovereignty</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SQLite off-chain vault, GDPR right to erasure, PII encryption, SHA-256 hash anchoring, ISO 20022 payload separation</w:t>
            </w:r>
          </w:p>
        </w:tc>
      </w:tr>
      <w:tr>
        <w:tc>
          <w:tcPr>
            <w:tcW w:type="dxa" w:w="1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Layer 7</w:t>
            </w:r>
          </w:p>
        </w:tc>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Infrastructure</w:t>
            </w:r>
          </w:p>
        </w:tc>
        <w:tc>
          <w:tcPr>
            <w:tcW w:type="dxa" w:w="57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Ganache local blockchain, Flask API server, Localtunnel public exposure, automated ML training pipeline, process orchestration</w:t>
            </w:r>
          </w:p>
        </w:tc>
      </w:tr>
    </w:tbl>
    <w:p>
      <w:pPr>
        <w:spacing w:after="80"/>
      </w:pPr>
    </w:p>
    <w:p>
      <w:pPr>
        <w:pStyle w:val="Heading2"/>
        <w:spacing w:after="160" w:before="280"/>
      </w:pPr>
      <w:r>
        <w:rPr>
          <w:rFonts w:ascii="Calibri" w:cs="Calibri" w:eastAsia="Calibri" w:hAnsi="Calibri"/>
          <w:b/>
          <w:bCs/>
          <w:color w:val="2C3E50"/>
          <w:sz w:val="26"/>
          <w:szCs w:val="26"/>
        </w:rPr>
        <w:t xml:space="preserve">2.2 Seven-Layer Convergent Architecture</w:t>
      </w:r>
    </w:p>
    <w:p>
      <w:pPr>
        <w:spacing w:after="120"/>
        <w:jc w:val="both"/>
      </w:pPr>
      <w:r>
        <w:rPr>
          <w:rFonts w:ascii="Calibri" w:cs="Calibri" w:eastAsia="Calibri" w:hAnsi="Calibri"/>
          <w:color w:val="333333"/>
          <w:sz w:val="22"/>
          <w:szCs w:val="22"/>
        </w:rPr>
        <w:t xml:space="preserve">The following diagram presents the complete IPTS seven-layer convergent architecture. The layers are organized into three logical sections: Interaction and Intelligence (Layers 1-3), Security and Compliance (Layers 4-5), and Settlement Infrastructure (Layers 6-7). Layer 1 (Interaction) encompasses digital portals, wallets, and automated triggers that serve as the entry points for all transaction requests. Layer 2 (Integration) handles ISO 20022 message formatting, core banking system connectivity, and RTGS interfacing. Layer 3 (Intelligence) is the cognitive core, housing the AML/KYC screening engine, the four-model ML ensemble, graph analytics for network-based risk detection, and NLP-based sanctions screening.</w:t>
      </w:r>
    </w:p>
    <w:p>
      <w:pPr>
        <w:spacing w:after="120"/>
        <w:jc w:val="both"/>
      </w:pPr>
      <w:r>
        <w:rPr>
          <w:rFonts w:ascii="Calibri" w:cs="Calibri" w:eastAsia="Calibri" w:hAnsi="Calibri"/>
          <w:color w:val="333333"/>
          <w:sz w:val="22"/>
          <w:szCs w:val="22"/>
        </w:rPr>
        <w:t xml:space="preserve">Layers 4 and 5 form the security and compliance boundary. Layer 4 (Security) implements Zero Trust principles including JWT authentication, RBAC enforcement, AES-256 encryption at rest and in transit, and HSM-backed key management. Layer 5 (Compliance) provides the human-in-the-loop triage queue, full case management lifecycle, SAR reporting workflows, and real-time sanctions screening against global watchlists.</w:t>
      </w:r>
    </w:p>
    <w:p>
      <w:pPr>
        <w:spacing w:after="120"/>
        <w:jc w:val="both"/>
      </w:pPr>
      <w:r>
        <w:rPr>
          <w:rFonts w:ascii="Calibri" w:cs="Calibri" w:eastAsia="Calibri" w:hAnsi="Calibri"/>
          <w:color w:val="333333"/>
          <w:sz w:val="22"/>
          <w:szCs w:val="22"/>
        </w:rPr>
        <w:t xml:space="preserve">The settlement infrastructure comprises Layers 6 and 7. Layer 6 (Distributed Ledger) contains the atomic swap engine, smart contract execution environment, Nostro/Vostro balance management, and multi-signature approval workflows for high-value transactions. Layer 7 (Data) ensures tamper-evident audit trails through SHA-256 hash anchoring, Merkle tree root verification, GDPR-compliant PII vaulting with consent management, and ISO 20022 payload separation between on-chain and off-chain storage.</w:t>
      </w:r>
    </w:p>
    <w:p>
      <w:pPr>
        <w:spacing w:after="80" w:before="200"/>
        <w:jc w:val="center"/>
      </w:pPr>
      <w:r>
        <w:drawing>
          <wp:inline distT="0" distB="0" distL="0" distR="0">
            <wp:extent cx="5524500" cy="4000500"/>
            <wp:effectExtent t="0" r="0" b="0" l="0"/>
            <wp:docPr id="1" name="ipts_seven_layer_convergent_architecture" descr="Complete overview of the IPTS 7-layer architecture showing Interaction and Intelligence (Layers 1-3), Security and Compliance (Layers 4-5), and Settlement Infrastructure (Layers 6-7)" title="IPTS Seven-Layer Converg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00050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1: IPTS Seven-Layer Convergent Architecture Overview</w:t>
      </w:r>
    </w:p>
    <w:p>
      <w:pPr>
        <w:spacing w:after="80"/>
      </w:pPr>
    </w:p>
    <w:p>
      <w:pPr>
        <w:pStyle w:val="Heading2"/>
        <w:spacing w:after="160" w:before="280"/>
      </w:pPr>
      <w:r>
        <w:rPr>
          <w:rFonts w:ascii="Calibri" w:cs="Calibri" w:eastAsia="Calibri" w:hAnsi="Calibri"/>
          <w:b/>
          <w:bCs/>
          <w:color w:val="2C3E50"/>
          <w:sz w:val="26"/>
          <w:szCs w:val="26"/>
        </w:rPr>
        <w:t xml:space="preserve">2.3 Layer 1 — Interaction Architecture</w:t>
      </w:r>
    </w:p>
    <w:p>
      <w:pPr>
        <w:spacing w:after="120"/>
        <w:jc w:val="both"/>
      </w:pPr>
      <w:r>
        <w:rPr>
          <w:rFonts w:ascii="Calibri" w:cs="Calibri" w:eastAsia="Calibri" w:hAnsi="Calibri"/>
          <w:color w:val="333333"/>
          <w:sz w:val="22"/>
          <w:szCs w:val="22"/>
        </w:rPr>
        <w:t xml:space="preserve">The Interaction Layer serves as the primary interface between external users and the IPTS platform. It defines three categories of interaction entry points: digital portals (web-based dashboards and administrative consoles), wallet integrations (for direct blockchain-based transaction initiation), and automated triggers (scheduled batch processing and event-driven transaction flows). Each entry point feeds into a unified request pipeline that normalizes input formats before passing them to the Integration Layer. The architecture ensures that regardless of the originating channel, all transactions undergo identical validation, authentication, and enrichment before entering the processing pipeline.</w:t>
      </w:r>
    </w:p>
    <w:p>
      <w:pPr>
        <w:spacing w:after="80" w:before="200"/>
        <w:jc w:val="center"/>
      </w:pPr>
      <w:r>
        <w:drawing>
          <wp:inline distT="0" distB="0" distL="0" distR="0">
            <wp:extent cx="5524500" cy="3619500"/>
            <wp:effectExtent t="0" r="0" b="0" l="0"/>
            <wp:docPr id="1" name="ipts_layer1_interaction_architecture" descr="Layer 1 Interaction architecture showing digital portals, wallet integrations, and automated triggers feeding into the unified request pipeline" title="IPTS Interaction Lay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61950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2: Layer 1 — Interaction Architecture</w:t>
      </w:r>
    </w:p>
    <w:p>
      <w:pPr>
        <w:spacing w:after="80"/>
      </w:pPr>
    </w:p>
    <w:p>
      <w:pPr>
        <w:pStyle w:val="Heading2"/>
        <w:spacing w:after="160" w:before="280"/>
      </w:pPr>
      <w:r>
        <w:rPr>
          <w:rFonts w:ascii="Calibri" w:cs="Calibri" w:eastAsia="Calibri" w:hAnsi="Calibri"/>
          <w:b/>
          <w:bCs/>
          <w:color w:val="2C3E50"/>
          <w:sz w:val="26"/>
          <w:szCs w:val="26"/>
        </w:rPr>
        <w:t xml:space="preserve">2.4 Layer 1 — Integration Architecture</w:t>
      </w:r>
    </w:p>
    <w:p>
      <w:pPr>
        <w:spacing w:after="120"/>
        <w:jc w:val="both"/>
      </w:pPr>
      <w:r>
        <w:rPr>
          <w:rFonts w:ascii="Calibri" w:cs="Calibri" w:eastAsia="Calibri" w:hAnsi="Calibri"/>
          <w:color w:val="333333"/>
          <w:sz w:val="22"/>
          <w:szCs w:val="22"/>
        </w:rPr>
        <w:t xml:space="preserve">The Integration Layer connects IPTS with the broader financial ecosystem. External systems including originating banks, beneficiary banks, regulatory bodies, and FX/liquidity providers communicate through a centralized API Gateway that enforces rate limiting, authentication validation, request routing, and schema validation. Incoming messages pass through a Message Transformer that provides ISO 20022 parsing, format adaptation between legacy and modern message standards, and data enrichment with reference data. Transformed messages are then dispatched to internal services via an event bus, ensuring loose coupling between the integration boundary and core processing logic. This architecture allows IPTS to interface with SWIFT, SEPA, Fedwire, and proprietary banking protocols without modifying internal settlement logic.</w:t>
      </w:r>
    </w:p>
    <w:p>
      <w:pPr>
        <w:spacing w:after="80" w:before="200"/>
        <w:jc w:val="center"/>
      </w:pPr>
      <w:r>
        <w:drawing>
          <wp:inline distT="0" distB="0" distL="0" distR="0">
            <wp:extent cx="5524500" cy="3619500"/>
            <wp:effectExtent t="0" r="0" b="0" l="0"/>
            <wp:docPr id="1" name="ipts_layer1_integration_architecture" descr="Layer 1 Integration architecture showing external systems connecting through API Gateway and Message Transformer to internal services via event bus" title="IPTS Integration Lay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61950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3: Layer 1 — Integration Architecture</w:t>
      </w:r>
    </w:p>
    <w:p>
      <w:pPr>
        <w:spacing w:after="80"/>
      </w:pPr>
    </w:p>
    <w:p>
      <w:pPr>
        <w:pStyle w:val="Heading2"/>
        <w:spacing w:after="160" w:before="280"/>
      </w:pPr>
      <w:r>
        <w:rPr>
          <w:rFonts w:ascii="Calibri" w:cs="Calibri" w:eastAsia="Calibri" w:hAnsi="Calibri"/>
          <w:b/>
          <w:bCs/>
          <w:color w:val="2C3E50"/>
          <w:sz w:val="26"/>
          <w:szCs w:val="26"/>
        </w:rPr>
        <w:t xml:space="preserve">2.5 Layer 2 — Zero Trust Security Architecture</w:t>
      </w:r>
    </w:p>
    <w:p>
      <w:pPr>
        <w:spacing w:after="120"/>
        <w:jc w:val="both"/>
      </w:pPr>
      <w:r>
        <w:rPr>
          <w:rFonts w:ascii="Calibri" w:cs="Calibri" w:eastAsia="Calibri" w:hAnsi="Calibri"/>
          <w:color w:val="333333"/>
          <w:sz w:val="22"/>
          <w:szCs w:val="22"/>
        </w:rPr>
        <w:t xml:space="preserve">The Security Layer implements a comprehensive Zero Trust model where no request is implicitly trusted regardless of origin. The architecture is organized into four security domains. Identity and Access Management provides zero-knowledge proof verification, self-sovereign identity (SSI) support, multi-factor authentication with biometric options, and fine-grained role-based access control. Micro-segmentation enforces network isolation between service components, workload segmentation to prevent lateral movement, data classification policies, and lateral movement prevention through service mesh controls.</w:t>
      </w:r>
    </w:p>
    <w:p>
      <w:pPr>
        <w:spacing w:after="120"/>
        <w:jc w:val="both"/>
      </w:pPr>
      <w:r>
        <w:rPr>
          <w:rFonts w:ascii="Calibri" w:cs="Calibri" w:eastAsia="Calibri" w:hAnsi="Calibri"/>
          <w:color w:val="333333"/>
          <w:sz w:val="22"/>
          <w:szCs w:val="22"/>
        </w:rPr>
        <w:t xml:space="preserve">All interactions undergo Continuous Verification, ensuring that trust is re-evaluated at every request boundary rather than being established once at session creation. The Cryptographic Layer provides PKI infrastructure for certificate management, HSM integration for hardware-backed key storage, TLS 1.3 mutual authentication for all inter-service communication, and automated key rotation on configurable schedules. The Threat Intelligence domain integrates with SIEM systems for centralized security event monitoring, employs anomaly detection algorithms for identifying unusual access patterns, consumes external threat feeds for proactive defense, and maintains incident response playbooks for automated remediation.</w:t>
      </w:r>
    </w:p>
    <w:p>
      <w:pPr>
        <w:spacing w:after="80" w:before="200"/>
        <w:jc w:val="center"/>
      </w:pPr>
      <w:r>
        <w:drawing>
          <wp:inline distT="0" distB="0" distL="0" distR="0">
            <wp:extent cx="5524500" cy="3810000"/>
            <wp:effectExtent t="0" r="0" b="0" l="0"/>
            <wp:docPr id="1" name="ipts_layer2_security_architecture" descr="Layer 2 Security architecture showing Identity and Access Management, Micro-segmentation, Continuous Verification, Cryptographic Layer, and Threat Intelligence domains" title="IPTS Zero Trust Security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81000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4: Layer 2 — Zero Trust Security Architecture</w:t>
      </w:r>
    </w:p>
    <w:p>
      <w:pPr>
        <w:spacing w:after="80"/>
      </w:pPr>
    </w:p>
    <w:p>
      <w:pPr>
        <w:pStyle w:val="Heading2"/>
        <w:spacing w:after="160" w:before="280"/>
      </w:pPr>
      <w:r>
        <w:rPr>
          <w:rFonts w:ascii="Calibri" w:cs="Calibri" w:eastAsia="Calibri" w:hAnsi="Calibri"/>
          <w:b/>
          <w:bCs/>
          <w:color w:val="2C3E50"/>
          <w:sz w:val="26"/>
          <w:szCs w:val="26"/>
        </w:rPr>
        <w:t xml:space="preserve">2.6 Layer 6 — Data Architecture</w:t>
      </w:r>
    </w:p>
    <w:p>
      <w:pPr>
        <w:spacing w:after="120"/>
        <w:jc w:val="both"/>
      </w:pPr>
      <w:r>
        <w:rPr>
          <w:rFonts w:ascii="Calibri" w:cs="Calibri" w:eastAsia="Calibri" w:hAnsi="Calibri"/>
          <w:color w:val="333333"/>
          <w:sz w:val="22"/>
          <w:szCs w:val="22"/>
        </w:rPr>
        <w:t xml:space="preserve">The Data Layer ensures the integrity, immutability, and regulatory compliance of all settlement data. Data flows from the Distributed Ledger into three specialized subsystems. The Hash Anchoring subsystem computes SHA-256 hashes of transaction payloads and anchors Merkle tree roots on-chain, creating a cryptographic proof chain that can verify the integrity of any historical transaction without exposing raw data. The Tamper-Evident Audit Trail maintains immutable logs with cryptographic timestamp proofs and full chain of custody records, ensuring that every action taken on the platform is permanently recorded and verifiable.</w:t>
      </w:r>
    </w:p>
    <w:p>
      <w:pPr>
        <w:spacing w:after="120"/>
        <w:jc w:val="both"/>
      </w:pPr>
      <w:r>
        <w:rPr>
          <w:rFonts w:ascii="Calibri" w:cs="Calibri" w:eastAsia="Calibri" w:hAnsi="Calibri"/>
          <w:color w:val="333333"/>
          <w:sz w:val="22"/>
          <w:szCs w:val="22"/>
        </w:rPr>
        <w:t xml:space="preserve">The GDPR Compliance Vault addresses data sovereignty requirements by storing encrypted PII in a segregated database with full consent management, right-to-erasure implementation, and data minimization policies. When a GDPR erasure request is processed, the vault anonymizes PII fields while preserving the on-chain hash anchors, maintaining audit integrity without retaining personal data. A Reconciliation Engine continuously verifies consistency between on-chain records, off-chain vault data, and the audit trail, automatically flagging any discrepancies for investigation.</w:t>
      </w:r>
    </w:p>
    <w:p>
      <w:pPr>
        <w:spacing w:after="80" w:before="200"/>
        <w:jc w:val="center"/>
      </w:pPr>
      <w:r>
        <w:drawing>
          <wp:inline distT="0" distB="0" distL="0" distR="0">
            <wp:extent cx="5524500" cy="3810000"/>
            <wp:effectExtent t="0" r="0" b="0" l="0"/>
            <wp:docPr id="1" name="ipts_layer6_data_architecture" descr="Layer 6 Data architecture showing Hash Anchoring, Tamper-Evident Audit Trail, GDPR Compliance Vault, and Reconciliation Engine" title="IPTS Data Lay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81000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5: Layer 6 — Data Architecture</w:t>
      </w:r>
    </w:p>
    <w:p>
      <w:pPr>
        <w:spacing w:after="80"/>
      </w:pPr>
    </w:p>
    <w:p>
      <w:pPr>
        <w:pStyle w:val="Heading2"/>
        <w:spacing w:after="160" w:before="280"/>
      </w:pPr>
      <w:r>
        <w:rPr>
          <w:rFonts w:ascii="Calibri" w:cs="Calibri" w:eastAsia="Calibri" w:hAnsi="Calibri"/>
          <w:b/>
          <w:bCs/>
          <w:color w:val="2C3E50"/>
          <w:sz w:val="26"/>
          <w:szCs w:val="26"/>
        </w:rPr>
        <w:t xml:space="preserve">2.7 Layer 7 — Infrastructure Architecture</w:t>
      </w:r>
    </w:p>
    <w:p>
      <w:pPr>
        <w:spacing w:after="120"/>
        <w:jc w:val="both"/>
      </w:pPr>
      <w:r>
        <w:rPr>
          <w:rFonts w:ascii="Calibri" w:cs="Calibri" w:eastAsia="Calibri" w:hAnsi="Calibri"/>
          <w:color w:val="333333"/>
          <w:sz w:val="22"/>
          <w:szCs w:val="22"/>
        </w:rPr>
        <w:t xml:space="preserve">The Infrastructure Layer provides the runtime foundation for the entire IPTS platform. The Hybrid Cloud Backbone orchestrates workloads across private cloud infrastructure (for sensitive financial data processing) and public cloud resources (for scalable compute), unified through Kubernetes orchestration that manages container deployment, scaling, and service discovery. Validator Nodes form the consensus layer, with consensus validators, endorsing peers, and Byzantine Fault Tolerance (BFT) threshold configurations ensuring that settlement finality is achieved even in the presence of malicious or faulty nodes.</w:t>
      </w:r>
    </w:p>
    <w:p>
      <w:pPr>
        <w:spacing w:after="120"/>
        <w:jc w:val="both"/>
      </w:pPr>
      <w:r>
        <w:rPr>
          <w:rFonts w:ascii="Calibri" w:cs="Calibri" w:eastAsia="Calibri" w:hAnsi="Calibri"/>
          <w:color w:val="333333"/>
          <w:sz w:val="22"/>
          <w:szCs w:val="22"/>
        </w:rPr>
        <w:t xml:space="preserve">The Observability Stack provides comprehensive operational visibility through Prometheus metrics collection for real-time performance monitoring, distributed tracing for end-to-end transaction flow analysis across microservices, and centralized log aggregation for troubleshooting and compliance auditing. The Disaster Recovery subsystem ensures business continuity with geo-replicated data stores, automatic failover mechanisms, a Recovery Point Objective (RPO) of less than 1 minute ensuring minimal data loss, and a Recovery Time Objective (RTO) of less than 5 minutes for full service restoration.</w:t>
      </w:r>
    </w:p>
    <w:p>
      <w:pPr>
        <w:spacing w:after="80" w:before="200"/>
        <w:jc w:val="center"/>
      </w:pPr>
      <w:r>
        <w:drawing>
          <wp:inline distT="0" distB="0" distL="0" distR="0">
            <wp:extent cx="5524500" cy="3810000"/>
            <wp:effectExtent t="0" r="0" b="0" l="0"/>
            <wp:docPr id="1" name="ipts_layer7_infrastructure_architecture" descr="Layer 7 Infrastructure architecture showing Hybrid Cloud Backbone, Validator Nodes, Observability Stack, and Disaster Recovery subsystems" title="IPTS Infrastructur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81000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6: Layer 7 — Infrastructure Architecture</w:t>
      </w:r>
    </w:p>
    <w:p>
      <w:r>
        <w:br w:type="page"/>
      </w:r>
    </w:p>
    <w:p>
      <w:pPr>
        <w:pStyle w:val="Heading1"/>
        <w:spacing w:after="200" w:before="360"/>
      </w:pPr>
      <w:r>
        <w:rPr>
          <w:rFonts w:ascii="Calibri" w:cs="Calibri" w:eastAsia="Calibri" w:hAnsi="Calibri"/>
          <w:b/>
          <w:bCs/>
          <w:color w:val="1A5276"/>
          <w:sz w:val="32"/>
          <w:szCs w:val="32"/>
        </w:rPr>
        <w:t xml:space="preserve">3. Technical Components</w:t>
      </w:r>
    </w:p>
    <w:p>
      <w:pPr>
        <w:pStyle w:val="Heading2"/>
        <w:spacing w:after="160" w:before="280"/>
      </w:pPr>
      <w:r>
        <w:rPr>
          <w:rFonts w:ascii="Calibri" w:cs="Calibri" w:eastAsia="Calibri" w:hAnsi="Calibri"/>
          <w:b/>
          <w:bCs/>
          <w:color w:val="2C3E50"/>
          <w:sz w:val="26"/>
          <w:szCs w:val="26"/>
        </w:rPr>
        <w:t xml:space="preserve">3.1 Blockchain Infrastructure</w:t>
      </w:r>
    </w:p>
    <w:p>
      <w:pPr>
        <w:spacing w:after="120"/>
        <w:jc w:val="both"/>
      </w:pPr>
      <w:r>
        <w:rPr>
          <w:rFonts w:ascii="Calibri" w:cs="Calibri" w:eastAsia="Calibri" w:hAnsi="Calibri"/>
          <w:color w:val="333333"/>
          <w:sz w:val="22"/>
          <w:szCs w:val="22"/>
        </w:rPr>
        <w:t xml:space="preserve">The blockchain layer provides the immutable settlement backbone. Five Solidity smart contracts are compiled using py-solc-x and deployed to a local Ganache instance with 10 pre-funded accounts (1,000 ETH each).</w:t>
      </w:r>
    </w:p>
    <w:p>
      <w:pPr>
        <w:spacing w:after="80"/>
      </w:pPr>
    </w:p>
    <w:p>
      <w:pPr>
        <w:pStyle w:val="Heading3"/>
        <w:spacing w:after="120" w:before="200"/>
      </w:pPr>
      <w:r>
        <w:rPr>
          <w:rFonts w:ascii="Calibri" w:cs="Calibri" w:eastAsia="Calibri" w:hAnsi="Calibri"/>
          <w:b/>
          <w:bCs/>
          <w:color w:val="2C3E50"/>
          <w:sz w:val="22"/>
          <w:szCs w:val="22"/>
        </w:rPr>
        <w:t xml:space="preserve">Smart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Contract</w:t>
            </w:r>
          </w:p>
        </w:tc>
        <w:tc>
          <w:tcPr>
            <w:tcW w:type="dxa" w:w="6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IPTS_Enterprise_Settlement</w:t>
            </w:r>
          </w:p>
        </w:tc>
        <w:tc>
          <w:tcPr>
            <w:tcW w:type="dxa" w:w="6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Primary settlement contract: injectLiquidity, executeAtomicSwap, getNostroBalance, getSettlement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ComplianceOracle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On-chain risk score storage and compliance verification checks</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MultiSigApproval</w:t>
            </w:r>
          </w:p>
        </w:tc>
        <w:tc>
          <w:tcPr>
            <w:tcW w:type="dxa" w:w="6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Multi-signature approval workflow for high-value settlements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AuditTrail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Immutable on-chain audit event logging with timestamps</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NostroVostro</w:t>
            </w:r>
          </w:p>
        </w:tc>
        <w:tc>
          <w:tcPr>
            <w:tcW w:type="dxa" w:w="6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Nostro/Vostro account balance management and reconciliation</w:t>
            </w:r>
          </w:p>
        </w:tc>
      </w:tr>
    </w:tbl>
    <w:p>
      <w:pPr>
        <w:spacing w:after="80"/>
      </w:pPr>
    </w:p>
    <w:p>
      <w:pPr>
        <w:spacing w:after="120"/>
        <w:jc w:val="both"/>
      </w:pPr>
      <w:r>
        <w:rPr>
          <w:rFonts w:ascii="Calibri" w:cs="Calibri" w:eastAsia="Calibri" w:hAnsi="Calibri"/>
          <w:color w:val="333333"/>
          <w:sz w:val="22"/>
          <w:szCs w:val="22"/>
        </w:rPr>
        <w:t xml:space="preserve">The atomic swap mechanism in IPTS_Enterprise_Settlement verifies sender balances, executes the fund transfer, and anchors an immutable bytes32 ISO 20022 hash to the ledger in a single transaction. All settlement amounts are denominated in USD and converted to ETH at a fixed rate of $3,500/ETH for blockchain recording.</w:t>
      </w:r>
    </w:p>
    <w:p>
      <w:pPr>
        <w:spacing w:after="80"/>
      </w:pPr>
    </w:p>
    <w:p>
      <w:pPr>
        <w:pStyle w:val="Heading2"/>
        <w:spacing w:after="160" w:before="280"/>
      </w:pPr>
      <w:r>
        <w:rPr>
          <w:rFonts w:ascii="Calibri" w:cs="Calibri" w:eastAsia="Calibri" w:hAnsi="Calibri"/>
          <w:b/>
          <w:bCs/>
          <w:color w:val="2C3E50"/>
          <w:sz w:val="26"/>
          <w:szCs w:val="26"/>
        </w:rPr>
        <w:t xml:space="preserve">3.2 AI/ML Fraud Detection Engine</w:t>
      </w:r>
    </w:p>
    <w:p>
      <w:pPr>
        <w:spacing w:after="120"/>
        <w:jc w:val="both"/>
      </w:pPr>
      <w:r>
        <w:rPr>
          <w:rFonts w:ascii="Calibri" w:cs="Calibri" w:eastAsia="Calibri" w:hAnsi="Calibri"/>
          <w:color w:val="333333"/>
          <w:sz w:val="22"/>
          <w:szCs w:val="22"/>
        </w:rPr>
        <w:t xml:space="preserve">The cognitive intelligence layer trains four complementary machine learning models on a synthetic dataset of 15,000 transactions (97% legitimate, 3% fraudulent). The models operate as a weighted ensemble for real-time risk scoring.</w:t>
      </w:r>
    </w:p>
    <w:p>
      <w:pPr>
        <w:spacing w:after="80"/>
      </w:pPr>
    </w:p>
    <w:p>
      <w:pPr>
        <w:pStyle w:val="Heading3"/>
        <w:spacing w:after="120" w:before="200"/>
      </w:pPr>
      <w:r>
        <w:rPr>
          <w:rFonts w:ascii="Calibri" w:cs="Calibri" w:eastAsia="Calibri" w:hAnsi="Calibri"/>
          <w:b/>
          <w:bCs/>
          <w:color w:val="2C3E50"/>
          <w:sz w:val="22"/>
          <w:szCs w:val="22"/>
        </w:rPr>
        <w:t xml:space="preserve">Model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560"/>
      </w:tblGrid>
      <w:tr>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Configuration</w:t>
            </w:r>
          </w:p>
        </w:tc>
        <w:tc>
          <w:tcPr>
            <w:tcW w:type="dxa" w:w="3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Isolation Forest</w:t>
            </w:r>
          </w:p>
        </w:tc>
        <w:tc>
          <w:tcPr>
            <w:tcW w:type="dxa" w:w="1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Unsupervised</w:t>
            </w:r>
          </w:p>
        </w:tc>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100 estimators, 3% contamination</w:t>
            </w:r>
          </w:p>
        </w:tc>
        <w:tc>
          <w:tcPr>
            <w:tcW w:type="dxa" w:w="3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Anomaly detection on feature space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Random Forest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Supervised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200 estimators, SMOTE-resampled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Binary fraud classification</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XGBoost</w:t>
            </w:r>
          </w:p>
        </w:tc>
        <w:tc>
          <w:tcPr>
            <w:tcW w:type="dxa" w:w="1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Supervised</w:t>
            </w:r>
          </w:p>
        </w:tc>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300 estimators, class-weighted</w:t>
            </w:r>
          </w:p>
        </w:tc>
        <w:tc>
          <w:tcPr>
            <w:tcW w:type="dxa" w:w="3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Gradient-boosted classification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Autoencoder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Semi-supervised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64-32-16-32-64 MLP, 97th pctl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Reconstruction error anomaly detection</w:t>
            </w:r>
          </w:p>
        </w:tc>
      </w:tr>
    </w:tbl>
    <w:p>
      <w:pPr>
        <w:spacing w:after="80"/>
      </w:pPr>
    </w:p>
    <w:p>
      <w:pPr>
        <w:pStyle w:val="Heading3"/>
        <w:spacing w:after="120" w:before="200"/>
      </w:pPr>
      <w:r>
        <w:rPr>
          <w:rFonts w:ascii="Calibri" w:cs="Calibri" w:eastAsia="Calibri" w:hAnsi="Calibri"/>
          <w:b/>
          <w:bCs/>
          <w:color w:val="2C3E50"/>
          <w:sz w:val="22"/>
          <w:szCs w:val="22"/>
        </w:rPr>
        <w:t xml:space="preserve">Feature Set</w:t>
      </w:r>
    </w:p>
    <w:p>
      <w:pPr>
        <w:spacing w:after="120"/>
        <w:jc w:val="both"/>
      </w:pPr>
      <w:r>
        <w:rPr>
          <w:rFonts w:ascii="Calibri" w:cs="Calibri" w:eastAsia="Calibri" w:hAnsi="Calibri"/>
          <w:color w:val="333333"/>
          <w:sz w:val="22"/>
          <w:szCs w:val="22"/>
        </w:rPr>
        <w:t xml:space="preserve">Each transaction is characterized by 8 features:</w:t>
      </w:r>
    </w:p>
    <w:p>
      <w:pPr>
        <w:pStyle w:val="ListParagraph"/>
        <w:numPr>
          <w:ilvl w:val="0"/>
          <w:numId w:val="2"/>
        </w:numPr>
        <w:spacing w:after="60"/>
      </w:pPr>
      <w:r>
        <w:rPr>
          <w:rFonts w:ascii="Calibri" w:cs="Calibri" w:eastAsia="Calibri" w:hAnsi="Calibri"/>
          <w:color w:val="333333"/>
          <w:sz w:val="22"/>
          <w:szCs w:val="22"/>
        </w:rPr>
        <w:t xml:space="preserve">amount: Transaction value in USD</w:t>
      </w:r>
    </w:p>
    <w:p>
      <w:pPr>
        <w:pStyle w:val="ListParagraph"/>
        <w:numPr>
          <w:ilvl w:val="0"/>
          <w:numId w:val="2"/>
        </w:numPr>
        <w:spacing w:after="60"/>
      </w:pPr>
      <w:r>
        <w:rPr>
          <w:rFonts w:ascii="Calibri" w:cs="Calibri" w:eastAsia="Calibri" w:hAnsi="Calibri"/>
          <w:color w:val="333333"/>
          <w:sz w:val="22"/>
          <w:szCs w:val="22"/>
        </w:rPr>
        <w:t xml:space="preserve">hour: Hour of day (0-23) when transaction was initiated</w:t>
      </w:r>
    </w:p>
    <w:p>
      <w:pPr>
        <w:pStyle w:val="ListParagraph"/>
        <w:numPr>
          <w:ilvl w:val="0"/>
          <w:numId w:val="2"/>
        </w:numPr>
        <w:spacing w:after="60"/>
      </w:pPr>
      <w:r>
        <w:rPr>
          <w:rFonts w:ascii="Calibri" w:cs="Calibri" w:eastAsia="Calibri" w:hAnsi="Calibri"/>
          <w:color w:val="333333"/>
          <w:sz w:val="22"/>
          <w:szCs w:val="22"/>
        </w:rPr>
        <w:t xml:space="preserve">day_of_week: Day of week (0-6)</w:t>
      </w:r>
    </w:p>
    <w:p>
      <w:pPr>
        <w:pStyle w:val="ListParagraph"/>
        <w:numPr>
          <w:ilvl w:val="0"/>
          <w:numId w:val="2"/>
        </w:numPr>
        <w:spacing w:after="60"/>
      </w:pPr>
      <w:r>
        <w:rPr>
          <w:rFonts w:ascii="Calibri" w:cs="Calibri" w:eastAsia="Calibri" w:hAnsi="Calibri"/>
          <w:color w:val="333333"/>
          <w:sz w:val="22"/>
          <w:szCs w:val="22"/>
        </w:rPr>
        <w:t xml:space="preserve">freq_7d: Number of transactions by the same sender in the past 7 days</w:t>
      </w:r>
    </w:p>
    <w:p>
      <w:pPr>
        <w:pStyle w:val="ListParagraph"/>
        <w:numPr>
          <w:ilvl w:val="0"/>
          <w:numId w:val="2"/>
        </w:numPr>
        <w:spacing w:after="60"/>
      </w:pPr>
      <w:r>
        <w:rPr>
          <w:rFonts w:ascii="Calibri" w:cs="Calibri" w:eastAsia="Calibri" w:hAnsi="Calibri"/>
          <w:color w:val="333333"/>
          <w:sz w:val="22"/>
          <w:szCs w:val="22"/>
        </w:rPr>
        <w:t xml:space="preserve">is_round: Binary flag indicating if amount is a round number</w:t>
      </w:r>
    </w:p>
    <w:p>
      <w:pPr>
        <w:pStyle w:val="ListParagraph"/>
        <w:numPr>
          <w:ilvl w:val="0"/>
          <w:numId w:val="2"/>
        </w:numPr>
        <w:spacing w:after="60"/>
      </w:pPr>
      <w:r>
        <w:rPr>
          <w:rFonts w:ascii="Calibri" w:cs="Calibri" w:eastAsia="Calibri" w:hAnsi="Calibri"/>
          <w:color w:val="333333"/>
          <w:sz w:val="22"/>
          <w:szCs w:val="22"/>
        </w:rPr>
        <w:t xml:space="preserve">country_risk: Risk score of recipient jurisdiction (0.0-1.0)</w:t>
      </w:r>
    </w:p>
    <w:p>
      <w:pPr>
        <w:pStyle w:val="ListParagraph"/>
        <w:numPr>
          <w:ilvl w:val="0"/>
          <w:numId w:val="2"/>
        </w:numPr>
        <w:spacing w:after="60"/>
      </w:pPr>
      <w:r>
        <w:rPr>
          <w:rFonts w:ascii="Calibri" w:cs="Calibri" w:eastAsia="Calibri" w:hAnsi="Calibri"/>
          <w:color w:val="333333"/>
          <w:sz w:val="22"/>
          <w:szCs w:val="22"/>
        </w:rPr>
        <w:t xml:space="preserve">sender_id: Numeric identifier of the sending entity</w:t>
      </w:r>
    </w:p>
    <w:p>
      <w:pPr>
        <w:pStyle w:val="ListParagraph"/>
        <w:numPr>
          <w:ilvl w:val="0"/>
          <w:numId w:val="2"/>
        </w:numPr>
        <w:spacing w:after="60"/>
      </w:pPr>
      <w:r>
        <w:rPr>
          <w:rFonts w:ascii="Calibri" w:cs="Calibri" w:eastAsia="Calibri" w:hAnsi="Calibri"/>
          <w:color w:val="333333"/>
          <w:sz w:val="22"/>
          <w:szCs w:val="22"/>
        </w:rPr>
        <w:t xml:space="preserve">receiver_id: Numeric identifier of the receiving entity</w:t>
      </w:r>
    </w:p>
    <w:p>
      <w:pPr>
        <w:spacing w:after="80"/>
      </w:pPr>
    </w:p>
    <w:p>
      <w:pPr>
        <w:pStyle w:val="Heading3"/>
        <w:spacing w:after="120" w:before="200"/>
      </w:pPr>
      <w:r>
        <w:rPr>
          <w:rFonts w:ascii="Calibri" w:cs="Calibri" w:eastAsia="Calibri" w:hAnsi="Calibri"/>
          <w:b/>
          <w:bCs/>
          <w:color w:val="2C3E50"/>
          <w:sz w:val="22"/>
          <w:szCs w:val="22"/>
        </w:rPr>
        <w:t xml:space="preserve">Graph Analysis</w:t>
      </w:r>
    </w:p>
    <w:p>
      <w:pPr>
        <w:spacing w:after="120"/>
        <w:jc w:val="both"/>
      </w:pPr>
      <w:r>
        <w:rPr>
          <w:rFonts w:ascii="Calibri" w:cs="Calibri" w:eastAsia="Calibri" w:hAnsi="Calibri"/>
          <w:color w:val="333333"/>
          <w:sz w:val="22"/>
          <w:szCs w:val="22"/>
        </w:rPr>
        <w:t xml:space="preserve">NetworkX is used for graph-based risk assessment, including PageRank centrality computation to identify high-influence nodes, label propagation community detection to uncover suspicious clusters, and targeted cycle detection on the fraud subgraph (nodes 0-49) to identify potential laundering rings.</w:t>
      </w:r>
    </w:p>
    <w:p>
      <w:pPr>
        <w:spacing w:after="80"/>
      </w:pPr>
    </w:p>
    <w:p>
      <w:pPr>
        <w:pStyle w:val="Heading2"/>
        <w:spacing w:after="160" w:before="280"/>
      </w:pPr>
      <w:r>
        <w:rPr>
          <w:rFonts w:ascii="Calibri" w:cs="Calibri" w:eastAsia="Calibri" w:hAnsi="Calibri"/>
          <w:b/>
          <w:bCs/>
          <w:color w:val="2C3E50"/>
          <w:sz w:val="26"/>
          <w:szCs w:val="26"/>
        </w:rPr>
        <w:t xml:space="preserve">3.3 AML Risk Scoring Engine</w:t>
      </w:r>
    </w:p>
    <w:p>
      <w:pPr>
        <w:spacing w:after="120"/>
        <w:jc w:val="both"/>
      </w:pPr>
      <w:r>
        <w:rPr>
          <w:rFonts w:ascii="Calibri" w:cs="Calibri" w:eastAsia="Calibri" w:hAnsi="Calibri"/>
          <w:color w:val="333333"/>
          <w:sz w:val="22"/>
          <w:szCs w:val="22"/>
        </w:rPr>
        <w:t xml:space="preserve">The AML Risk Engine combines all intelligence sources into a composite risk score using a 4-component weighted system with force-override triggers for critical scenarios.</w:t>
      </w:r>
    </w:p>
    <w:p>
      <w:pPr>
        <w:spacing w:after="80"/>
      </w:pPr>
    </w:p>
    <w:p>
      <w:pPr>
        <w:pStyle w:val="Heading3"/>
        <w:spacing w:after="120" w:before="200"/>
      </w:pPr>
      <w:r>
        <w:rPr>
          <w:rFonts w:ascii="Calibri" w:cs="Calibri" w:eastAsia="Calibri" w:hAnsi="Calibri"/>
          <w:b/>
          <w:bCs/>
          <w:color w:val="2C3E50"/>
          <w:sz w:val="22"/>
          <w:szCs w:val="22"/>
        </w:rPr>
        <w:t xml:space="preserve">Scoring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Weight</w:t>
            </w:r>
          </w:p>
        </w:tc>
        <w:tc>
          <w:tcPr>
            <w:tcW w:type="dxa" w:w="59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Method</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Rule-Based</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30%</w:t>
            </w:r>
          </w:p>
        </w:tc>
        <w:tc>
          <w:tcPr>
            <w:tcW w:type="dxa" w:w="5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Deterministic threshold checks (amount, structuring, jurisdiction, frequency)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ML Ensemble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40%</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Weighted average of 4 model predictions (ISO 20%, RF 35%, XGB 35%, AE 10%)</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NLP Watchlist</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15%</w:t>
            </w:r>
          </w:p>
        </w:tc>
        <w:tc>
          <w:tcPr>
            <w:tcW w:type="dxa" w:w="5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Fuzzy entity matching against watchlist + sanctions database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Graph Risk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15%</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PageRank centrality analysis of sender/receiver in transaction network</w:t>
            </w:r>
          </w:p>
        </w:tc>
      </w:tr>
    </w:tbl>
    <w:p>
      <w:pPr>
        <w:spacing w:after="80"/>
      </w:pPr>
    </w:p>
    <w:p>
      <w:pPr>
        <w:pStyle w:val="Heading3"/>
        <w:spacing w:after="120" w:before="200"/>
      </w:pPr>
      <w:r>
        <w:rPr>
          <w:rFonts w:ascii="Calibri" w:cs="Calibri" w:eastAsia="Calibri" w:hAnsi="Calibri"/>
          <w:b/>
          <w:bCs/>
          <w:color w:val="2C3E50"/>
          <w:sz w:val="22"/>
          <w:szCs w:val="22"/>
        </w:rPr>
        <w:t xml:space="preserve">Force-Override Triggers</w:t>
      </w:r>
    </w:p>
    <w:p>
      <w:pPr>
        <w:spacing w:after="120"/>
        <w:jc w:val="both"/>
      </w:pPr>
      <w:r>
        <w:rPr>
          <w:rFonts w:ascii="Calibri" w:cs="Calibri" w:eastAsia="Calibri" w:hAnsi="Calibri"/>
          <w:color w:val="333333"/>
          <w:sz w:val="22"/>
          <w:szCs w:val="22"/>
        </w:rPr>
        <w:t xml:space="preserve">The following conditions bypass the weighted scoring system and force specific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c>
          <w:tcPr>
            <w:tcW w:type="dxa" w:w="4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Condition</w:t>
            </w:r>
          </w:p>
        </w:tc>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Forced Score</w:t>
            </w:r>
          </w:p>
        </w:tc>
        <w:tc>
          <w:tcPr>
            <w:tcW w:type="dxa" w:w="3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Result</w:t>
            </w:r>
          </w:p>
        </w:tc>
      </w:tr>
      <w:tr>
        <w:tc>
          <w:tcPr>
            <w:tcW w:type="dxa" w:w="4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Transaction amount &gt; $500,000</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CC0000"/>
                <w:sz w:val="20"/>
                <w:szCs w:val="20"/>
              </w:rPr>
              <w:t xml:space="preserve">95+</w:t>
            </w:r>
          </w:p>
        </w:tc>
        <w:tc>
          <w:tcPr>
            <w:tcW w:type="dxa" w:w="3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CC0000"/>
                <w:sz w:val="20"/>
                <w:szCs w:val="20"/>
              </w:rPr>
              <w:t xml:space="preserve">BLOCKED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Transaction amount &gt; $100,000 (AML threshold)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CC0000"/>
                <w:sz w:val="20"/>
                <w:szCs w:val="20"/>
              </w:rPr>
              <w:t xml:space="preserve">85+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CC0000"/>
                <w:sz w:val="20"/>
                <w:szCs w:val="20"/>
              </w:rPr>
              <w:t xml:space="preserve">BLOCKED</w:t>
            </w:r>
          </w:p>
        </w:tc>
      </w:tr>
      <w:tr>
        <w:tc>
          <w:tcPr>
            <w:tcW w:type="dxa" w:w="4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Watchlist or sanctions database match</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CC0000"/>
                <w:sz w:val="20"/>
                <w:szCs w:val="20"/>
              </w:rPr>
              <w:t xml:space="preserve">95+</w:t>
            </w:r>
          </w:p>
        </w:tc>
        <w:tc>
          <w:tcPr>
            <w:tcW w:type="dxa" w:w="3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CC0000"/>
                <w:sz w:val="20"/>
                <w:szCs w:val="20"/>
              </w:rPr>
              <w:t xml:space="preserve">BLOCKED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Structuring ($9K-$9.9K) + high frequency (&gt;10 txns/7d)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CC0000"/>
                <w:sz w:val="20"/>
                <w:szCs w:val="20"/>
              </w:rPr>
              <w:t xml:space="preserve">85+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CC0000"/>
                <w:sz w:val="20"/>
                <w:szCs w:val="20"/>
              </w:rPr>
              <w:t xml:space="preserve">BLOCKED</w:t>
            </w:r>
          </w:p>
        </w:tc>
      </w:tr>
      <w:tr>
        <w:tc>
          <w:tcPr>
            <w:tcW w:type="dxa" w:w="4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High value (&gt;$100K) + high-risk country (&gt;0.7)</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CC0000"/>
                <w:sz w:val="20"/>
                <w:szCs w:val="20"/>
              </w:rPr>
              <w:t xml:space="preserve">85+</w:t>
            </w:r>
          </w:p>
        </w:tc>
        <w:tc>
          <w:tcPr>
            <w:tcW w:type="dxa" w:w="3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CC0000"/>
                <w:sz w:val="20"/>
                <w:szCs w:val="20"/>
              </w:rPr>
              <w:t xml:space="preserve">BLOCKED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Any single scoring component &gt;= 90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E67E00"/>
                <w:sz w:val="20"/>
                <w:szCs w:val="20"/>
              </w:rPr>
              <w:t xml:space="preserve">min 80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CC0000"/>
                <w:sz w:val="20"/>
                <w:szCs w:val="20"/>
              </w:rPr>
              <w:t xml:space="preserve">BLOCKED</w:t>
            </w:r>
          </w:p>
        </w:tc>
      </w:tr>
    </w:tbl>
    <w:p>
      <w:pPr>
        <w:spacing w:after="80"/>
      </w:pPr>
    </w:p>
    <w:p>
      <w:pPr>
        <w:pStyle w:val="Heading3"/>
        <w:spacing w:after="120" w:before="200"/>
      </w:pPr>
      <w:r>
        <w:rPr>
          <w:rFonts w:ascii="Calibri" w:cs="Calibri" w:eastAsia="Calibri" w:hAnsi="Calibri"/>
          <w:b/>
          <w:bCs/>
          <w:color w:val="2C3E50"/>
          <w:sz w:val="22"/>
          <w:szCs w:val="22"/>
        </w:rPr>
        <w:t xml:space="preserve">Decision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Composite Score</w:t>
            </w:r>
          </w:p>
        </w:tc>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Decision</w:t>
            </w:r>
          </w:p>
        </w:tc>
        <w:tc>
          <w:tcPr>
            <w:tcW w:type="dxa" w:w="48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Action Taken</w:t>
            </w:r>
          </w:p>
        </w:tc>
      </w:tr>
      <w:tr>
        <w:tc>
          <w:tcPr>
            <w:tcW w:type="dxa" w:w="25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&gt;= 80</w:t>
            </w:r>
          </w:p>
        </w:tc>
        <w:tc>
          <w:tcPr>
            <w:tcW w:type="dxa" w:w="20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left"/>
            </w:pPr>
            <w:r>
              <w:rPr>
                <w:rFonts w:ascii="Calibri" w:cs="Calibri" w:eastAsia="Calibri" w:hAnsi="Calibri"/>
                <w:b/>
                <w:bCs/>
                <w:color w:val="CC0000"/>
                <w:sz w:val="20"/>
                <w:szCs w:val="20"/>
              </w:rPr>
              <w:t xml:space="preserve">BLOCKED</w:t>
            </w:r>
          </w:p>
        </w:tc>
        <w:tc>
          <w:tcPr>
            <w:tcW w:type="dxa" w:w="486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Transaction halted. Added to HITL queue. Compliance case auto-created.</w:t>
            </w:r>
          </w:p>
        </w:tc>
      </w:tr>
      <w:tr>
        <w:tc>
          <w:tcPr>
            <w:tcW w:type="dxa" w:w="25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&gt;= 60</w:t>
            </w:r>
          </w:p>
        </w:tc>
        <w:tc>
          <w:tcPr>
            <w:tcW w:type="dxa" w:w="20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left"/>
            </w:pPr>
            <w:r>
              <w:rPr>
                <w:rFonts w:ascii="Calibri" w:cs="Calibri" w:eastAsia="Calibri" w:hAnsi="Calibri"/>
                <w:b/>
                <w:bCs/>
                <w:color w:val="E67E00"/>
                <w:sz w:val="20"/>
                <w:szCs w:val="20"/>
              </w:rPr>
              <w:t xml:space="preserve">FLAGGED</w:t>
            </w:r>
          </w:p>
        </w:tc>
        <w:tc>
          <w:tcPr>
            <w:tcW w:type="dxa" w:w="48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Transaction settled on blockchain but logged for compliance review.</w:t>
            </w:r>
          </w:p>
        </w:tc>
      </w:tr>
      <w:tr>
        <w:tc>
          <w:tcPr>
            <w:tcW w:type="dxa" w:w="25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&lt; 60</w:t>
            </w:r>
          </w:p>
        </w:tc>
        <w:tc>
          <w:tcPr>
            <w:tcW w:type="dxa" w:w="20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left"/>
            </w:pPr>
            <w:r>
              <w:rPr>
                <w:rFonts w:ascii="Calibri" w:cs="Calibri" w:eastAsia="Calibri" w:hAnsi="Calibri"/>
                <w:b/>
                <w:bCs/>
                <w:color w:val="0E8C5F"/>
                <w:sz w:val="20"/>
                <w:szCs w:val="20"/>
              </w:rPr>
              <w:t xml:space="preserve">APPROVED</w:t>
            </w:r>
          </w:p>
        </w:tc>
        <w:tc>
          <w:tcPr>
            <w:tcW w:type="dxa" w:w="486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Transaction settled normally. Balance deducted from sender, credited to receiver.</w:t>
            </w:r>
          </w:p>
        </w:tc>
      </w:tr>
    </w:tbl>
    <w:p>
      <w:pPr>
        <w:spacing w:after="80"/>
      </w:pPr>
    </w:p>
    <w:p>
      <w:pPr>
        <w:pStyle w:val="Heading2"/>
        <w:spacing w:after="160" w:before="280"/>
      </w:pPr>
      <w:r>
        <w:rPr>
          <w:rFonts w:ascii="Calibri" w:cs="Calibri" w:eastAsia="Calibri" w:hAnsi="Calibri"/>
          <w:b/>
          <w:bCs/>
          <w:color w:val="2C3E50"/>
          <w:sz w:val="26"/>
          <w:szCs w:val="26"/>
        </w:rPr>
        <w:t xml:space="preserve">3.4 Zero Trust Security</w:t>
      </w:r>
    </w:p>
    <w:p>
      <w:pPr>
        <w:spacing w:after="120"/>
        <w:jc w:val="both"/>
      </w:pPr>
      <w:r>
        <w:rPr>
          <w:rFonts w:ascii="Calibri" w:cs="Calibri" w:eastAsia="Calibri" w:hAnsi="Calibri"/>
          <w:color w:val="333333"/>
          <w:sz w:val="22"/>
          <w:szCs w:val="22"/>
        </w:rPr>
        <w:t xml:space="preserve">The security layer implements a Zero Trust architecture where no request is implicitly trusted, regardless of origin.</w:t>
      </w:r>
    </w:p>
    <w:p>
      <w:pPr>
        <w:pStyle w:val="ListParagraph"/>
        <w:numPr>
          <w:ilvl w:val="0"/>
          <w:numId w:val="2"/>
        </w:numPr>
        <w:spacing w:after="60"/>
      </w:pPr>
      <w:r>
        <w:rPr>
          <w:rFonts w:ascii="Calibri" w:cs="Calibri" w:eastAsia="Calibri" w:hAnsi="Calibri"/>
          <w:color w:val="333333"/>
          <w:sz w:val="22"/>
          <w:szCs w:val="22"/>
        </w:rPr>
        <w:t xml:space="preserve">JWT HS256 tokens with 1-hour expiry issued upon successful authentication</w:t>
      </w:r>
    </w:p>
    <w:p>
      <w:pPr>
        <w:pStyle w:val="ListParagraph"/>
        <w:numPr>
          <w:ilvl w:val="0"/>
          <w:numId w:val="2"/>
        </w:numPr>
        <w:spacing w:after="60"/>
      </w:pPr>
      <w:r>
        <w:rPr>
          <w:rFonts w:ascii="Calibri" w:cs="Calibri" w:eastAsia="Calibri" w:hAnsi="Calibri"/>
          <w:color w:val="333333"/>
          <w:sz w:val="22"/>
          <w:szCs w:val="22"/>
        </w:rPr>
        <w:t xml:space="preserve">@zero_trust_required decorator enforces authentication on all protected API endpoints</w:t>
      </w:r>
    </w:p>
    <w:p>
      <w:pPr>
        <w:pStyle w:val="ListParagraph"/>
        <w:numPr>
          <w:ilvl w:val="0"/>
          <w:numId w:val="2"/>
        </w:numPr>
        <w:spacing w:after="60"/>
      </w:pPr>
      <w:r>
        <w:rPr>
          <w:rFonts w:ascii="Calibri" w:cs="Calibri" w:eastAsia="Calibri" w:hAnsi="Calibri"/>
          <w:color w:val="333333"/>
          <w:sz w:val="22"/>
          <w:szCs w:val="22"/>
        </w:rPr>
        <w:t xml:space="preserve">Rate limiting: 100 requests per minute per IP address to prevent abuse</w:t>
      </w:r>
    </w:p>
    <w:p>
      <w:pPr>
        <w:pStyle w:val="ListParagraph"/>
        <w:numPr>
          <w:ilvl w:val="0"/>
          <w:numId w:val="2"/>
        </w:numPr>
        <w:spacing w:after="60"/>
      </w:pPr>
      <w:r>
        <w:rPr>
          <w:rFonts w:ascii="Calibri" w:cs="Calibri" w:eastAsia="Calibri" w:hAnsi="Calibri"/>
          <w:color w:val="333333"/>
          <w:sz w:val="22"/>
          <w:szCs w:val="22"/>
        </w:rPr>
        <w:t xml:space="preserve">Security headers: Strict-Transport-Security, X-Frame-Options: DENY, X-XSS-Protection, X-Content-Type-Options: nosniff</w:t>
      </w:r>
    </w:p>
    <w:p>
      <w:pPr>
        <w:pStyle w:val="ListParagraph"/>
        <w:numPr>
          <w:ilvl w:val="0"/>
          <w:numId w:val="2"/>
        </w:numPr>
        <w:spacing w:after="60"/>
      </w:pPr>
      <w:r>
        <w:rPr>
          <w:rFonts w:ascii="Calibri" w:cs="Calibri" w:eastAsia="Calibri" w:hAnsi="Calibri"/>
          <w:color w:val="333333"/>
          <w:sz w:val="22"/>
          <w:szCs w:val="22"/>
        </w:rPr>
        <w:t xml:space="preserve">CORS policy with configurable allowed origins for cross-origin requests</w:t>
      </w:r>
    </w:p>
    <w:p>
      <w:pPr>
        <w:pStyle w:val="ListParagraph"/>
        <w:numPr>
          <w:ilvl w:val="0"/>
          <w:numId w:val="2"/>
        </w:numPr>
        <w:spacing w:after="60"/>
      </w:pPr>
      <w:r>
        <w:rPr>
          <w:rFonts w:ascii="Calibri" w:cs="Calibri" w:eastAsia="Calibri" w:hAnsi="Calibri"/>
          <w:color w:val="333333"/>
          <w:sz w:val="22"/>
          <w:szCs w:val="22"/>
        </w:rPr>
        <w:t xml:space="preserve">All passwords are compared server-side; no client-side credential storage</w:t>
      </w:r>
    </w:p>
    <w:p>
      <w:pPr>
        <w:spacing w:after="80"/>
      </w:pPr>
    </w:p>
    <w:p>
      <w:pPr>
        <w:pStyle w:val="Heading2"/>
        <w:spacing w:after="160" w:before="280"/>
      </w:pPr>
      <w:r>
        <w:rPr>
          <w:rFonts w:ascii="Calibri" w:cs="Calibri" w:eastAsia="Calibri" w:hAnsi="Calibri"/>
          <w:b/>
          <w:bCs/>
          <w:color w:val="2C3E50"/>
          <w:sz w:val="26"/>
          <w:szCs w:val="26"/>
        </w:rPr>
        <w:t xml:space="preserve">3.5 Database &amp; Data Sovereignty</w:t>
      </w:r>
    </w:p>
    <w:p>
      <w:pPr>
        <w:spacing w:after="120"/>
        <w:jc w:val="both"/>
      </w:pPr>
      <w:r>
        <w:rPr>
          <w:rFonts w:ascii="Calibri" w:cs="Calibri" w:eastAsia="Calibri" w:hAnsi="Calibri"/>
          <w:color w:val="333333"/>
          <w:sz w:val="22"/>
          <w:szCs w:val="22"/>
        </w:rPr>
        <w:t xml:space="preserve">The data sovereignty layer uses SQLite (ipts_vault.db) as the off-chain secure vault, maintaining a strict separation between on-chain settlement records and off-chain personally identifiable information (PII).</w:t>
      </w:r>
    </w:p>
    <w:p>
      <w:pPr>
        <w:spacing w:after="80"/>
      </w:pPr>
    </w:p>
    <w:p>
      <w:pPr>
        <w:pStyle w:val="Heading3"/>
        <w:spacing w:after="120" w:before="200"/>
      </w:pPr>
      <w:r>
        <w:rPr>
          <w:rFonts w:ascii="Calibri" w:cs="Calibri" w:eastAsia="Calibri" w:hAnsi="Calibri"/>
          <w:b/>
          <w:bCs/>
          <w:color w:val="2C3E50"/>
          <w:sz w:val="22"/>
          <w:szCs w:val="22"/>
        </w:rPr>
        <w:t xml:space="preserve">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Table</w:t>
            </w:r>
          </w:p>
        </w:tc>
        <w:tc>
          <w:tcPr>
            <w:tcW w:type="dxa" w:w="67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pii_vault</w:t>
            </w:r>
          </w:p>
        </w:tc>
        <w:tc>
          <w:tcPr>
            <w:tcW w:type="dxa" w:w="67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Encrypted PII storage with GDPR consent tracking and data hashes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settlements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All transaction records with status, risk scores, blockchain tx hashes, and timing</w:t>
            </w:r>
          </w:p>
        </w:tc>
      </w:tr>
      <w:tr>
        <w:tc>
          <w:tcPr>
            <w:tcW w:type="dxa" w:w="2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hitl_queue</w:t>
            </w:r>
          </w:p>
        </w:tc>
        <w:tc>
          <w:tcPr>
            <w:tcW w:type="dxa" w:w="67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Human-in-the-loop review queue for blocked transactions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audit_log</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Immutable audit trail of all system actions, actors, and IP addresses</w:t>
            </w:r>
          </w:p>
        </w:tc>
      </w:tr>
      <w:tr>
        <w:tc>
          <w:tcPr>
            <w:tcW w:type="dxa" w:w="2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sanctions_list</w:t>
            </w:r>
          </w:p>
        </w:tc>
        <w:tc>
          <w:tcPr>
            <w:tcW w:type="dxa" w:w="67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Sanctions screening database with entity names, types, and reasons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swift_gpi_tracker</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SWIFT gpi payment tracking with UETR references</w:t>
            </w:r>
          </w:p>
        </w:tc>
      </w:tr>
      <w:tr>
        <w:tc>
          <w:tcPr>
            <w:tcW w:type="dxa" w:w="2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user_accounts</w:t>
            </w:r>
          </w:p>
        </w:tc>
        <w:tc>
          <w:tcPr>
            <w:tcW w:type="dxa" w:w="67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User balances, wallet addresses, and account metadata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compliance_cases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Full compliance case lifecycle tracking with severity, findings, and SAR numbers</w:t>
            </w:r>
          </w:p>
        </w:tc>
      </w:tr>
    </w:tbl>
    <w:p>
      <w:pPr>
        <w:spacing w:after="80"/>
      </w:pPr>
    </w:p>
    <w:p>
      <w:pPr>
        <w:spacing w:after="120"/>
        <w:jc w:val="both"/>
      </w:pPr>
      <w:r>
        <w:rPr>
          <w:rFonts w:ascii="Calibri" w:cs="Calibri" w:eastAsia="Calibri" w:hAnsi="Calibri"/>
          <w:color w:val="333333"/>
          <w:sz w:val="22"/>
          <w:szCs w:val="22"/>
        </w:rPr>
        <w:t xml:space="preserve">GDPR compliance is enforced through a dedicated right-to-erasure API endpoint that anonymizes PII in the vault and replaces sensitive fields in settlements with [REDACTED]. The SHA-256 hash of ISO 20022 payloads remains on-chain as an immutable anchor, while the raw payload data resides exclusively in the off-chain vault.</w:t>
      </w:r>
    </w:p>
    <w:p>
      <w:r>
        <w:br w:type="page"/>
      </w:r>
    </w:p>
    <w:p>
      <w:pPr>
        <w:pStyle w:val="Heading1"/>
        <w:spacing w:after="200" w:before="360"/>
      </w:pPr>
      <w:r>
        <w:rPr>
          <w:rFonts w:ascii="Calibri" w:cs="Calibri" w:eastAsia="Calibri" w:hAnsi="Calibri"/>
          <w:b/>
          <w:bCs/>
          <w:color w:val="1A5276"/>
          <w:sz w:val="32"/>
          <w:szCs w:val="32"/>
        </w:rPr>
        <w:t xml:space="preserve">4. User Interface</w:t>
      </w:r>
    </w:p>
    <w:p>
      <w:pPr>
        <w:spacing w:after="120"/>
        <w:jc w:val="both"/>
      </w:pPr>
      <w:r>
        <w:rPr>
          <w:rFonts w:ascii="Calibri" w:cs="Calibri" w:eastAsia="Calibri" w:hAnsi="Calibri"/>
          <w:color w:val="333333"/>
          <w:sz w:val="22"/>
          <w:szCs w:val="22"/>
        </w:rPr>
        <w:t xml:space="preserve">The IPTS frontend is a professional single-page application served via Flask and styled with Tailwind CSS CDN. It features a dark fintech-grade theme with 7 functional tabs, real-time data streaming via Server-Sent Events (SSE), and responsive design.</w:t>
      </w:r>
    </w:p>
    <w:p>
      <w:pPr>
        <w:spacing w:after="80"/>
      </w:pPr>
    </w:p>
    <w:p>
      <w:pPr>
        <w:pStyle w:val="Heading2"/>
        <w:spacing w:after="160" w:before="280"/>
      </w:pPr>
      <w:r>
        <w:rPr>
          <w:rFonts w:ascii="Calibri" w:cs="Calibri" w:eastAsia="Calibri" w:hAnsi="Calibri"/>
          <w:b/>
          <w:bCs/>
          <w:color w:val="2C3E50"/>
          <w:sz w:val="26"/>
          <w:szCs w:val="26"/>
        </w:rPr>
        <w:t xml:space="preserve">4.1 Login Screen</w:t>
      </w:r>
    </w:p>
    <w:p>
      <w:pPr>
        <w:pStyle w:val="ListParagraph"/>
        <w:numPr>
          <w:ilvl w:val="0"/>
          <w:numId w:val="2"/>
        </w:numPr>
        <w:spacing w:after="60"/>
      </w:pPr>
      <w:r>
        <w:rPr>
          <w:rFonts w:ascii="Calibri" w:cs="Calibri" w:eastAsia="Calibri" w:hAnsi="Calibri"/>
          <w:color w:val="333333"/>
          <w:sz w:val="22"/>
          <w:szCs w:val="22"/>
        </w:rPr>
        <w:t xml:space="preserve">Zero Trust authentication requiring username and password credentials</w:t>
      </w:r>
    </w:p>
    <w:p>
      <w:pPr>
        <w:pStyle w:val="ListParagraph"/>
        <w:numPr>
          <w:ilvl w:val="0"/>
          <w:numId w:val="2"/>
        </w:numPr>
        <w:spacing w:after="60"/>
      </w:pPr>
      <w:r>
        <w:rPr>
          <w:rFonts w:ascii="Calibri" w:cs="Calibri" w:eastAsia="Calibri" w:hAnsi="Calibri"/>
          <w:color w:val="333333"/>
          <w:sz w:val="22"/>
          <w:szCs w:val="22"/>
        </w:rPr>
        <w:t xml:space="preserve">5 pre-configured test accounts with different roles and starting balances displayed below the login form</w:t>
      </w:r>
    </w:p>
    <w:p>
      <w:pPr>
        <w:pStyle w:val="ListParagraph"/>
        <w:numPr>
          <w:ilvl w:val="0"/>
          <w:numId w:val="2"/>
        </w:numPr>
        <w:spacing w:after="60"/>
      </w:pPr>
      <w:r>
        <w:rPr>
          <w:rFonts w:ascii="Calibri" w:cs="Calibri" w:eastAsia="Calibri" w:hAnsi="Calibri"/>
          <w:color w:val="333333"/>
          <w:sz w:val="22"/>
          <w:szCs w:val="22"/>
        </w:rPr>
        <w:t xml:space="preserve">JWT token issued on successful authentication and stored in localStorage</w:t>
      </w:r>
    </w:p>
    <w:p>
      <w:pPr>
        <w:pStyle w:val="ListParagraph"/>
        <w:numPr>
          <w:ilvl w:val="0"/>
          <w:numId w:val="2"/>
        </w:numPr>
        <w:spacing w:after="60"/>
      </w:pPr>
      <w:r>
        <w:rPr>
          <w:rFonts w:ascii="Calibri" w:cs="Calibri" w:eastAsia="Calibri" w:hAnsi="Calibri"/>
          <w:color w:val="333333"/>
          <w:sz w:val="22"/>
          <w:szCs w:val="22"/>
        </w:rPr>
        <w:t xml:space="preserve">Failed login attempts are logged to the audit trail with IP address</w:t>
      </w:r>
    </w:p>
    <w:p>
      <w:pPr>
        <w:spacing w:after="80"/>
      </w:pPr>
    </w:p>
    <w:p>
      <w:pPr>
        <w:pStyle w:val="Heading2"/>
        <w:spacing w:after="160" w:before="280"/>
      </w:pPr>
      <w:r>
        <w:rPr>
          <w:rFonts w:ascii="Calibri" w:cs="Calibri" w:eastAsia="Calibri" w:hAnsi="Calibri"/>
          <w:b/>
          <w:bCs/>
          <w:color w:val="2C3E50"/>
          <w:sz w:val="26"/>
          <w:szCs w:val="26"/>
        </w:rPr>
        <w:t xml:space="preserve">4.2 Dashboard Tab</w:t>
      </w:r>
    </w:p>
    <w:p>
      <w:pPr>
        <w:spacing w:after="120"/>
        <w:jc w:val="both"/>
      </w:pPr>
      <w:r>
        <w:rPr>
          <w:rFonts w:ascii="Calibri" w:cs="Calibri" w:eastAsia="Calibri" w:hAnsi="Calibri"/>
          <w:color w:val="333333"/>
          <w:sz w:val="22"/>
          <w:szCs w:val="22"/>
        </w:rPr>
        <w:t xml:space="preserve">The main operational dashboard provides at-a-glance system health and transaction monitoring:</w:t>
      </w:r>
    </w:p>
    <w:p>
      <w:pPr>
        <w:pStyle w:val="ListParagraph"/>
        <w:numPr>
          <w:ilvl w:val="0"/>
          <w:numId w:val="2"/>
        </w:numPr>
        <w:spacing w:after="60"/>
      </w:pPr>
      <w:r>
        <w:rPr>
          <w:rFonts w:ascii="Calibri" w:cs="Calibri" w:eastAsia="Calibri" w:hAnsi="Calibri"/>
          <w:color w:val="333333"/>
          <w:sz w:val="22"/>
          <w:szCs w:val="22"/>
        </w:rPr>
        <w:t xml:space="preserve">KPI Cards: Total Settlements, Blocked (red), Flagged (yellow), Nostro Liquidity (USD)</w:t>
      </w:r>
    </w:p>
    <w:p>
      <w:pPr>
        <w:pStyle w:val="ListParagraph"/>
        <w:numPr>
          <w:ilvl w:val="0"/>
          <w:numId w:val="2"/>
        </w:numPr>
        <w:spacing w:after="60"/>
      </w:pPr>
      <w:r>
        <w:rPr>
          <w:rFonts w:ascii="Calibri" w:cs="Calibri" w:eastAsia="Calibri" w:hAnsi="Calibri"/>
          <w:color w:val="333333"/>
          <w:sz w:val="22"/>
          <w:szCs w:val="22"/>
        </w:rPr>
        <w:t xml:space="preserve">Settlement Volume Chart: Real-time Chart.js visualization of settlement activity by status</w:t>
      </w:r>
    </w:p>
    <w:p>
      <w:pPr>
        <w:pStyle w:val="ListParagraph"/>
        <w:numPr>
          <w:ilvl w:val="0"/>
          <w:numId w:val="2"/>
        </w:numPr>
        <w:spacing w:after="60"/>
      </w:pPr>
      <w:r>
        <w:rPr>
          <w:rFonts w:ascii="Calibri" w:cs="Calibri" w:eastAsia="Calibri" w:hAnsi="Calibri"/>
          <w:color w:val="333333"/>
          <w:sz w:val="22"/>
          <w:szCs w:val="22"/>
        </w:rPr>
        <w:t xml:space="preserve">AML Telemetry Table: Live ledger showing sender name, beneficiary, amount (USD), risk score, status, and blockchain hash</w:t>
      </w:r>
    </w:p>
    <w:p>
      <w:pPr>
        <w:pStyle w:val="ListParagraph"/>
        <w:numPr>
          <w:ilvl w:val="0"/>
          <w:numId w:val="2"/>
        </w:numPr>
        <w:spacing w:after="60"/>
      </w:pPr>
      <w:r>
        <w:rPr>
          <w:rFonts w:ascii="Calibri" w:cs="Calibri" w:eastAsia="Calibri" w:hAnsi="Calibri"/>
          <w:color w:val="333333"/>
          <w:sz w:val="22"/>
          <w:szCs w:val="22"/>
        </w:rPr>
        <w:t xml:space="preserve">Color-coded status indicators: green (settled), yellow (flagged), red (blocked), purple (pending)</w:t>
      </w:r>
    </w:p>
    <w:p>
      <w:pPr>
        <w:pStyle w:val="ListParagraph"/>
        <w:numPr>
          <w:ilvl w:val="0"/>
          <w:numId w:val="2"/>
        </w:numPr>
        <w:spacing w:after="60"/>
      </w:pPr>
      <w:r>
        <w:rPr>
          <w:rFonts w:ascii="Calibri" w:cs="Calibri" w:eastAsia="Calibri" w:hAnsi="Calibri"/>
          <w:color w:val="333333"/>
          <w:sz w:val="22"/>
          <w:szCs w:val="22"/>
        </w:rPr>
        <w:t xml:space="preserve">Auto-refresh every 6 seconds via SSE stream</w:t>
      </w:r>
    </w:p>
    <w:p>
      <w:pPr>
        <w:spacing w:after="80"/>
      </w:pPr>
    </w:p>
    <w:p>
      <w:pPr>
        <w:spacing w:after="80" w:before="200"/>
        <w:jc w:val="center"/>
      </w:pPr>
      <w:r>
        <w:drawing>
          <wp:inline distT="0" distB="0" distL="0" distR="0">
            <wp:extent cx="5238750" cy="3238500"/>
            <wp:effectExtent t="0" r="0" b="0" l="0"/>
            <wp:docPr id="1" name="01_dashboard_kpi" descr="Dashboard view showing KPI cards with 12 settlements, 0 blocked, 0 flagged, $100K Nostro Liquidity, and settlement volume chart" title="Dashboard KPI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323850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7: Dashboard — KPI Cards and Settlement Volume Chart</w:t>
      </w:r>
    </w:p>
    <w:p>
      <w:pPr>
        <w:spacing w:after="80"/>
      </w:pPr>
    </w:p>
    <w:p>
      <w:pPr>
        <w:spacing w:after="80" w:before="200"/>
        <w:jc w:val="center"/>
      </w:pPr>
      <w:r>
        <w:drawing>
          <wp:inline distT="0" distB="0" distL="0" distR="0">
            <wp:extent cx="5238750" cy="3238500"/>
            <wp:effectExtent t="0" r="0" b="0" l="0"/>
            <wp:docPr id="1" name="02_dashboard_telemetry" descr="Dashboard scrolled down showing the AML Telemetry Live Ledger table with transactions, risk scores, and settlement statuses" title="Dashboard AML Tele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323850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8: Dashboard — AML Telemetry Live Ledger</w:t>
      </w:r>
    </w:p>
    <w:p>
      <w:pPr>
        <w:spacing w:after="80"/>
      </w:pPr>
    </w:p>
    <w:p>
      <w:pPr>
        <w:pStyle w:val="Heading2"/>
        <w:spacing w:after="160" w:before="280"/>
      </w:pPr>
      <w:r>
        <w:rPr>
          <w:rFonts w:ascii="Calibri" w:cs="Calibri" w:eastAsia="Calibri" w:hAnsi="Calibri"/>
          <w:b/>
          <w:bCs/>
          <w:color w:val="2C3E50"/>
          <w:sz w:val="26"/>
          <w:szCs w:val="26"/>
        </w:rPr>
        <w:t xml:space="preserve">4.3 Payments Tab</w:t>
      </w:r>
    </w:p>
    <w:p>
      <w:pPr>
        <w:spacing w:after="120"/>
        <w:jc w:val="both"/>
      </w:pPr>
      <w:r>
        <w:rPr>
          <w:rFonts w:ascii="Calibri" w:cs="Calibri" w:eastAsia="Calibri" w:hAnsi="Calibri"/>
          <w:color w:val="333333"/>
          <w:sz w:val="22"/>
          <w:szCs w:val="22"/>
        </w:rPr>
        <w:t xml:space="preserve">The settlement execution interface allows authorized users to initiate cross-border payments:</w:t>
      </w:r>
    </w:p>
    <w:p>
      <w:pPr>
        <w:pStyle w:val="ListParagraph"/>
        <w:numPr>
          <w:ilvl w:val="0"/>
          <w:numId w:val="2"/>
        </w:numPr>
        <w:spacing w:after="60"/>
      </w:pPr>
      <w:r>
        <w:rPr>
          <w:rFonts w:ascii="Calibri" w:cs="Calibri" w:eastAsia="Calibri" w:hAnsi="Calibri"/>
          <w:color w:val="333333"/>
          <w:sz w:val="22"/>
          <w:szCs w:val="22"/>
        </w:rPr>
        <w:t xml:space="preserve">Sender identity displayed as read-only field showing the logged-in user's full name</w:t>
      </w:r>
    </w:p>
    <w:p>
      <w:pPr>
        <w:pStyle w:val="ListParagraph"/>
        <w:numPr>
          <w:ilvl w:val="0"/>
          <w:numId w:val="2"/>
        </w:numPr>
        <w:spacing w:after="60"/>
      </w:pPr>
      <w:r>
        <w:rPr>
          <w:rFonts w:ascii="Calibri" w:cs="Calibri" w:eastAsia="Calibri" w:hAnsi="Calibri"/>
          <w:color w:val="333333"/>
          <w:sz w:val="22"/>
          <w:szCs w:val="22"/>
        </w:rPr>
        <w:t xml:space="preserve">Available balance prominently displayed in large blue text</w:t>
      </w:r>
    </w:p>
    <w:p>
      <w:pPr>
        <w:pStyle w:val="ListParagraph"/>
        <w:numPr>
          <w:ilvl w:val="0"/>
          <w:numId w:val="2"/>
        </w:numPr>
        <w:spacing w:after="60"/>
      </w:pPr>
      <w:r>
        <w:rPr>
          <w:rFonts w:ascii="Calibri" w:cs="Calibri" w:eastAsia="Calibri" w:hAnsi="Calibri"/>
          <w:color w:val="333333"/>
          <w:sz w:val="22"/>
          <w:szCs w:val="22"/>
        </w:rPr>
        <w:t xml:space="preserve">Beneficiary dropdown populated from API, including both legitimate and suspicious test entities</w:t>
      </w:r>
    </w:p>
    <w:p>
      <w:pPr>
        <w:pStyle w:val="ListParagraph"/>
        <w:numPr>
          <w:ilvl w:val="0"/>
          <w:numId w:val="2"/>
        </w:numPr>
        <w:spacing w:after="60"/>
      </w:pPr>
      <w:r>
        <w:rPr>
          <w:rFonts w:ascii="Calibri" w:cs="Calibri" w:eastAsia="Calibri" w:hAnsi="Calibri"/>
          <w:color w:val="333333"/>
          <w:sz w:val="22"/>
          <w:szCs w:val="22"/>
        </w:rPr>
        <w:t xml:space="preserve">Risk indicators on suspicious beneficiaries: [HIGH RISK] and [CRITICAL RISK] labels</w:t>
      </w:r>
    </w:p>
    <w:p>
      <w:pPr>
        <w:pStyle w:val="ListParagraph"/>
        <w:numPr>
          <w:ilvl w:val="0"/>
          <w:numId w:val="2"/>
        </w:numPr>
        <w:spacing w:after="60"/>
      </w:pPr>
      <w:r>
        <w:rPr>
          <w:rFonts w:ascii="Calibri" w:cs="Calibri" w:eastAsia="Calibri" w:hAnsi="Calibri"/>
          <w:color w:val="333333"/>
          <w:sz w:val="22"/>
          <w:szCs w:val="22"/>
        </w:rPr>
        <w:t xml:space="preserve">Amount input in USD with real-time validation</w:t>
      </w:r>
    </w:p>
    <w:p>
      <w:pPr>
        <w:pStyle w:val="ListParagraph"/>
        <w:numPr>
          <w:ilvl w:val="0"/>
          <w:numId w:val="2"/>
        </w:numPr>
        <w:spacing w:after="60"/>
      </w:pPr>
      <w:r>
        <w:rPr>
          <w:rFonts w:ascii="Calibri" w:cs="Calibri" w:eastAsia="Calibri" w:hAnsi="Calibri"/>
          <w:color w:val="333333"/>
          <w:sz w:val="22"/>
          <w:szCs w:val="22"/>
        </w:rPr>
        <w:t xml:space="preserve">Post-settlement risk breakdown visualization showing rules, ML, NLP, and graph component scores</w:t>
      </w:r>
    </w:p>
    <w:p>
      <w:pPr>
        <w:pStyle w:val="ListParagraph"/>
        <w:numPr>
          <w:ilvl w:val="0"/>
          <w:numId w:val="2"/>
        </w:numPr>
        <w:spacing w:after="60"/>
      </w:pPr>
      <w:r>
        <w:rPr>
          <w:rFonts w:ascii="Calibri" w:cs="Calibri" w:eastAsia="Calibri" w:hAnsi="Calibri"/>
          <w:color w:val="333333"/>
          <w:sz w:val="22"/>
          <w:szCs w:val="22"/>
        </w:rPr>
        <w:t xml:space="preserve">Insufficient funds error displayed inline when balance is too low</w:t>
      </w:r>
    </w:p>
    <w:p>
      <w:pPr>
        <w:pStyle w:val="ListParagraph"/>
        <w:numPr>
          <w:ilvl w:val="0"/>
          <w:numId w:val="2"/>
        </w:numPr>
        <w:spacing w:after="60"/>
      </w:pPr>
      <w:r>
        <w:rPr>
          <w:rFonts w:ascii="Calibri" w:cs="Calibri" w:eastAsia="Calibri" w:hAnsi="Calibri"/>
          <w:color w:val="333333"/>
          <w:sz w:val="22"/>
          <w:szCs w:val="22"/>
        </w:rPr>
        <w:t xml:space="preserve">Balance updates immediately after successful settlement</w:t>
      </w:r>
    </w:p>
    <w:p>
      <w:pPr>
        <w:spacing w:after="80"/>
      </w:pPr>
    </w:p>
    <w:p>
      <w:pPr>
        <w:spacing w:after="80" w:before="200"/>
        <w:jc w:val="center"/>
      </w:pPr>
      <w:r>
        <w:drawing>
          <wp:inline distT="0" distB="0" distL="0" distR="0">
            <wp:extent cx="5238750" cy="3238500"/>
            <wp:effectExtent t="0" r="0" b="0" l="0"/>
            <wp:docPr id="1" name="03_payments_settlement" descr="Payments tab showing sender Mohamad Idriss with $450K balance, settlement result SETTLED with risk score 18.3, 356ms settlement time, and risk breakdown bars" title="Payments Settlement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323850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9: Payments — Settlement Execution with Risk Breakdown</w:t>
      </w:r>
    </w:p>
    <w:p>
      <w:pPr>
        <w:spacing w:after="80"/>
      </w:pPr>
    </w:p>
    <w:p>
      <w:pPr>
        <w:pStyle w:val="Heading2"/>
        <w:spacing w:after="160" w:before="280"/>
      </w:pPr>
      <w:r>
        <w:rPr>
          <w:rFonts w:ascii="Calibri" w:cs="Calibri" w:eastAsia="Calibri" w:hAnsi="Calibri"/>
          <w:b/>
          <w:bCs/>
          <w:color w:val="2C3E50"/>
          <w:sz w:val="26"/>
          <w:szCs w:val="26"/>
        </w:rPr>
        <w:t xml:space="preserve">4.4 AI/ML Tab</w:t>
      </w:r>
    </w:p>
    <w:p>
      <w:pPr>
        <w:pStyle w:val="ListParagraph"/>
        <w:numPr>
          <w:ilvl w:val="0"/>
          <w:numId w:val="2"/>
        </w:numPr>
        <w:spacing w:after="60"/>
      </w:pPr>
      <w:r>
        <w:rPr>
          <w:rFonts w:ascii="Calibri" w:cs="Calibri" w:eastAsia="Calibri" w:hAnsi="Calibri"/>
          <w:color w:val="333333"/>
          <w:sz w:val="22"/>
          <w:szCs w:val="22"/>
        </w:rPr>
        <w:t xml:space="preserve">Model performance cards for all 4 models displaying F1 score and accuracy metrics</w:t>
      </w:r>
    </w:p>
    <w:p>
      <w:pPr>
        <w:pStyle w:val="ListParagraph"/>
        <w:numPr>
          <w:ilvl w:val="0"/>
          <w:numId w:val="2"/>
        </w:numPr>
        <w:spacing w:after="60"/>
      </w:pPr>
      <w:r>
        <w:rPr>
          <w:rFonts w:ascii="Calibri" w:cs="Calibri" w:eastAsia="Calibri" w:hAnsi="Calibri"/>
          <w:color w:val="333333"/>
          <w:sz w:val="22"/>
          <w:szCs w:val="22"/>
        </w:rPr>
        <w:t xml:space="preserve">Feature importance chart showing relative contribution of each feature</w:t>
      </w:r>
    </w:p>
    <w:p>
      <w:pPr>
        <w:pStyle w:val="ListParagraph"/>
        <w:numPr>
          <w:ilvl w:val="0"/>
          <w:numId w:val="2"/>
        </w:numPr>
        <w:spacing w:after="60"/>
      </w:pPr>
      <w:r>
        <w:rPr>
          <w:rFonts w:ascii="Calibri" w:cs="Calibri" w:eastAsia="Calibri" w:hAnsi="Calibri"/>
          <w:color w:val="333333"/>
          <w:sz w:val="22"/>
          <w:szCs w:val="22"/>
        </w:rPr>
        <w:t xml:space="preserve">Ensemble weight configuration display (Rules 30%, ML 40%, NLP 15%, Graph 15%)</w:t>
      </w:r>
    </w:p>
    <w:p>
      <w:pPr>
        <w:pStyle w:val="ListParagraph"/>
        <w:numPr>
          <w:ilvl w:val="0"/>
          <w:numId w:val="2"/>
        </w:numPr>
        <w:spacing w:after="60"/>
      </w:pPr>
      <w:r>
        <w:rPr>
          <w:rFonts w:ascii="Calibri" w:cs="Calibri" w:eastAsia="Calibri" w:hAnsi="Calibri"/>
          <w:color w:val="333333"/>
          <w:sz w:val="22"/>
          <w:szCs w:val="22"/>
        </w:rPr>
        <w:t xml:space="preserve">Model Retraining button visible only to Admin and Data Scientist roles</w:t>
      </w:r>
    </w:p>
    <w:p>
      <w:pPr>
        <w:pStyle w:val="ListParagraph"/>
        <w:numPr>
          <w:ilvl w:val="0"/>
          <w:numId w:val="2"/>
        </w:numPr>
        <w:spacing w:after="60"/>
      </w:pPr>
      <w:r>
        <w:rPr>
          <w:rFonts w:ascii="Calibri" w:cs="Calibri" w:eastAsia="Calibri" w:hAnsi="Calibri"/>
          <w:color w:val="333333"/>
          <w:sz w:val="22"/>
          <w:szCs w:val="22"/>
        </w:rPr>
        <w:t xml:space="preserve">Retraining triggers background thread that regenerates synthetic data and retrains all 4 models</w:t>
      </w:r>
    </w:p>
    <w:p>
      <w:pPr>
        <w:spacing w:after="80"/>
      </w:pPr>
    </w:p>
    <w:p>
      <w:pPr>
        <w:spacing w:after="80" w:before="200"/>
        <w:jc w:val="center"/>
      </w:pPr>
      <w:r>
        <w:drawing>
          <wp:inline distT="0" distB="0" distL="0" distR="0">
            <wp:extent cx="5238750" cy="3238500"/>
            <wp:effectExtent t="0" r="0" b="0" l="0"/>
            <wp:docPr id="1" name="04_aiml_models" descr="AI/ML tab showing 4 model cards (Autoencoder 96.7%/59.9%, Isolation Forest 98.0%/68.4%, Random Forest 100%/100%, XGBoost 100%/100%) and Feature Importance horizontal bar chart" title="AI/ML Model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323850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10: AI/ML — Model Performance Cards and Feature Importance</w:t>
      </w:r>
    </w:p>
    <w:p>
      <w:pPr>
        <w:spacing w:after="80"/>
      </w:pPr>
    </w:p>
    <w:p>
      <w:pPr>
        <w:pStyle w:val="Heading2"/>
        <w:spacing w:after="160" w:before="280"/>
      </w:pPr>
      <w:r>
        <w:rPr>
          <w:rFonts w:ascii="Calibri" w:cs="Calibri" w:eastAsia="Calibri" w:hAnsi="Calibri"/>
          <w:b/>
          <w:bCs/>
          <w:color w:val="2C3E50"/>
          <w:sz w:val="26"/>
          <w:szCs w:val="26"/>
        </w:rPr>
        <w:t xml:space="preserve">4.5 Network Graph Tab</w:t>
      </w:r>
    </w:p>
    <w:p>
      <w:pPr>
        <w:pStyle w:val="ListParagraph"/>
        <w:numPr>
          <w:ilvl w:val="0"/>
          <w:numId w:val="2"/>
        </w:numPr>
        <w:spacing w:after="60"/>
      </w:pPr>
      <w:r>
        <w:rPr>
          <w:rFonts w:ascii="Calibri" w:cs="Calibri" w:eastAsia="Calibri" w:hAnsi="Calibri"/>
          <w:color w:val="333333"/>
          <w:sz w:val="22"/>
          <w:szCs w:val="22"/>
        </w:rPr>
        <w:t xml:space="preserve">Interactive D3.js force-directed graph visualization of the transaction network</w:t>
      </w:r>
    </w:p>
    <w:p>
      <w:pPr>
        <w:pStyle w:val="ListParagraph"/>
        <w:numPr>
          <w:ilvl w:val="0"/>
          <w:numId w:val="2"/>
        </w:numPr>
        <w:spacing w:after="60"/>
      </w:pPr>
      <w:r>
        <w:rPr>
          <w:rFonts w:ascii="Calibri" w:cs="Calibri" w:eastAsia="Calibri" w:hAnsi="Calibri"/>
          <w:color w:val="333333"/>
          <w:sz w:val="22"/>
          <w:szCs w:val="22"/>
        </w:rPr>
        <w:t xml:space="preserve">Node size proportional to PageRank centrality (larger = more influential)</w:t>
      </w:r>
    </w:p>
    <w:p>
      <w:pPr>
        <w:pStyle w:val="ListParagraph"/>
        <w:numPr>
          <w:ilvl w:val="0"/>
          <w:numId w:val="2"/>
        </w:numPr>
        <w:spacing w:after="60"/>
      </w:pPr>
      <w:r>
        <w:rPr>
          <w:rFonts w:ascii="Calibri" w:cs="Calibri" w:eastAsia="Calibri" w:hAnsi="Calibri"/>
          <w:color w:val="333333"/>
          <w:sz w:val="22"/>
          <w:szCs w:val="22"/>
        </w:rPr>
        <w:t xml:space="preserve">Color-coded communities detected via label propagation algorithm</w:t>
      </w:r>
    </w:p>
    <w:p>
      <w:pPr>
        <w:pStyle w:val="ListParagraph"/>
        <w:numPr>
          <w:ilvl w:val="0"/>
          <w:numId w:val="2"/>
        </w:numPr>
        <w:spacing w:after="60"/>
      </w:pPr>
      <w:r>
        <w:rPr>
          <w:rFonts w:ascii="Calibri" w:cs="Calibri" w:eastAsia="Calibri" w:hAnsi="Calibri"/>
          <w:color w:val="333333"/>
          <w:sz w:val="22"/>
          <w:szCs w:val="22"/>
        </w:rPr>
        <w:t xml:space="preserve">Edge thickness proportional to transaction weight between entities</w:t>
      </w:r>
    </w:p>
    <w:p>
      <w:pPr>
        <w:pStyle w:val="ListParagraph"/>
        <w:numPr>
          <w:ilvl w:val="0"/>
          <w:numId w:val="2"/>
        </w:numPr>
        <w:spacing w:after="60"/>
      </w:pPr>
      <w:r>
        <w:rPr>
          <w:rFonts w:ascii="Calibri" w:cs="Calibri" w:eastAsia="Calibri" w:hAnsi="Calibri"/>
          <w:color w:val="333333"/>
          <w:sz w:val="22"/>
          <w:szCs w:val="22"/>
        </w:rPr>
        <w:t xml:space="preserve">Cycle highlighting to identify potential money laundering rings</w:t>
      </w:r>
    </w:p>
    <w:p>
      <w:pPr>
        <w:spacing w:after="80"/>
      </w:pPr>
    </w:p>
    <w:p>
      <w:pPr>
        <w:spacing w:after="80" w:before="200"/>
        <w:jc w:val="center"/>
      </w:pPr>
      <w:r>
        <w:drawing>
          <wp:inline distT="0" distB="0" distL="0" distR="0">
            <wp:extent cx="5238750" cy="3238500"/>
            <wp:effectExtent t="0" r="0" b="0" l="0"/>
            <wp:docPr id="1" name="05_network_graph" descr="Network Graph tab showing D3.js force-directed graph with blue nodes (Normal), red nodes (Cycle Node), and green nodes (High Centrality) representing the transaction network" title="Network Graph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323850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11: Network Graph — D3.js Force-Directed Transaction Network</w:t>
      </w:r>
    </w:p>
    <w:p>
      <w:pPr>
        <w:spacing w:after="80"/>
      </w:pPr>
    </w:p>
    <w:p>
      <w:pPr>
        <w:pStyle w:val="Heading2"/>
        <w:spacing w:after="160" w:before="280"/>
      </w:pPr>
      <w:r>
        <w:rPr>
          <w:rFonts w:ascii="Calibri" w:cs="Calibri" w:eastAsia="Calibri" w:hAnsi="Calibri"/>
          <w:b/>
          <w:bCs/>
          <w:color w:val="2C3E50"/>
          <w:sz w:val="26"/>
          <w:szCs w:val="26"/>
        </w:rPr>
        <w:t xml:space="preserve">4.6 Admin Tab</w:t>
      </w:r>
    </w:p>
    <w:p>
      <w:pPr>
        <w:pStyle w:val="ListParagraph"/>
        <w:numPr>
          <w:ilvl w:val="0"/>
          <w:numId w:val="2"/>
        </w:numPr>
        <w:spacing w:after="60"/>
      </w:pPr>
      <w:r>
        <w:rPr>
          <w:rFonts w:ascii="Calibri" w:cs="Calibri" w:eastAsia="Calibri" w:hAnsi="Calibri"/>
          <w:color w:val="333333"/>
          <w:sz w:val="22"/>
          <w:szCs w:val="22"/>
        </w:rPr>
        <w:t xml:space="preserve">HITL Queue: Review blocked transactions with full risk details, approve or reject with audit logging</w:t>
      </w:r>
    </w:p>
    <w:p>
      <w:pPr>
        <w:pStyle w:val="ListParagraph"/>
        <w:numPr>
          <w:ilvl w:val="0"/>
          <w:numId w:val="2"/>
        </w:numPr>
        <w:spacing w:after="60"/>
      </w:pPr>
      <w:r>
        <w:rPr>
          <w:rFonts w:ascii="Calibri" w:cs="Calibri" w:eastAsia="Calibri" w:hAnsi="Calibri"/>
          <w:color w:val="333333"/>
          <w:sz w:val="22"/>
          <w:szCs w:val="22"/>
        </w:rPr>
        <w:t xml:space="preserve">Audit Log: Complete trail of all system actions including logins, settlements, approvals, and GDPR erasures</w:t>
      </w:r>
    </w:p>
    <w:p>
      <w:pPr>
        <w:pStyle w:val="ListParagraph"/>
        <w:numPr>
          <w:ilvl w:val="0"/>
          <w:numId w:val="2"/>
        </w:numPr>
        <w:spacing w:after="60"/>
      </w:pPr>
      <w:r>
        <w:rPr>
          <w:rFonts w:ascii="Calibri" w:cs="Calibri" w:eastAsia="Calibri" w:hAnsi="Calibri"/>
          <w:color w:val="333333"/>
          <w:sz w:val="22"/>
          <w:szCs w:val="22"/>
        </w:rPr>
        <w:t xml:space="preserve">GDPR Erasure: Compliance tool to anonymize/delete PII data on request</w:t>
      </w:r>
    </w:p>
    <w:p>
      <w:pPr>
        <w:spacing w:after="80"/>
      </w:pPr>
    </w:p>
    <w:p>
      <w:pPr>
        <w:spacing w:after="80" w:before="200"/>
        <w:jc w:val="center"/>
      </w:pPr>
      <w:r>
        <w:drawing>
          <wp:inline distT="0" distB="0" distL="0" distR="0">
            <wp:extent cx="5238750" cy="3238500"/>
            <wp:effectExtent t="0" r="0" b="0" l="0"/>
            <wp:docPr id="1" name="06_admin_hitl" descr="Admin tab showing HITL Queue with 6 blocked transactions (all $100K, risk 91.4-95.6) with reasons like Watchlist match and Suspicious round amount, plus Audit Log and GDPR Erasure sections" title="Admin HITL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38750" cy="323850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12: Admin — HITL Queue, Audit Log, and GDPR Erasure</w:t>
      </w:r>
    </w:p>
    <w:p>
      <w:pPr>
        <w:spacing w:after="80"/>
      </w:pPr>
    </w:p>
    <w:p>
      <w:pPr>
        <w:pStyle w:val="Heading2"/>
        <w:spacing w:after="160" w:before="280"/>
      </w:pPr>
      <w:r>
        <w:rPr>
          <w:rFonts w:ascii="Calibri" w:cs="Calibri" w:eastAsia="Calibri" w:hAnsi="Calibri"/>
          <w:b/>
          <w:bCs/>
          <w:color w:val="2C3E50"/>
          <w:sz w:val="26"/>
          <w:szCs w:val="26"/>
        </w:rPr>
        <w:t xml:space="preserve">4.7 Compliance Tab</w:t>
      </w:r>
    </w:p>
    <w:p>
      <w:pPr>
        <w:pStyle w:val="ListParagraph"/>
        <w:numPr>
          <w:ilvl w:val="0"/>
          <w:numId w:val="2"/>
        </w:numPr>
        <w:spacing w:after="60"/>
      </w:pPr>
      <w:r>
        <w:rPr>
          <w:rFonts w:ascii="Calibri" w:cs="Calibri" w:eastAsia="Calibri" w:hAnsi="Calibri"/>
          <w:color w:val="333333"/>
          <w:sz w:val="22"/>
          <w:szCs w:val="22"/>
        </w:rPr>
        <w:t xml:space="preserve">Sanctions Management: Add and remove entities from the sanctions screening database</w:t>
      </w:r>
    </w:p>
    <w:p>
      <w:pPr>
        <w:pStyle w:val="ListParagraph"/>
        <w:numPr>
          <w:ilvl w:val="0"/>
          <w:numId w:val="2"/>
        </w:numPr>
        <w:spacing w:after="60"/>
      </w:pPr>
      <w:r>
        <w:rPr>
          <w:rFonts w:ascii="Calibri" w:cs="Calibri" w:eastAsia="Calibri" w:hAnsi="Calibri"/>
          <w:color w:val="333333"/>
          <w:sz w:val="22"/>
          <w:szCs w:val="22"/>
        </w:rPr>
        <w:t xml:space="preserve">SWIFT GPI Tracking: Search and track payments by UETR (Unique End-to-End Transaction Reference)</w:t>
      </w:r>
    </w:p>
    <w:p>
      <w:pPr>
        <w:pStyle w:val="ListParagraph"/>
        <w:numPr>
          <w:ilvl w:val="0"/>
          <w:numId w:val="2"/>
        </w:numPr>
        <w:spacing w:after="60"/>
      </w:pPr>
      <w:r>
        <w:rPr>
          <w:rFonts w:ascii="Calibri" w:cs="Calibri" w:eastAsia="Calibri" w:hAnsi="Calibri"/>
          <w:color w:val="333333"/>
          <w:sz w:val="22"/>
          <w:szCs w:val="22"/>
        </w:rPr>
        <w:t xml:space="preserve">Nostro Position: View current liquidity positions in USD</w:t>
      </w:r>
    </w:p>
    <w:p>
      <w:pPr>
        <w:spacing w:after="80"/>
      </w:pPr>
    </w:p>
    <w:p>
      <w:pPr>
        <w:spacing w:after="80" w:before="200"/>
        <w:jc w:val="center"/>
      </w:pPr>
      <w:r>
        <w:drawing>
          <wp:inline distT="0" distB="0" distL="0" distR="0">
            <wp:extent cx="5238750" cy="3238500"/>
            <wp:effectExtent t="0" r="0" b="0" l="0"/>
            <wp:docPr id="1" name="07_compliance" descr="Compliance tab showing Sanctions List Management, SWIFT GPI Tracker, and Nostro Balances (USD) with $100K for Account 1 and wallet addresses for 5 accounts" title="Compliance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323850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13: Compliance — Sanctions, SWIFT GPI, and Nostro Balances</w:t>
      </w:r>
    </w:p>
    <w:p>
      <w:pPr>
        <w:spacing w:after="80"/>
      </w:pPr>
    </w:p>
    <w:p>
      <w:pPr>
        <w:pStyle w:val="Heading2"/>
        <w:spacing w:after="160" w:before="280"/>
      </w:pPr>
      <w:r>
        <w:rPr>
          <w:rFonts w:ascii="Calibri" w:cs="Calibri" w:eastAsia="Calibri" w:hAnsi="Calibri"/>
          <w:b/>
          <w:bCs/>
          <w:color w:val="2C3E50"/>
          <w:sz w:val="26"/>
          <w:szCs w:val="26"/>
        </w:rPr>
        <w:t xml:space="preserve">4.8 Case Management Tab</w:t>
      </w:r>
    </w:p>
    <w:p>
      <w:pPr>
        <w:spacing w:after="120"/>
        <w:jc w:val="both"/>
      </w:pPr>
      <w:r>
        <w:rPr>
          <w:rFonts w:ascii="Calibri" w:cs="Calibri" w:eastAsia="Calibri" w:hAnsi="Calibri"/>
          <w:color w:val="333333"/>
          <w:sz w:val="22"/>
          <w:szCs w:val="22"/>
        </w:rPr>
        <w:t xml:space="preserve">The dedicated case management interface provides full compliance case lifecycle tracking:</w:t>
      </w:r>
    </w:p>
    <w:p>
      <w:pPr>
        <w:pStyle w:val="ListParagraph"/>
        <w:numPr>
          <w:ilvl w:val="0"/>
          <w:numId w:val="2"/>
        </w:numPr>
        <w:spacing w:after="60"/>
      </w:pPr>
      <w:r>
        <w:rPr>
          <w:rFonts w:ascii="Calibri" w:cs="Calibri" w:eastAsia="Calibri" w:hAnsi="Calibri"/>
          <w:color w:val="333333"/>
          <w:sz w:val="22"/>
          <w:szCs w:val="22"/>
        </w:rPr>
        <w:t xml:space="preserve">Summary Cards: Open cases, Under Investigation, Escalated, and Resolved (current month) counts</w:t>
      </w:r>
    </w:p>
    <w:p>
      <w:pPr>
        <w:pStyle w:val="ListParagraph"/>
        <w:numPr>
          <w:ilvl w:val="0"/>
          <w:numId w:val="2"/>
        </w:numPr>
        <w:spacing w:after="60"/>
      </w:pPr>
      <w:r>
        <w:rPr>
          <w:rFonts w:ascii="Calibri" w:cs="Calibri" w:eastAsia="Calibri" w:hAnsi="Calibri"/>
          <w:color w:val="333333"/>
          <w:sz w:val="22"/>
          <w:szCs w:val="22"/>
        </w:rPr>
        <w:t xml:space="preserve">Filterable Case Table: Filter by status (open/investigating/escalated/resolved/closed), severity (critical/high/medium/low), and case type</w:t>
      </w:r>
    </w:p>
    <w:p>
      <w:pPr>
        <w:pStyle w:val="ListParagraph"/>
        <w:numPr>
          <w:ilvl w:val="0"/>
          <w:numId w:val="2"/>
        </w:numPr>
        <w:spacing w:after="60"/>
      </w:pPr>
      <w:r>
        <w:rPr>
          <w:rFonts w:ascii="Calibri" w:cs="Calibri" w:eastAsia="Calibri" w:hAnsi="Calibri"/>
          <w:color w:val="333333"/>
          <w:sz w:val="22"/>
          <w:szCs w:val="22"/>
        </w:rPr>
        <w:t xml:space="preserve">Case Types: AML, Sanctions, Fraud, Structuring, PEP, Terrorist Financing</w:t>
      </w:r>
    </w:p>
    <w:p>
      <w:pPr>
        <w:pStyle w:val="ListParagraph"/>
        <w:numPr>
          <w:ilvl w:val="0"/>
          <w:numId w:val="2"/>
        </w:numPr>
        <w:spacing w:after="60"/>
      </w:pPr>
      <w:r>
        <w:rPr>
          <w:rFonts w:ascii="Calibri" w:cs="Calibri" w:eastAsia="Calibri" w:hAnsi="Calibri"/>
          <w:color w:val="333333"/>
          <w:sz w:val="22"/>
          <w:szCs w:val="22"/>
        </w:rPr>
        <w:t xml:space="preserve">Severity Levels: Critical (red), High (orange), Medium (yellow), Low (green)</w:t>
      </w:r>
    </w:p>
    <w:p>
      <w:pPr>
        <w:pStyle w:val="ListParagraph"/>
        <w:numPr>
          <w:ilvl w:val="0"/>
          <w:numId w:val="2"/>
        </w:numPr>
        <w:spacing w:after="60"/>
      </w:pPr>
      <w:r>
        <w:rPr>
          <w:rFonts w:ascii="Calibri" w:cs="Calibri" w:eastAsia="Calibri" w:hAnsi="Calibri"/>
          <w:color w:val="333333"/>
          <w:sz w:val="22"/>
          <w:szCs w:val="22"/>
        </w:rPr>
        <w:t xml:space="preserve">Case Actions: Investigate, Escalate, Resolve, Assign, Add Findings, File SAR</w:t>
      </w:r>
    </w:p>
    <w:p>
      <w:pPr>
        <w:pStyle w:val="ListParagraph"/>
        <w:numPr>
          <w:ilvl w:val="0"/>
          <w:numId w:val="2"/>
        </w:numPr>
        <w:spacing w:after="60"/>
      </w:pPr>
      <w:r>
        <w:rPr>
          <w:rFonts w:ascii="Calibri" w:cs="Calibri" w:eastAsia="Calibri" w:hAnsi="Calibri"/>
          <w:color w:val="333333"/>
          <w:sz w:val="22"/>
          <w:szCs w:val="22"/>
        </w:rPr>
        <w:t xml:space="preserve">Auto-Creation: Compliance cases are automatically created when transactions are blocked, with case numbers in CASE-2026-XXXX format</w:t>
      </w:r>
    </w:p>
    <w:p>
      <w:pPr>
        <w:spacing w:after="80"/>
      </w:pPr>
    </w:p>
    <w:p>
      <w:pPr>
        <w:spacing w:after="80" w:before="200"/>
        <w:jc w:val="center"/>
      </w:pPr>
      <w:r>
        <w:drawing>
          <wp:inline distT="0" distB="0" distL="0" distR="0">
            <wp:extent cx="5238750" cy="3238500"/>
            <wp:effectExtent t="0" r="0" b="0" l="0"/>
            <wp:docPr id="1" name="08_case_management" descr="Case Management tab showing 4 Open cases, 1 Under Investigation, 0 Escalated, 0 Resolved, with CASE-2026-XXXX cases of SANCTIONS type and severity levels" title="Case Management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38750" cy="323850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14: Case Management — Overview with Summary Cards and Case Table</w:t>
      </w:r>
    </w:p>
    <w:p>
      <w:pPr>
        <w:spacing w:after="80"/>
      </w:pPr>
    </w:p>
    <w:p>
      <w:pPr>
        <w:spacing w:after="80" w:before="200"/>
        <w:jc w:val="center"/>
      </w:pPr>
      <w:r>
        <w:drawing>
          <wp:inline distT="0" distB="0" distL="0" distR="0">
            <wp:extent cx="5238750" cy="3619500"/>
            <wp:effectExtent t="0" r="0" b="0" l="0"/>
            <wp:docPr id="1" name="09_case_detail" descr="Case detail modal for CASE-2026-0006 showing status OPEN, type SANCTIONS, risk score 85.0, sender Mohamad Idriss, beneficiary Phantom Bank Ltd, amount $100K, with action buttons" title="Case Detail 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38750" cy="361950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15: Case Detail — Full Case View with Action Buttons</w:t>
      </w:r>
    </w:p>
    <w:p>
      <w:pPr>
        <w:spacing w:after="80"/>
      </w:pPr>
    </w:p>
    <w:p>
      <w:pPr>
        <w:spacing w:after="80" w:before="200"/>
        <w:jc w:val="center"/>
      </w:pPr>
      <w:r>
        <w:drawing>
          <wp:inline distT="0" distB="0" distL="0" distR="0">
            <wp:extent cx="5238750" cy="2857500"/>
            <wp:effectExtent t="0" r="0" b="0" l="0"/>
            <wp:docPr id="1" name="10_case_assign" descr="Case assign dialog showing text input for assigning a compliance officer to the case" title="Case Assignment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38750" cy="285750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16: Case Management — Compliance Officer Assignment</w:t>
      </w:r>
    </w:p>
    <w:p>
      <w:pPr>
        <w:spacing w:after="80"/>
      </w:pPr>
    </w:p>
    <w:p>
      <w:pPr>
        <w:spacing w:after="80" w:before="200"/>
        <w:jc w:val="center"/>
      </w:pPr>
      <w:r>
        <w:drawing>
          <wp:inline distT="0" distB="0" distL="0" distR="0">
            <wp:extent cx="5238750" cy="3238500"/>
            <wp:effectExtent t="0" r="0" b="0" l="0"/>
            <wp:docPr id="1" name="11_case_investigating" descr="Case Management after actions showing 4 Open, 1 Investigating, 0 Escalated, 0 Resolved with updated case statuses and assigned compliance officers" title="Case Management Investigating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323850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17: Case Management — Cases Under Investigation</w:t>
      </w:r>
    </w:p>
    <w:p>
      <w:pPr>
        <w:spacing w:after="80"/>
      </w:pPr>
    </w:p>
    <w:p>
      <w:pPr>
        <w:spacing w:after="80" w:before="200"/>
        <w:jc w:val="center"/>
      </w:pPr>
      <w:r>
        <w:drawing>
          <wp:inline distT="0" distB="0" distL="0" distR="0">
            <wp:extent cx="5238750" cy="3238500"/>
            <wp:effectExtent t="0" r="0" b="0" l="0"/>
            <wp:docPr id="1" name="12_case_resolved" descr="Case Management showing 2 Open, 1 Investigating, 1 Escalated, 1 Resolved, demonstrating the full case lifecycle progression" title="Case Management Full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38750" cy="323850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18: Case Management — Full Lifecycle (Open, Investigating, Escalated, Resolved)</w:t>
      </w:r>
    </w:p>
    <w:p>
      <w:r>
        <w:br w:type="page"/>
      </w:r>
    </w:p>
    <w:p>
      <w:pPr>
        <w:pStyle w:val="Heading1"/>
        <w:spacing w:after="200" w:before="360"/>
      </w:pPr>
      <w:r>
        <w:rPr>
          <w:rFonts w:ascii="Calibri" w:cs="Calibri" w:eastAsia="Calibri" w:hAnsi="Calibri"/>
          <w:b/>
          <w:bCs/>
          <w:color w:val="1A5276"/>
          <w:sz w:val="32"/>
          <w:szCs w:val="32"/>
        </w:rPr>
        <w:t xml:space="preserve">5. User Accounts &amp; Role-Based Access Control</w:t>
      </w:r>
    </w:p>
    <w:p>
      <w:pPr>
        <w:spacing w:after="120"/>
        <w:jc w:val="both"/>
      </w:pPr>
      <w:r>
        <w:rPr>
          <w:rFonts w:ascii="Calibri" w:cs="Calibri" w:eastAsia="Calibri" w:hAnsi="Calibri"/>
          <w:color w:val="333333"/>
          <w:sz w:val="22"/>
          <w:szCs w:val="22"/>
        </w:rPr>
        <w:t xml:space="preserve">IPTS implements a comprehensive RBAC system with 5 user accounts, each mapped to a specific role with distinct permissions and starting balances.</w:t>
      </w:r>
    </w:p>
    <w:p>
      <w:pPr>
        <w:spacing w:after="80"/>
      </w:pPr>
    </w:p>
    <w:p>
      <w:pPr>
        <w:pStyle w:val="Heading2"/>
        <w:spacing w:after="160" w:before="280"/>
      </w:pPr>
      <w:r>
        <w:rPr>
          <w:rFonts w:ascii="Calibri" w:cs="Calibri" w:eastAsia="Calibri" w:hAnsi="Calibri"/>
          <w:b/>
          <w:bCs/>
          <w:color w:val="2C3E50"/>
          <w:sz w:val="26"/>
          <w:szCs w:val="26"/>
        </w:rPr>
        <w:t xml:space="preserve">5.1 User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800"/>
        <w:gridCol w:w="1800"/>
        <w:gridCol w:w="2260"/>
      </w:tblGrid>
      <w:tr>
        <w:tc>
          <w:tcPr>
            <w:tcW w:type="dxa" w:w="1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Username</w:t>
            </w:r>
          </w:p>
        </w:tc>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Password</w:t>
            </w:r>
          </w:p>
        </w:tc>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Full Name</w:t>
            </w:r>
          </w:p>
        </w:tc>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Role</w:t>
            </w:r>
          </w:p>
        </w:tc>
        <w:tc>
          <w:tcPr>
            <w:tcW w:type="dxa" w:w="22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Balance (USD)</w:t>
            </w:r>
          </w:p>
        </w:tc>
      </w:tr>
      <w:tr>
        <w:tc>
          <w:tcPr>
            <w:tcW w:type="dxa" w:w="1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mohamad</w:t>
            </w:r>
          </w:p>
        </w:tc>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Mohamad@2026!</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Mohamad Idriss</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Admin</w:t>
            </w:r>
          </w:p>
        </w:tc>
        <w:tc>
          <w:tcPr>
            <w:tcW w:type="dxa" w:w="22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$1,000,000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rohit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Rohit@2026!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Rohit Jacob Isaac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Operator</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$750,000</w:t>
            </w:r>
          </w:p>
        </w:tc>
      </w:tr>
      <w:tr>
        <w:tc>
          <w:tcPr>
            <w:tcW w:type="dxa" w:w="1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sriram</w:t>
            </w:r>
          </w:p>
        </w:tc>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Sriram@2026!</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Sriram Acharya Mudumbai</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Auditor</w:t>
            </w:r>
          </w:p>
        </w:tc>
        <w:tc>
          <w:tcPr>
            <w:tcW w:type="dxa" w:w="22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$500,000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walid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Walid@2026!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Walid Elmahdy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Compliance</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$350,000</w:t>
            </w:r>
          </w:p>
        </w:tc>
      </w:tr>
      <w:tr>
        <w:tc>
          <w:tcPr>
            <w:tcW w:type="dxa" w:w="1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vibin</w:t>
            </w:r>
          </w:p>
        </w:tc>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Vibin@2026!</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Vibin Chandrabose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Data Scientist</w:t>
            </w:r>
          </w:p>
        </w:tc>
        <w:tc>
          <w:tcPr>
            <w:tcW w:type="dxa" w:w="22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$150,000</w:t>
            </w:r>
          </w:p>
        </w:tc>
      </w:tr>
    </w:tbl>
    <w:p>
      <w:pPr>
        <w:spacing w:after="80"/>
      </w:pPr>
    </w:p>
    <w:p>
      <w:pPr>
        <w:pStyle w:val="Heading2"/>
        <w:spacing w:after="160" w:before="280"/>
      </w:pPr>
      <w:r>
        <w:rPr>
          <w:rFonts w:ascii="Calibri" w:cs="Calibri" w:eastAsia="Calibri" w:hAnsi="Calibri"/>
          <w:b/>
          <w:bCs/>
          <w:color w:val="2C3E50"/>
          <w:sz w:val="26"/>
          <w:szCs w:val="26"/>
        </w:rPr>
        <w:t xml:space="preserve">5.2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12"/>
        <w:gridCol w:w="1312"/>
        <w:gridCol w:w="1312"/>
        <w:gridCol w:w="1312"/>
        <w:gridCol w:w="1312"/>
      </w:tblGrid>
      <w:tr>
        <w:tc>
          <w:tcPr>
            <w:tcW w:type="dxa" w:w="2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Feature</w:t>
            </w:r>
          </w:p>
        </w:tc>
        <w:tc>
          <w:tcPr>
            <w:tcW w:type="dxa" w:w="1312"/>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Admin</w:t>
            </w:r>
          </w:p>
        </w:tc>
        <w:tc>
          <w:tcPr>
            <w:tcW w:type="dxa" w:w="1312"/>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Operator</w:t>
            </w:r>
          </w:p>
        </w:tc>
        <w:tc>
          <w:tcPr>
            <w:tcW w:type="dxa" w:w="1312"/>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Auditor</w:t>
            </w:r>
          </w:p>
        </w:tc>
        <w:tc>
          <w:tcPr>
            <w:tcW w:type="dxa" w:w="1312"/>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Compliance</w:t>
            </w:r>
          </w:p>
        </w:tc>
        <w:tc>
          <w:tcPr>
            <w:tcW w:type="dxa" w:w="1312"/>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Data Sci.</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Dashboard</w:t>
            </w:r>
          </w:p>
        </w:tc>
        <w:tc>
          <w:tcPr>
            <w:tcW w:type="dxa" w:w="131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Calibri" w:cs="Calibri" w:eastAsia="Calibri" w:hAnsi="Calibri"/>
                <w:b/>
                <w:bCs/>
                <w:color w:val="0E8C5F"/>
                <w:sz w:val="20"/>
                <w:szCs w:val="20"/>
              </w:rPr>
              <w:t xml:space="preserve">Y</w:t>
            </w:r>
          </w:p>
        </w:tc>
        <w:tc>
          <w:tcPr>
            <w:tcW w:type="dxa" w:w="131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Calibri" w:cs="Calibri" w:eastAsia="Calibri" w:hAnsi="Calibri"/>
                <w:b/>
                <w:bCs/>
                <w:color w:val="0E8C5F"/>
                <w:sz w:val="20"/>
                <w:szCs w:val="20"/>
              </w:rPr>
              <w:t xml:space="preserve">Y</w:t>
            </w:r>
          </w:p>
        </w:tc>
        <w:tc>
          <w:tcPr>
            <w:tcW w:type="dxa" w:w="131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Calibri" w:cs="Calibri" w:eastAsia="Calibri" w:hAnsi="Calibri"/>
                <w:b/>
                <w:bCs/>
                <w:color w:val="0E8C5F"/>
                <w:sz w:val="20"/>
                <w:szCs w:val="20"/>
              </w:rPr>
              <w:t xml:space="preserve">Y</w:t>
            </w:r>
          </w:p>
        </w:tc>
        <w:tc>
          <w:tcPr>
            <w:tcW w:type="dxa" w:w="131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Calibri" w:cs="Calibri" w:eastAsia="Calibri" w:hAnsi="Calibri"/>
                <w:b/>
                <w:bCs/>
                <w:color w:val="0E8C5F"/>
                <w:sz w:val="20"/>
                <w:szCs w:val="20"/>
              </w:rPr>
              <w:t xml:space="preserve">Y</w:t>
            </w:r>
          </w:p>
        </w:tc>
        <w:tc>
          <w:tcPr>
            <w:tcW w:type="dxa" w:w="131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Calibri" w:cs="Calibri" w:eastAsia="Calibri" w:hAnsi="Calibri"/>
                <w:b/>
                <w:bCs/>
                <w:color w:val="0E8C5F"/>
                <w:sz w:val="20"/>
                <w:szCs w:val="20"/>
              </w:rPr>
              <w:t xml:space="preserve">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Execute Payments</w:t>
            </w:r>
          </w:p>
        </w:tc>
        <w:tc>
          <w:tcPr>
            <w:tcW w:type="dxa" w:w="131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0E8C5F"/>
                <w:sz w:val="20"/>
                <w:szCs w:val="20"/>
              </w:rPr>
              <w:t xml:space="preserve">Y</w:t>
            </w:r>
          </w:p>
        </w:tc>
        <w:tc>
          <w:tcPr>
            <w:tcW w:type="dxa" w:w="131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0E8C5F"/>
                <w:sz w:val="20"/>
                <w:szCs w:val="20"/>
              </w:rPr>
              <w:t xml:space="preserve">Y</w:t>
            </w:r>
          </w:p>
        </w:tc>
        <w:tc>
          <w:tcPr>
            <w:tcW w:type="dxa" w:w="131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C0000"/>
                <w:sz w:val="20"/>
                <w:szCs w:val="20"/>
              </w:rPr>
              <w:t xml:space="preserve">-</w:t>
            </w:r>
          </w:p>
        </w:tc>
        <w:tc>
          <w:tcPr>
            <w:tcW w:type="dxa" w:w="131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C0000"/>
                <w:sz w:val="20"/>
                <w:szCs w:val="20"/>
              </w:rPr>
              <w:t xml:space="preserve">-</w:t>
            </w:r>
          </w:p>
        </w:tc>
        <w:tc>
          <w:tcPr>
            <w:tcW w:type="dxa" w:w="131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C0000"/>
                <w:sz w:val="20"/>
                <w:szCs w:val="20"/>
              </w:rPr>
              <w:t xml:space="preserve">-</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View Transactions</w:t>
            </w:r>
          </w:p>
        </w:tc>
        <w:tc>
          <w:tcPr>
            <w:tcW w:type="dxa" w:w="131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Calibri" w:cs="Calibri" w:eastAsia="Calibri" w:hAnsi="Calibri"/>
                <w:b/>
                <w:bCs/>
                <w:color w:val="0E8C5F"/>
                <w:sz w:val="20"/>
                <w:szCs w:val="20"/>
              </w:rPr>
              <w:t xml:space="preserve">Y</w:t>
            </w:r>
          </w:p>
        </w:tc>
        <w:tc>
          <w:tcPr>
            <w:tcW w:type="dxa" w:w="131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Calibri" w:cs="Calibri" w:eastAsia="Calibri" w:hAnsi="Calibri"/>
                <w:b/>
                <w:bCs/>
                <w:color w:val="0E8C5F"/>
                <w:sz w:val="20"/>
                <w:szCs w:val="20"/>
              </w:rPr>
              <w:t xml:space="preserve">Y</w:t>
            </w:r>
          </w:p>
        </w:tc>
        <w:tc>
          <w:tcPr>
            <w:tcW w:type="dxa" w:w="131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Calibri" w:cs="Calibri" w:eastAsia="Calibri" w:hAnsi="Calibri"/>
                <w:b/>
                <w:bCs/>
                <w:color w:val="0E8C5F"/>
                <w:sz w:val="20"/>
                <w:szCs w:val="20"/>
              </w:rPr>
              <w:t xml:space="preserve">Y</w:t>
            </w:r>
          </w:p>
        </w:tc>
        <w:tc>
          <w:tcPr>
            <w:tcW w:type="dxa" w:w="131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Calibri" w:cs="Calibri" w:eastAsia="Calibri" w:hAnsi="Calibri"/>
                <w:b/>
                <w:bCs/>
                <w:color w:val="0E8C5F"/>
                <w:sz w:val="20"/>
                <w:szCs w:val="20"/>
              </w:rPr>
              <w:t xml:space="preserve">Y</w:t>
            </w:r>
          </w:p>
        </w:tc>
        <w:tc>
          <w:tcPr>
            <w:tcW w:type="dxa" w:w="131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Calibri" w:cs="Calibri" w:eastAsia="Calibri" w:hAnsi="Calibri"/>
                <w:b/>
                <w:bCs/>
                <w:color w:val="0E8C5F"/>
                <w:sz w:val="20"/>
                <w:szCs w:val="20"/>
              </w:rPr>
              <w:t xml:space="preserve">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HITL Approve/Reject</w:t>
            </w:r>
          </w:p>
        </w:tc>
        <w:tc>
          <w:tcPr>
            <w:tcW w:type="dxa" w:w="131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0E8C5F"/>
                <w:sz w:val="20"/>
                <w:szCs w:val="20"/>
              </w:rPr>
              <w:t xml:space="preserve">Y</w:t>
            </w:r>
          </w:p>
        </w:tc>
        <w:tc>
          <w:tcPr>
            <w:tcW w:type="dxa" w:w="131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C0000"/>
                <w:sz w:val="20"/>
                <w:szCs w:val="20"/>
              </w:rPr>
              <w:t xml:space="preserve">-</w:t>
            </w:r>
          </w:p>
        </w:tc>
        <w:tc>
          <w:tcPr>
            <w:tcW w:type="dxa" w:w="131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C0000"/>
                <w:sz w:val="20"/>
                <w:szCs w:val="20"/>
              </w:rPr>
              <w:t xml:space="preserve">-</w:t>
            </w:r>
          </w:p>
        </w:tc>
        <w:tc>
          <w:tcPr>
            <w:tcW w:type="dxa" w:w="131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0E8C5F"/>
                <w:sz w:val="20"/>
                <w:szCs w:val="20"/>
              </w:rPr>
              <w:t xml:space="preserve">Y</w:t>
            </w:r>
          </w:p>
        </w:tc>
        <w:tc>
          <w:tcPr>
            <w:tcW w:type="dxa" w:w="131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C0000"/>
                <w:sz w:val="20"/>
                <w:szCs w:val="20"/>
              </w:rPr>
              <w:t xml:space="preserve">-</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Case Management</w:t>
            </w:r>
          </w:p>
        </w:tc>
        <w:tc>
          <w:tcPr>
            <w:tcW w:type="dxa" w:w="131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Calibri" w:cs="Calibri" w:eastAsia="Calibri" w:hAnsi="Calibri"/>
                <w:b/>
                <w:bCs/>
                <w:color w:val="0E8C5F"/>
                <w:sz w:val="20"/>
                <w:szCs w:val="20"/>
              </w:rPr>
              <w:t xml:space="preserve">Y</w:t>
            </w:r>
          </w:p>
        </w:tc>
        <w:tc>
          <w:tcPr>
            <w:tcW w:type="dxa" w:w="131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Calibri" w:cs="Calibri" w:eastAsia="Calibri" w:hAnsi="Calibri"/>
                <w:b/>
                <w:bCs/>
                <w:color w:val="CC0000"/>
                <w:sz w:val="20"/>
                <w:szCs w:val="20"/>
              </w:rPr>
              <w:t xml:space="preserve">-</w:t>
            </w:r>
          </w:p>
        </w:tc>
        <w:tc>
          <w:tcPr>
            <w:tcW w:type="dxa" w:w="131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Calibri" w:cs="Calibri" w:eastAsia="Calibri" w:hAnsi="Calibri"/>
                <w:b/>
                <w:bCs/>
                <w:color w:val="0E8C5F"/>
                <w:sz w:val="20"/>
                <w:szCs w:val="20"/>
              </w:rPr>
              <w:t xml:space="preserve">Y</w:t>
            </w:r>
          </w:p>
        </w:tc>
        <w:tc>
          <w:tcPr>
            <w:tcW w:type="dxa" w:w="131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Calibri" w:cs="Calibri" w:eastAsia="Calibri" w:hAnsi="Calibri"/>
                <w:b/>
                <w:bCs/>
                <w:color w:val="0E8C5F"/>
                <w:sz w:val="20"/>
                <w:szCs w:val="20"/>
              </w:rPr>
              <w:t xml:space="preserve">Y</w:t>
            </w:r>
          </w:p>
        </w:tc>
        <w:tc>
          <w:tcPr>
            <w:tcW w:type="dxa" w:w="131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Calibri" w:cs="Calibri" w:eastAsia="Calibri" w:hAnsi="Calibri"/>
                <w:b/>
                <w:bCs/>
                <w:color w:val="CC0000"/>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Retrain Models</w:t>
            </w:r>
          </w:p>
        </w:tc>
        <w:tc>
          <w:tcPr>
            <w:tcW w:type="dxa" w:w="131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0E8C5F"/>
                <w:sz w:val="20"/>
                <w:szCs w:val="20"/>
              </w:rPr>
              <w:t xml:space="preserve">Y</w:t>
            </w:r>
          </w:p>
        </w:tc>
        <w:tc>
          <w:tcPr>
            <w:tcW w:type="dxa" w:w="131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C0000"/>
                <w:sz w:val="20"/>
                <w:szCs w:val="20"/>
              </w:rPr>
              <w:t xml:space="preserve">-</w:t>
            </w:r>
          </w:p>
        </w:tc>
        <w:tc>
          <w:tcPr>
            <w:tcW w:type="dxa" w:w="131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C0000"/>
                <w:sz w:val="20"/>
                <w:szCs w:val="20"/>
              </w:rPr>
              <w:t xml:space="preserve">-</w:t>
            </w:r>
          </w:p>
        </w:tc>
        <w:tc>
          <w:tcPr>
            <w:tcW w:type="dxa" w:w="131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C0000"/>
                <w:sz w:val="20"/>
                <w:szCs w:val="20"/>
              </w:rPr>
              <w:t xml:space="preserve">-</w:t>
            </w:r>
          </w:p>
        </w:tc>
        <w:tc>
          <w:tcPr>
            <w:tcW w:type="dxa" w:w="131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0E8C5F"/>
                <w:sz w:val="20"/>
                <w:szCs w:val="20"/>
              </w:rPr>
              <w:t xml:space="preserve">Y</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GDPR Erasure</w:t>
            </w:r>
          </w:p>
        </w:tc>
        <w:tc>
          <w:tcPr>
            <w:tcW w:type="dxa" w:w="131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Calibri" w:cs="Calibri" w:eastAsia="Calibri" w:hAnsi="Calibri"/>
                <w:b/>
                <w:bCs/>
                <w:color w:val="0E8C5F"/>
                <w:sz w:val="20"/>
                <w:szCs w:val="20"/>
              </w:rPr>
              <w:t xml:space="preserve">Y</w:t>
            </w:r>
          </w:p>
        </w:tc>
        <w:tc>
          <w:tcPr>
            <w:tcW w:type="dxa" w:w="131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Calibri" w:cs="Calibri" w:eastAsia="Calibri" w:hAnsi="Calibri"/>
                <w:b/>
                <w:bCs/>
                <w:color w:val="CC0000"/>
                <w:sz w:val="20"/>
                <w:szCs w:val="20"/>
              </w:rPr>
              <w:t xml:space="preserve">-</w:t>
            </w:r>
          </w:p>
        </w:tc>
        <w:tc>
          <w:tcPr>
            <w:tcW w:type="dxa" w:w="131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Calibri" w:cs="Calibri" w:eastAsia="Calibri" w:hAnsi="Calibri"/>
                <w:b/>
                <w:bCs/>
                <w:color w:val="CC0000"/>
                <w:sz w:val="20"/>
                <w:szCs w:val="20"/>
              </w:rPr>
              <w:t xml:space="preserve">-</w:t>
            </w:r>
          </w:p>
        </w:tc>
        <w:tc>
          <w:tcPr>
            <w:tcW w:type="dxa" w:w="131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Calibri" w:cs="Calibri" w:eastAsia="Calibri" w:hAnsi="Calibri"/>
                <w:b/>
                <w:bCs/>
                <w:color w:val="0E8C5F"/>
                <w:sz w:val="20"/>
                <w:szCs w:val="20"/>
              </w:rPr>
              <w:t xml:space="preserve">Y</w:t>
            </w:r>
          </w:p>
        </w:tc>
        <w:tc>
          <w:tcPr>
            <w:tcW w:type="dxa" w:w="131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Calibri" w:cs="Calibri" w:eastAsia="Calibri" w:hAnsi="Calibri"/>
                <w:b/>
                <w:bCs/>
                <w:color w:val="CC0000"/>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Sanctions Mgmt.</w:t>
            </w:r>
          </w:p>
        </w:tc>
        <w:tc>
          <w:tcPr>
            <w:tcW w:type="dxa" w:w="131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0E8C5F"/>
                <w:sz w:val="20"/>
                <w:szCs w:val="20"/>
              </w:rPr>
              <w:t xml:space="preserve">Y</w:t>
            </w:r>
          </w:p>
        </w:tc>
        <w:tc>
          <w:tcPr>
            <w:tcW w:type="dxa" w:w="131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C0000"/>
                <w:sz w:val="20"/>
                <w:szCs w:val="20"/>
              </w:rPr>
              <w:t xml:space="preserve">-</w:t>
            </w:r>
          </w:p>
        </w:tc>
        <w:tc>
          <w:tcPr>
            <w:tcW w:type="dxa" w:w="131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C0000"/>
                <w:sz w:val="20"/>
                <w:szCs w:val="20"/>
              </w:rPr>
              <w:t xml:space="preserve">-</w:t>
            </w:r>
          </w:p>
        </w:tc>
        <w:tc>
          <w:tcPr>
            <w:tcW w:type="dxa" w:w="131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0E8C5F"/>
                <w:sz w:val="20"/>
                <w:szCs w:val="20"/>
              </w:rPr>
              <w:t xml:space="preserve">Y</w:t>
            </w:r>
          </w:p>
        </w:tc>
        <w:tc>
          <w:tcPr>
            <w:tcW w:type="dxa" w:w="131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C0000"/>
                <w:sz w:val="20"/>
                <w:szCs w:val="20"/>
              </w:rPr>
              <w:t xml:space="preserve">-</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Audit Logs</w:t>
            </w:r>
          </w:p>
        </w:tc>
        <w:tc>
          <w:tcPr>
            <w:tcW w:type="dxa" w:w="131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Calibri" w:cs="Calibri" w:eastAsia="Calibri" w:hAnsi="Calibri"/>
                <w:b/>
                <w:bCs/>
                <w:color w:val="0E8C5F"/>
                <w:sz w:val="20"/>
                <w:szCs w:val="20"/>
              </w:rPr>
              <w:t xml:space="preserve">Y</w:t>
            </w:r>
          </w:p>
        </w:tc>
        <w:tc>
          <w:tcPr>
            <w:tcW w:type="dxa" w:w="131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Calibri" w:cs="Calibri" w:eastAsia="Calibri" w:hAnsi="Calibri"/>
                <w:b/>
                <w:bCs/>
                <w:color w:val="CC0000"/>
                <w:sz w:val="20"/>
                <w:szCs w:val="20"/>
              </w:rPr>
              <w:t xml:space="preserve">-</w:t>
            </w:r>
          </w:p>
        </w:tc>
        <w:tc>
          <w:tcPr>
            <w:tcW w:type="dxa" w:w="131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Calibri" w:cs="Calibri" w:eastAsia="Calibri" w:hAnsi="Calibri"/>
                <w:b/>
                <w:bCs/>
                <w:color w:val="0E8C5F"/>
                <w:sz w:val="20"/>
                <w:szCs w:val="20"/>
              </w:rPr>
              <w:t xml:space="preserve">Y</w:t>
            </w:r>
          </w:p>
        </w:tc>
        <w:tc>
          <w:tcPr>
            <w:tcW w:type="dxa" w:w="131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Calibri" w:cs="Calibri" w:eastAsia="Calibri" w:hAnsi="Calibri"/>
                <w:b/>
                <w:bCs/>
                <w:color w:val="0E8C5F"/>
                <w:sz w:val="20"/>
                <w:szCs w:val="20"/>
              </w:rPr>
              <w:t xml:space="preserve">Y</w:t>
            </w:r>
          </w:p>
        </w:tc>
        <w:tc>
          <w:tcPr>
            <w:tcW w:type="dxa" w:w="131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Calibri" w:cs="Calibri" w:eastAsia="Calibri" w:hAnsi="Calibri"/>
                <w:b/>
                <w:bCs/>
                <w:color w:val="CC0000"/>
                <w:sz w:val="20"/>
                <w:szCs w:val="20"/>
              </w:rPr>
              <w:t xml:space="preserve">-</w:t>
            </w:r>
          </w:p>
        </w:tc>
      </w:tr>
    </w:tbl>
    <w:p>
      <w:r>
        <w:br w:type="page"/>
      </w:r>
    </w:p>
    <w:p>
      <w:pPr>
        <w:pStyle w:val="Heading1"/>
        <w:spacing w:after="200" w:before="360"/>
      </w:pPr>
      <w:r>
        <w:rPr>
          <w:rFonts w:ascii="Calibri" w:cs="Calibri" w:eastAsia="Calibri" w:hAnsi="Calibri"/>
          <w:b/>
          <w:bCs/>
          <w:color w:val="1A5276"/>
          <w:sz w:val="32"/>
          <w:szCs w:val="32"/>
        </w:rPr>
        <w:t xml:space="preserve">6. API Reference</w:t>
      </w:r>
    </w:p>
    <w:p>
      <w:pPr>
        <w:spacing w:after="120"/>
        <w:jc w:val="both"/>
      </w:pPr>
      <w:r>
        <w:rPr>
          <w:rFonts w:ascii="Calibri" w:cs="Calibri" w:eastAsia="Calibri" w:hAnsi="Calibri"/>
          <w:color w:val="333333"/>
          <w:sz w:val="22"/>
          <w:szCs w:val="22"/>
        </w:rPr>
        <w:t xml:space="preserve">All API endpoints (except /api/login) require JWT authentication via the Authorization: Bearer &lt;token&gt; header. The API follows RESTful conventions with JSON request/response bodies.</w:t>
      </w:r>
    </w:p>
    <w:p>
      <w:pPr>
        <w:spacing w:after="80"/>
      </w:pPr>
    </w:p>
    <w:p>
      <w:pPr>
        <w:pStyle w:val="Heading2"/>
        <w:spacing w:after="160" w:before="280"/>
      </w:pPr>
      <w:r>
        <w:rPr>
          <w:rFonts w:ascii="Calibri" w:cs="Calibri" w:eastAsia="Calibri" w:hAnsi="Calibri"/>
          <w:b/>
          <w:bCs/>
          <w:color w:val="2C3E50"/>
          <w:sz w:val="26"/>
          <w:szCs w:val="26"/>
        </w:rPr>
        <w:t xml:space="preserve">6.1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W w:type="dxa" w:w="1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Endpoint</w:t>
            </w:r>
          </w:p>
        </w:tc>
        <w:tc>
          <w:tcPr>
            <w:tcW w:type="dxa" w:w="5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/api/login</w:t>
            </w:r>
          </w:p>
        </w:tc>
        <w:tc>
          <w:tcPr>
            <w:tcW w:type="dxa" w:w="5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Authenticate user and receive JWT token</w:t>
            </w:r>
          </w:p>
        </w:tc>
      </w:tr>
    </w:tbl>
    <w:p>
      <w:pPr>
        <w:spacing w:after="80"/>
      </w:pPr>
    </w:p>
    <w:p>
      <w:pPr>
        <w:pStyle w:val="Heading2"/>
        <w:spacing w:after="160" w:before="280"/>
      </w:pPr>
      <w:r>
        <w:rPr>
          <w:rFonts w:ascii="Calibri" w:cs="Calibri" w:eastAsia="Calibri" w:hAnsi="Calibri"/>
          <w:b/>
          <w:bCs/>
          <w:color w:val="2C3E50"/>
          <w:sz w:val="26"/>
          <w:szCs w:val="26"/>
        </w:rPr>
        <w:t xml:space="preserve">6.2 Account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860"/>
      </w:tblGrid>
      <w:tr>
        <w:tc>
          <w:tcPr>
            <w:tcW w:type="dxa" w:w="1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Endpoint</w:t>
            </w:r>
          </w:p>
        </w:tc>
        <w:tc>
          <w:tcPr>
            <w:tcW w:type="dxa" w:w="48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GET</w:t>
            </w:r>
          </w:p>
        </w:tc>
        <w:tc>
          <w:tcPr>
            <w:tcW w:type="dxa" w:w="3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/api/accounts/me</w:t>
            </w:r>
          </w:p>
        </w:tc>
        <w:tc>
          <w:tcPr>
            <w:tcW w:type="dxa" w:w="48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Current user account info and balance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/api/accounts/beneficiaries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List available beneficiaries for payment</w:t>
            </w:r>
          </w:p>
        </w:tc>
      </w:tr>
    </w:tbl>
    <w:p>
      <w:pPr>
        <w:spacing w:after="80"/>
      </w:pPr>
    </w:p>
    <w:p>
      <w:pPr>
        <w:pStyle w:val="Heading2"/>
        <w:spacing w:after="160" w:before="280"/>
      </w:pPr>
      <w:r>
        <w:rPr>
          <w:rFonts w:ascii="Calibri" w:cs="Calibri" w:eastAsia="Calibri" w:hAnsi="Calibri"/>
          <w:b/>
          <w:bCs/>
          <w:color w:val="2C3E50"/>
          <w:sz w:val="26"/>
          <w:szCs w:val="26"/>
        </w:rPr>
        <w:t xml:space="preserve">6.3 Settlements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W w:type="dxa" w:w="1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Endpoint</w:t>
            </w:r>
          </w:p>
        </w:tc>
        <w:tc>
          <w:tcPr>
            <w:tcW w:type="dxa" w:w="5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/api/settlement</w:t>
            </w:r>
          </w:p>
        </w:tc>
        <w:tc>
          <w:tcPr>
            <w:tcW w:type="dxa" w:w="5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Execute a new cross-border settlement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/api/transactions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List transactions (paginated: ?page=1&amp;per_page=20)</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GET</w:t>
            </w:r>
          </w:p>
        </w:tc>
        <w:tc>
          <w:tcPr>
            <w:tcW w:type="dxa" w:w="3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/api/dashboard</w:t>
            </w:r>
          </w:p>
        </w:tc>
        <w:tc>
          <w:tcPr>
            <w:tcW w:type="dxa" w:w="5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Real-time dashboard metrics and KPIs</w:t>
            </w:r>
          </w:p>
        </w:tc>
      </w:tr>
    </w:tbl>
    <w:p>
      <w:pPr>
        <w:spacing w:after="80"/>
      </w:pPr>
    </w:p>
    <w:p>
      <w:pPr>
        <w:pStyle w:val="Heading2"/>
        <w:spacing w:after="160" w:before="280"/>
      </w:pPr>
      <w:r>
        <w:rPr>
          <w:rFonts w:ascii="Calibri" w:cs="Calibri" w:eastAsia="Calibri" w:hAnsi="Calibri"/>
          <w:b/>
          <w:bCs/>
          <w:color w:val="2C3E50"/>
          <w:sz w:val="26"/>
          <w:szCs w:val="26"/>
        </w:rPr>
        <w:t xml:space="preserve">6.4 HITL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W w:type="dxa" w:w="1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Endpoint</w:t>
            </w:r>
          </w:p>
        </w:tc>
        <w:tc>
          <w:tcPr>
            <w:tcW w:type="dxa" w:w="5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GET</w:t>
            </w:r>
          </w:p>
        </w:tc>
        <w:tc>
          <w:tcPr>
            <w:tcW w:type="dxa" w:w="3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/api/hitl/queue</w:t>
            </w:r>
          </w:p>
        </w:tc>
        <w:tc>
          <w:tcPr>
            <w:tcW w:type="dxa" w:w="5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List all HITL review items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/api/hitl/approve/&lt;id&gt;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Approve a blocked transaction</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/api/hitl/reject/&lt;id&gt;</w:t>
            </w:r>
          </w:p>
        </w:tc>
        <w:tc>
          <w:tcPr>
            <w:tcW w:type="dxa" w:w="5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Reject a blocked transaction</w:t>
            </w:r>
          </w:p>
        </w:tc>
      </w:tr>
    </w:tbl>
    <w:p>
      <w:pPr>
        <w:spacing w:after="80"/>
      </w:pPr>
    </w:p>
    <w:p>
      <w:pPr>
        <w:pStyle w:val="Heading2"/>
        <w:spacing w:after="160" w:before="280"/>
      </w:pPr>
      <w:r>
        <w:rPr>
          <w:rFonts w:ascii="Calibri" w:cs="Calibri" w:eastAsia="Calibri" w:hAnsi="Calibri"/>
          <w:b/>
          <w:bCs/>
          <w:color w:val="2C3E50"/>
          <w:sz w:val="26"/>
          <w:szCs w:val="26"/>
        </w:rPr>
        <w:t xml:space="preserve">6.5 Compliance &amp; Case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Endpoint</w:t>
            </w:r>
          </w:p>
        </w:tc>
        <w:tc>
          <w:tcPr>
            <w:tcW w:type="dxa" w:w="4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GET</w:t>
            </w:r>
          </w:p>
        </w:tc>
        <w:tc>
          <w:tcPr>
            <w:tcW w:type="dxa" w:w="3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/api/compliance/cases</w:t>
            </w:r>
          </w:p>
        </w:tc>
        <w:tc>
          <w:tcPr>
            <w:tcW w:type="dxa" w:w="4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List compliance cases (filterable by status, severity, type)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/api/compliance/cases/&lt;id&gt;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Get detailed case information</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POST</w:t>
            </w:r>
          </w:p>
        </w:tc>
        <w:tc>
          <w:tcPr>
            <w:tcW w:type="dxa" w:w="3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/api/compliance/cases</w:t>
            </w:r>
          </w:p>
        </w:tc>
        <w:tc>
          <w:tcPr>
            <w:tcW w:type="dxa" w:w="4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Create new compliance case manually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PUT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/api/compliance/cases/&lt;id&gt;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Update case (status, findings, assignment)</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POST</w:t>
            </w:r>
          </w:p>
        </w:tc>
        <w:tc>
          <w:tcPr>
            <w:tcW w:type="dxa" w:w="3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/api/compliance/cases/&lt;id&gt;/escalate</w:t>
            </w:r>
          </w:p>
        </w:tc>
        <w:tc>
          <w:tcPr>
            <w:tcW w:type="dxa" w:w="4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Escalate case to senior compliance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/api/compliance/cases/&lt;id&gt;/file-sar</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File Suspicious Activity Report</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GET</w:t>
            </w:r>
          </w:p>
        </w:tc>
        <w:tc>
          <w:tcPr>
            <w:tcW w:type="dxa" w:w="3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/api/compliance/sanctions</w:t>
            </w:r>
          </w:p>
        </w:tc>
        <w:tc>
          <w:tcPr>
            <w:tcW w:type="dxa" w:w="4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List sanctions database entries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/api/compliance/sanctions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Add entity to sanctions list</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GET</w:t>
            </w:r>
          </w:p>
        </w:tc>
        <w:tc>
          <w:tcPr>
            <w:tcW w:type="dxa" w:w="3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/api/compliance/swift-gpi/&lt;uetr&gt;</w:t>
            </w:r>
          </w:p>
        </w:tc>
        <w:tc>
          <w:tcPr>
            <w:tcW w:type="dxa" w:w="4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Track SWIFT payment by UETR</w:t>
            </w:r>
          </w:p>
        </w:tc>
      </w:tr>
    </w:tbl>
    <w:p>
      <w:pPr>
        <w:spacing w:after="80"/>
      </w:pPr>
    </w:p>
    <w:p>
      <w:pPr>
        <w:pStyle w:val="Heading2"/>
        <w:spacing w:after="160" w:before="280"/>
      </w:pPr>
      <w:r>
        <w:rPr>
          <w:rFonts w:ascii="Calibri" w:cs="Calibri" w:eastAsia="Calibri" w:hAnsi="Calibri"/>
          <w:b/>
          <w:bCs/>
          <w:color w:val="2C3E50"/>
          <w:sz w:val="26"/>
          <w:szCs w:val="26"/>
        </w:rPr>
        <w:t xml:space="preserve">6.6 AI/ML &amp;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W w:type="dxa" w:w="1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Endpoint</w:t>
            </w:r>
          </w:p>
        </w:tc>
        <w:tc>
          <w:tcPr>
            <w:tcW w:type="dxa" w:w="5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GET</w:t>
            </w:r>
          </w:p>
        </w:tc>
        <w:tc>
          <w:tcPr>
            <w:tcW w:type="dxa" w:w="3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/api/models/metrics</w:t>
            </w:r>
          </w:p>
        </w:tc>
        <w:tc>
          <w:tcPr>
            <w:tcW w:type="dxa" w:w="5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ML model performance metrics and feature importance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/api/models/retrain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Trigger model retraining (admin/datascientist only)</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GET</w:t>
            </w:r>
          </w:p>
        </w:tc>
        <w:tc>
          <w:tcPr>
            <w:tcW w:type="dxa" w:w="3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/api/network/graph</w:t>
            </w:r>
          </w:p>
        </w:tc>
        <w:tc>
          <w:tcPr>
            <w:tcW w:type="dxa" w:w="5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Transaction network graph data for D3.js visualization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/api/audit/log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Audit trail entries (limited to last N events)</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/api/gdpr/erasure</w:t>
            </w:r>
          </w:p>
        </w:tc>
        <w:tc>
          <w:tcPr>
            <w:tcW w:type="dxa" w:w="5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GDPR right to erasure (admin/compliance only)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/api/stream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Server-Sent Events (SSE) real-time event stream</w:t>
            </w:r>
          </w:p>
        </w:tc>
      </w:tr>
    </w:tbl>
    <w:p>
      <w:r>
        <w:br w:type="page"/>
      </w:r>
    </w:p>
    <w:p>
      <w:pPr>
        <w:pStyle w:val="Heading1"/>
        <w:spacing w:after="200" w:before="360"/>
      </w:pPr>
      <w:r>
        <w:rPr>
          <w:rFonts w:ascii="Calibri" w:cs="Calibri" w:eastAsia="Calibri" w:hAnsi="Calibri"/>
          <w:b/>
          <w:bCs/>
          <w:color w:val="1A5276"/>
          <w:sz w:val="32"/>
          <w:szCs w:val="32"/>
        </w:rPr>
        <w:t xml:space="preserve">7. Deployment Guide</w:t>
      </w:r>
    </w:p>
    <w:p>
      <w:pPr>
        <w:pStyle w:val="Heading2"/>
        <w:spacing w:after="160" w:before="280"/>
      </w:pPr>
      <w:r>
        <w:rPr>
          <w:rFonts w:ascii="Calibri" w:cs="Calibri" w:eastAsia="Calibri" w:hAnsi="Calibri"/>
          <w:b/>
          <w:bCs/>
          <w:color w:val="2C3E50"/>
          <w:sz w:val="26"/>
          <w:szCs w:val="26"/>
        </w:rPr>
        <w:t xml:space="preserve">7.1 Google Colab Deployment</w:t>
      </w:r>
    </w:p>
    <w:p>
      <w:pPr>
        <w:spacing w:after="120"/>
        <w:jc w:val="both"/>
      </w:pPr>
      <w:r>
        <w:rPr>
          <w:rFonts w:ascii="Calibri" w:cs="Calibri" w:eastAsia="Calibri" w:hAnsi="Calibri"/>
          <w:color w:val="333333"/>
          <w:sz w:val="22"/>
          <w:szCs w:val="22"/>
        </w:rPr>
        <w:t xml:space="preserve">IPTS is designed for one-click deployment on Google Colab. Follow these steps:</w:t>
      </w:r>
    </w:p>
    <w:p>
      <w:pPr>
        <w:spacing w:after="80"/>
      </w:pPr>
    </w:p>
    <w:p>
      <w:pPr>
        <w:spacing w:after="120"/>
        <w:jc w:val="both"/>
      </w:pPr>
      <w:r>
        <w:rPr>
          <w:rFonts w:ascii="Calibri" w:cs="Calibri" w:eastAsia="Calibri" w:hAnsi="Calibri"/>
          <w:b/>
          <w:bCs/>
          <w:color w:val="2C3E50"/>
          <w:sz w:val="22"/>
          <w:szCs w:val="22"/>
        </w:rPr>
        <w:t xml:space="preserve">Step 1: </w:t>
      </w:r>
      <w:r>
        <w:rPr>
          <w:rFonts w:ascii="Calibri" w:cs="Calibri" w:eastAsia="Calibri" w:hAnsi="Calibri"/>
          <w:color w:val="333333"/>
          <w:sz w:val="22"/>
          <w:szCs w:val="22"/>
        </w:rPr>
        <w:t xml:space="preserve">Open Google Colab at colab.research.google.com and create a new notebook.</w:t>
      </w:r>
    </w:p>
    <w:p>
      <w:pPr>
        <w:spacing w:after="120"/>
        <w:jc w:val="both"/>
      </w:pPr>
      <w:r>
        <w:rPr>
          <w:rFonts w:ascii="Calibri" w:cs="Calibri" w:eastAsia="Calibri" w:hAnsi="Calibri"/>
          <w:b/>
          <w:bCs/>
          <w:color w:val="2C3E50"/>
          <w:sz w:val="22"/>
          <w:szCs w:val="22"/>
        </w:rPr>
        <w:t xml:space="preserve">Step 2: </w:t>
      </w:r>
      <w:r>
        <w:rPr>
          <w:rFonts w:ascii="Calibri" w:cs="Calibri" w:eastAsia="Calibri" w:hAnsi="Calibri"/>
          <w:color w:val="333333"/>
          <w:sz w:val="22"/>
          <w:szCs w:val="22"/>
        </w:rPr>
        <w:t xml:space="preserve">Upload both project files (ipts_colab_deploy.py and ipts_frontend.html) using the file upload cell.</w:t>
      </w:r>
    </w:p>
    <w:p>
      <w:pPr>
        <w:spacing w:after="120"/>
        <w:jc w:val="both"/>
      </w:pPr>
      <w:r>
        <w:rPr>
          <w:rFonts w:ascii="Calibri" w:cs="Calibri" w:eastAsia="Calibri" w:hAnsi="Calibri"/>
          <w:b/>
          <w:bCs/>
          <w:color w:val="2C3E50"/>
          <w:sz w:val="22"/>
          <w:szCs w:val="22"/>
        </w:rPr>
        <w:t xml:space="preserve">Step 3: </w:t>
      </w:r>
      <w:r>
        <w:rPr>
          <w:rFonts w:ascii="Calibri" w:cs="Calibri" w:eastAsia="Calibri" w:hAnsi="Calibri"/>
          <w:color w:val="333333"/>
          <w:sz w:val="22"/>
          <w:szCs w:val="22"/>
        </w:rPr>
        <w:t xml:space="preserve">Install Node.js 18+ by running the NodeSource setup script.</w:t>
      </w:r>
    </w:p>
    <w:p>
      <w:pPr>
        <w:spacing w:after="120"/>
        <w:jc w:val="both"/>
      </w:pPr>
      <w:r>
        <w:rPr>
          <w:rFonts w:ascii="Calibri" w:cs="Calibri" w:eastAsia="Calibri" w:hAnsi="Calibri"/>
          <w:b/>
          <w:bCs/>
          <w:color w:val="2C3E50"/>
          <w:sz w:val="22"/>
          <w:szCs w:val="22"/>
        </w:rPr>
        <w:t xml:space="preserve">Step 4: </w:t>
      </w:r>
      <w:r>
        <w:rPr>
          <w:rFonts w:ascii="Calibri" w:cs="Calibri" w:eastAsia="Calibri" w:hAnsi="Calibri"/>
          <w:color w:val="333333"/>
          <w:sz w:val="22"/>
          <w:szCs w:val="22"/>
        </w:rPr>
        <w:t xml:space="preserve">Execute the main deployment script: python ipts_colab_deploy.py</w:t>
      </w:r>
    </w:p>
    <w:p>
      <w:pPr>
        <w:spacing w:after="120"/>
        <w:jc w:val="both"/>
      </w:pPr>
      <w:r>
        <w:rPr>
          <w:rFonts w:ascii="Calibri" w:cs="Calibri" w:eastAsia="Calibri" w:hAnsi="Calibri"/>
          <w:b/>
          <w:bCs/>
          <w:color w:val="2C3E50"/>
          <w:sz w:val="22"/>
          <w:szCs w:val="22"/>
        </w:rPr>
        <w:t xml:space="preserve">Step 5: </w:t>
      </w:r>
      <w:r>
        <w:rPr>
          <w:rFonts w:ascii="Calibri" w:cs="Calibri" w:eastAsia="Calibri" w:hAnsi="Calibri"/>
          <w:color w:val="333333"/>
          <w:sz w:val="22"/>
          <w:szCs w:val="22"/>
        </w:rPr>
        <w:t xml:space="preserve">Access the system via the Localtunnel URL printed in the output.</w:t>
      </w:r>
    </w:p>
    <w:p>
      <w:pPr>
        <w:spacing w:after="80"/>
      </w:pPr>
    </w:p>
    <w:p>
      <w:pPr>
        <w:pStyle w:val="Heading2"/>
        <w:spacing w:after="160" w:before="280"/>
      </w:pPr>
      <w:r>
        <w:rPr>
          <w:rFonts w:ascii="Calibri" w:cs="Calibri" w:eastAsia="Calibri" w:hAnsi="Calibri"/>
          <w:b/>
          <w:bCs/>
          <w:color w:val="2C3E50"/>
          <w:sz w:val="26"/>
          <w:szCs w:val="26"/>
        </w:rPr>
        <w:t xml:space="preserve">7.2 Deployment Phases</w:t>
      </w:r>
    </w:p>
    <w:p>
      <w:pPr>
        <w:spacing w:after="120"/>
        <w:jc w:val="both"/>
      </w:pPr>
      <w:r>
        <w:rPr>
          <w:rFonts w:ascii="Calibri" w:cs="Calibri" w:eastAsia="Calibri" w:hAnsi="Calibri"/>
          <w:color w:val="333333"/>
          <w:sz w:val="22"/>
          <w:szCs w:val="22"/>
        </w:rPr>
        <w:t xml:space="preserve">The deployment script executes 8 sequential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1200"/>
        <w:gridCol w:w="3460"/>
      </w:tblGrid>
      <w:tr>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Phase</w:t>
            </w:r>
          </w:p>
        </w:tc>
        <w:tc>
          <w:tcPr>
            <w:tcW w:type="dxa" w:w="3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Duration</w:t>
            </w:r>
          </w:p>
        </w:tc>
        <w:tc>
          <w:tcPr>
            <w:tcW w:type="dxa" w:w="34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Details</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Phase 0</w:t>
            </w:r>
          </w:p>
        </w:tc>
        <w:tc>
          <w:tcPr>
            <w:tcW w:type="dxa" w:w="3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Environment Cleanup</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~1s</w:t>
            </w:r>
          </w:p>
        </w:tc>
        <w:tc>
          <w:tcPr>
            <w:tcW w:type="dxa" w:w="34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Kill stale processes on ports 8545/5000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Phase 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Dependency Installation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~30-60s</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Install Python packages, Node.js packages (ganache, localtunnel)</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Phase 2</w:t>
            </w:r>
          </w:p>
        </w:tc>
        <w:tc>
          <w:tcPr>
            <w:tcW w:type="dxa" w:w="3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Directory Structure</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~1s</w:t>
            </w:r>
          </w:p>
        </w:tc>
        <w:tc>
          <w:tcPr>
            <w:tcW w:type="dxa" w:w="34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Create /content/ipts/ with subdirectories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Phase 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ML Model Training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~10-20s</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Generate 15K synthetic transactions, train 4 models, graph analysis</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Phase 4</w:t>
            </w:r>
          </w:p>
        </w:tc>
        <w:tc>
          <w:tcPr>
            <w:tcW w:type="dxa" w:w="3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Contract Compilation</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~10-15s</w:t>
            </w:r>
          </w:p>
        </w:tc>
        <w:tc>
          <w:tcPr>
            <w:tcW w:type="dxa" w:w="34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Compile 5 Solidity contracts using py-solc-x (solc 0.8.21)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Phase 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Frontend Deployment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~1s</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Copy ipts_frontend.html to templates/ directory</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Phase 6</w:t>
            </w:r>
          </w:p>
        </w:tc>
        <w:tc>
          <w:tcPr>
            <w:tcW w:type="dxa" w:w="3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Backend Generation</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~1s</w:t>
            </w:r>
          </w:p>
        </w:tc>
        <w:tc>
          <w:tcPr>
            <w:tcW w:type="dxa" w:w="34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Write the Flask app.py (1,200+ lines) with all API endpoints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Phase 7</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Service Launch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~15-20s</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Start Ganache, deploy contracts, start Flask, open Localtunnel</w:t>
            </w:r>
          </w:p>
        </w:tc>
      </w:tr>
    </w:tbl>
    <w:p>
      <w:pPr>
        <w:spacing w:after="80"/>
      </w:pPr>
    </w:p>
    <w:p>
      <w:pPr>
        <w:spacing w:after="120"/>
        <w:jc w:val="both"/>
      </w:pPr>
      <w:r>
        <w:rPr>
          <w:rFonts w:ascii="Calibri" w:cs="Calibri" w:eastAsia="Calibri" w:hAnsi="Calibri"/>
          <w:b/>
          <w:bCs/>
          <w:color w:val="2C3E50"/>
          <w:sz w:val="22"/>
          <w:szCs w:val="22"/>
        </w:rPr>
        <w:t xml:space="preserve">Total boot time: </w:t>
      </w:r>
      <w:r>
        <w:rPr>
          <w:rFonts w:ascii="Calibri" w:cs="Calibri" w:eastAsia="Calibri" w:hAnsi="Calibri"/>
          <w:color w:val="333333"/>
          <w:sz w:val="22"/>
          <w:szCs w:val="22"/>
        </w:rPr>
        <w:t xml:space="preserve">approximately 90-120 seconds from execution to a live, publicly accessible system.</w:t>
      </w:r>
    </w:p>
    <w:p>
      <w:pPr>
        <w:spacing w:after="80"/>
      </w:pPr>
    </w:p>
    <w:p>
      <w:pPr>
        <w:pStyle w:val="Heading2"/>
        <w:spacing w:after="160" w:before="280"/>
      </w:pPr>
      <w:r>
        <w:rPr>
          <w:rFonts w:ascii="Calibri" w:cs="Calibri" w:eastAsia="Calibri" w:hAnsi="Calibri"/>
          <w:b/>
          <w:bCs/>
          <w:color w:val="2C3E50"/>
          <w:sz w:val="26"/>
          <w:szCs w:val="26"/>
        </w:rPr>
        <w:t xml:space="preserve">7.3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Issue</w:t>
            </w:r>
          </w:p>
        </w:tc>
        <w:tc>
          <w:tcPr>
            <w:tcW w:type="dxa" w:w="58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Solution</w:t>
            </w:r>
          </w:p>
        </w:tc>
      </w:tr>
      <w:tr>
        <w:tc>
          <w:tcPr>
            <w:tcW w:type="dxa" w:w="3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Ganache not reachable</w:t>
            </w:r>
          </w:p>
        </w:tc>
        <w:tc>
          <w:tcPr>
            <w:tcW w:type="dxa" w:w="58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Re-run the deployment script. Ganache may need more time to initialize on Colab.</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Localtunnel URL not showing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Run npx localtunnel --port 5000 in a separate Colab cell.</w:t>
            </w:r>
          </w:p>
        </w:tc>
      </w:tr>
      <w:tr>
        <w:tc>
          <w:tcPr>
            <w:tcW w:type="dxa" w:w="3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Colab disconnects after 30 min</w:t>
            </w:r>
          </w:p>
        </w:tc>
        <w:tc>
          <w:tcPr>
            <w:tcW w:type="dxa" w:w="58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Keep the browser tab active. Consider upgrading to Colab Pro for longer sessions.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Port already in use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Kill existing processes: kill -9 $(lsof -ti:8545) and kill -9 $(lsof -ti:5000)</w:t>
            </w:r>
          </w:p>
        </w:tc>
      </w:tr>
      <w:tr>
        <w:tc>
          <w:tcPr>
            <w:tcW w:type="dxa" w:w="3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Import errors</w:t>
            </w:r>
          </w:p>
        </w:tc>
        <w:tc>
          <w:tcPr>
            <w:tcW w:type="dxa" w:w="58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Manually install: pip install web3 py-solc-x flask pyjwt scikit-learn xgboost imbalanced-learn networkx</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Graph analysis hangs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Update to the latest version of ipts_colab_deploy.py which uses optimized graph algorithms.</w:t>
            </w:r>
          </w:p>
        </w:tc>
      </w:tr>
    </w:tbl>
    <w:p>
      <w:r>
        <w:br w:type="page"/>
      </w:r>
    </w:p>
    <w:p>
      <w:pPr>
        <w:pStyle w:val="Heading1"/>
        <w:spacing w:after="200" w:before="360"/>
      </w:pPr>
      <w:r>
        <w:rPr>
          <w:rFonts w:ascii="Calibri" w:cs="Calibri" w:eastAsia="Calibri" w:hAnsi="Calibri"/>
          <w:b/>
          <w:bCs/>
          <w:color w:val="1A5276"/>
          <w:sz w:val="32"/>
          <w:szCs w:val="32"/>
        </w:rPr>
        <w:t xml:space="preserve">8. Testing Scenarios</w:t>
      </w:r>
    </w:p>
    <w:p>
      <w:pPr>
        <w:spacing w:after="120"/>
        <w:jc w:val="both"/>
      </w:pPr>
      <w:r>
        <w:rPr>
          <w:rFonts w:ascii="Calibri" w:cs="Calibri" w:eastAsia="Calibri" w:hAnsi="Calibri"/>
          <w:color w:val="333333"/>
          <w:sz w:val="22"/>
          <w:szCs w:val="22"/>
        </w:rPr>
        <w:t xml:space="preserve">The following test scenarios validate the core functionality of the IPTS platform. Each scenario is designed to test a specific AML rule, security boundary, or functional requirement.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1600"/>
        <w:gridCol w:w="2360"/>
      </w:tblGrid>
      <w:tr>
        <w:tc>
          <w:tcPr>
            <w:tcW w:type="dxa" w:w="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Scenario</w:t>
            </w:r>
          </w:p>
        </w:tc>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Input</w:t>
            </w:r>
          </w:p>
        </w:tc>
        <w:tc>
          <w:tcPr>
            <w:tcW w:type="dxa" w:w="1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Expected</w:t>
            </w:r>
          </w:p>
        </w:tc>
        <w:tc>
          <w:tcPr>
            <w:tcW w:type="dxa" w:w="2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Validates</w:t>
            </w:r>
          </w:p>
        </w:tc>
      </w:tr>
      <w:tr>
        <w:tc>
          <w:tcPr>
            <w:tcW w:type="dxa" w:w="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Calibri" w:cs="Calibri" w:eastAsia="Calibri" w:hAnsi="Calibri"/>
                <w:b/>
                <w:bCs/>
                <w:color w:val="333333"/>
                <w:sz w:val="20"/>
                <w:szCs w:val="20"/>
              </w:rPr>
              <w:t xml:space="preserve">1</w:t>
            </w:r>
          </w:p>
        </w:tc>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Normal Payment</w:t>
            </w:r>
          </w:p>
        </w:tc>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$50,000 to Rohit Jacob Isaac</w:t>
            </w:r>
          </w:p>
        </w:tc>
        <w:tc>
          <w:tcPr>
            <w:tcW w:type="dxa" w:w="1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Calibri" w:cs="Calibri" w:eastAsia="Calibri" w:hAnsi="Calibri"/>
                <w:b/>
                <w:bCs/>
                <w:color w:val="0E8C5F"/>
                <w:sz w:val="20"/>
                <w:szCs w:val="20"/>
              </w:rPr>
              <w:t xml:space="preserve">APPROVED</w:t>
            </w:r>
          </w:p>
        </w:tc>
        <w:tc>
          <w:tcPr>
            <w:tcW w:type="dxa" w:w="2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Basic settlement flow, balance deduction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333333"/>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AML Threshold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$150,000 to any beneficiary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C0000"/>
                <w:sz w:val="20"/>
                <w:szCs w:val="20"/>
              </w:rPr>
              <w:t xml:space="preserve">BLOCKED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$100K auto-block rule, case creation</w:t>
            </w:r>
          </w:p>
        </w:tc>
      </w:tr>
      <w:tr>
        <w:tc>
          <w:tcPr>
            <w:tcW w:type="dxa" w:w="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Calibri" w:cs="Calibri" w:eastAsia="Calibri" w:hAnsi="Calibri"/>
                <w:b/>
                <w:bCs/>
                <w:color w:val="333333"/>
                <w:sz w:val="20"/>
                <w:szCs w:val="20"/>
              </w:rPr>
              <w:t xml:space="preserve">3</w:t>
            </w:r>
          </w:p>
        </w:tc>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Watchlist Match</w:t>
            </w:r>
          </w:p>
        </w:tc>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Any amount to Dark Web Exchange</w:t>
            </w:r>
          </w:p>
        </w:tc>
        <w:tc>
          <w:tcPr>
            <w:tcW w:type="dxa" w:w="1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Calibri" w:cs="Calibri" w:eastAsia="Calibri" w:hAnsi="Calibri"/>
                <w:b/>
                <w:bCs/>
                <w:color w:val="CC0000"/>
                <w:sz w:val="20"/>
                <w:szCs w:val="20"/>
              </w:rPr>
              <w:t xml:space="preserve">BLOCKED</w:t>
            </w:r>
          </w:p>
        </w:tc>
        <w:tc>
          <w:tcPr>
            <w:tcW w:type="dxa" w:w="2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NLP watchlist screening, score 95+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333333"/>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Structuring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$9,500 repeated with high freq</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C0000"/>
                <w:sz w:val="20"/>
                <w:szCs w:val="20"/>
              </w:rPr>
              <w:t xml:space="preserve">BLOCKED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Smurfing detection pattern</w:t>
            </w:r>
          </w:p>
        </w:tc>
      </w:tr>
      <w:tr>
        <w:tc>
          <w:tcPr>
            <w:tcW w:type="dxa" w:w="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Calibri" w:cs="Calibri" w:eastAsia="Calibri" w:hAnsi="Calibri"/>
                <w:b/>
                <w:bCs/>
                <w:color w:val="333333"/>
                <w:sz w:val="20"/>
                <w:szCs w:val="20"/>
              </w:rPr>
              <w:t xml:space="preserve">5</w:t>
            </w:r>
          </w:p>
        </w:tc>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Insufficient Funds</w:t>
            </w:r>
          </w:p>
        </w:tc>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Amount exceeding balance</w:t>
            </w:r>
          </w:p>
        </w:tc>
        <w:tc>
          <w:tcPr>
            <w:tcW w:type="dxa" w:w="1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Calibri" w:cs="Calibri" w:eastAsia="Calibri" w:hAnsi="Calibri"/>
                <w:b/>
                <w:bCs/>
                <w:color w:val="E67E00"/>
                <w:sz w:val="20"/>
                <w:szCs w:val="20"/>
              </w:rPr>
              <w:t xml:space="preserve">ERROR</w:t>
            </w:r>
          </w:p>
        </w:tc>
        <w:tc>
          <w:tcPr>
            <w:tcW w:type="dxa" w:w="2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Balance validation, error handling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333333"/>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Sanctions Hit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Any amount to Tehran Petroleum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C0000"/>
                <w:sz w:val="20"/>
                <w:szCs w:val="20"/>
              </w:rPr>
              <w:t xml:space="preserve">BLOCKED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Sanctions DB matching, case creation</w:t>
            </w:r>
          </w:p>
        </w:tc>
      </w:tr>
      <w:tr>
        <w:tc>
          <w:tcPr>
            <w:tcW w:type="dxa" w:w="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Calibri" w:cs="Calibri" w:eastAsia="Calibri" w:hAnsi="Calibri"/>
                <w:b/>
                <w:bCs/>
                <w:color w:val="333333"/>
                <w:sz w:val="20"/>
                <w:szCs w:val="20"/>
              </w:rPr>
              <w:t xml:space="preserve">7</w:t>
            </w:r>
          </w:p>
        </w:tc>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Low Risk Transfer</w:t>
            </w:r>
          </w:p>
        </w:tc>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$5,000 to a known individual</w:t>
            </w:r>
          </w:p>
        </w:tc>
        <w:tc>
          <w:tcPr>
            <w:tcW w:type="dxa" w:w="1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Calibri" w:cs="Calibri" w:eastAsia="Calibri" w:hAnsi="Calibri"/>
                <w:b/>
                <w:bCs/>
                <w:color w:val="0E8C5F"/>
                <w:sz w:val="20"/>
                <w:szCs w:val="20"/>
              </w:rPr>
              <w:t xml:space="preserve">APPROVED</w:t>
            </w:r>
          </w:p>
        </w:tc>
        <w:tc>
          <w:tcPr>
            <w:tcW w:type="dxa" w:w="2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Clean transaction processing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333333"/>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HITL Approve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Approve a blocked transaction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333333"/>
                <w:sz w:val="20"/>
                <w:szCs w:val="20"/>
              </w:rPr>
              <w:t xml:space="preserve">SETTLED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HITL workflow, status update</w:t>
            </w:r>
          </w:p>
        </w:tc>
      </w:tr>
      <w:tr>
        <w:tc>
          <w:tcPr>
            <w:tcW w:type="dxa" w:w="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Calibri" w:cs="Calibri" w:eastAsia="Calibri" w:hAnsi="Calibri"/>
                <w:b/>
                <w:bCs/>
                <w:color w:val="333333"/>
                <w:sz w:val="20"/>
                <w:szCs w:val="20"/>
              </w:rPr>
              <w:t xml:space="preserve">9</w:t>
            </w:r>
          </w:p>
        </w:tc>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Model Retrain</w:t>
            </w:r>
          </w:p>
        </w:tc>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Trigger via admin account</w:t>
            </w:r>
          </w:p>
        </w:tc>
        <w:tc>
          <w:tcPr>
            <w:tcW w:type="dxa" w:w="1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Calibri" w:cs="Calibri" w:eastAsia="Calibri" w:hAnsi="Calibri"/>
                <w:b/>
                <w:bCs/>
                <w:color w:val="333333"/>
                <w:sz w:val="20"/>
                <w:szCs w:val="20"/>
              </w:rPr>
              <w:t xml:space="preserve">SUCCESS</w:t>
            </w:r>
          </w:p>
        </w:tc>
        <w:tc>
          <w:tcPr>
            <w:tcW w:type="dxa" w:w="2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ML pipeline, role permissions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333333"/>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GDPR Erasure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Erase entity PII data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333333"/>
                <w:sz w:val="20"/>
                <w:szCs w:val="20"/>
              </w:rPr>
              <w:t xml:space="preserve">REDACTED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GDPR compliance, data anonymization</w:t>
            </w:r>
          </w:p>
        </w:tc>
      </w:tr>
    </w:tbl>
    <w:p>
      <w:r>
        <w:br w:type="page"/>
      </w:r>
    </w:p>
    <w:p>
      <w:pPr>
        <w:pStyle w:val="Heading1"/>
        <w:spacing w:after="200" w:before="360"/>
      </w:pPr>
      <w:r>
        <w:rPr>
          <w:rFonts w:ascii="Calibri" w:cs="Calibri" w:eastAsia="Calibri" w:hAnsi="Calibri"/>
          <w:b/>
          <w:bCs/>
          <w:color w:val="1A5276"/>
          <w:sz w:val="32"/>
          <w:szCs w:val="32"/>
        </w:rPr>
        <w:t xml:space="preserve">9. Future Roadmap</w:t>
      </w:r>
    </w:p>
    <w:p>
      <w:pPr>
        <w:spacing w:after="120"/>
        <w:jc w:val="both"/>
      </w:pPr>
      <w:r>
        <w:rPr>
          <w:rFonts w:ascii="Calibri" w:cs="Calibri" w:eastAsia="Calibri" w:hAnsi="Calibri"/>
          <w:color w:val="333333"/>
          <w:sz w:val="22"/>
          <w:szCs w:val="22"/>
        </w:rPr>
        <w:t xml:space="preserve">The following enhancements are planned for future versions of the IPTS platform:</w:t>
      </w:r>
    </w:p>
    <w:p>
      <w:pPr>
        <w:spacing w:after="80"/>
      </w:pPr>
    </w:p>
    <w:p>
      <w:pPr>
        <w:pStyle w:val="Heading2"/>
        <w:spacing w:after="160" w:before="280"/>
      </w:pPr>
      <w:r>
        <w:rPr>
          <w:rFonts w:ascii="Calibri" w:cs="Calibri" w:eastAsia="Calibri" w:hAnsi="Calibri"/>
          <w:b/>
          <w:bCs/>
          <w:color w:val="2C3E50"/>
          <w:sz w:val="26"/>
          <w:szCs w:val="26"/>
        </w:rPr>
        <w:t xml:space="preserve">9.1 Production Hardening</w:t>
      </w:r>
    </w:p>
    <w:p>
      <w:pPr>
        <w:pStyle w:val="ListParagraph"/>
        <w:numPr>
          <w:ilvl w:val="0"/>
          <w:numId w:val="2"/>
        </w:numPr>
        <w:spacing w:after="60"/>
      </w:pPr>
      <w:r>
        <w:rPr>
          <w:rFonts w:ascii="Calibri" w:cs="Calibri" w:eastAsia="Calibri" w:hAnsi="Calibri"/>
          <w:color w:val="333333"/>
          <w:sz w:val="22"/>
          <w:szCs w:val="22"/>
        </w:rPr>
        <w:t xml:space="preserve">Replace SQLite with PostgreSQL for production-grade concurrent access</w:t>
      </w:r>
    </w:p>
    <w:p>
      <w:pPr>
        <w:pStyle w:val="ListParagraph"/>
        <w:numPr>
          <w:ilvl w:val="0"/>
          <w:numId w:val="2"/>
        </w:numPr>
        <w:spacing w:after="60"/>
      </w:pPr>
      <w:r>
        <w:rPr>
          <w:rFonts w:ascii="Calibri" w:cs="Calibri" w:eastAsia="Calibri" w:hAnsi="Calibri"/>
          <w:color w:val="333333"/>
          <w:sz w:val="22"/>
          <w:szCs w:val="22"/>
        </w:rPr>
        <w:t xml:space="preserve">Add Redis for session caching, rate limiting, and pub/sub messaging</w:t>
      </w:r>
    </w:p>
    <w:p>
      <w:pPr>
        <w:pStyle w:val="ListParagraph"/>
        <w:numPr>
          <w:ilvl w:val="0"/>
          <w:numId w:val="2"/>
        </w:numPr>
        <w:spacing w:after="60"/>
      </w:pPr>
      <w:r>
        <w:rPr>
          <w:rFonts w:ascii="Calibri" w:cs="Calibri" w:eastAsia="Calibri" w:hAnsi="Calibri"/>
          <w:color w:val="333333"/>
          <w:sz w:val="22"/>
          <w:szCs w:val="22"/>
        </w:rPr>
        <w:t xml:space="preserve">Containerize with Docker and Docker Compose for consistent deployment</w:t>
      </w:r>
    </w:p>
    <w:p>
      <w:pPr>
        <w:pStyle w:val="ListParagraph"/>
        <w:numPr>
          <w:ilvl w:val="0"/>
          <w:numId w:val="2"/>
        </w:numPr>
        <w:spacing w:after="60"/>
      </w:pPr>
      <w:r>
        <w:rPr>
          <w:rFonts w:ascii="Calibri" w:cs="Calibri" w:eastAsia="Calibri" w:hAnsi="Calibri"/>
          <w:color w:val="333333"/>
          <w:sz w:val="22"/>
          <w:szCs w:val="22"/>
        </w:rPr>
        <w:t xml:space="preserve">Implement Kubernetes orchestration for horizontal scaling</w:t>
      </w:r>
    </w:p>
    <w:p>
      <w:pPr>
        <w:pStyle w:val="ListParagraph"/>
        <w:numPr>
          <w:ilvl w:val="0"/>
          <w:numId w:val="2"/>
        </w:numPr>
        <w:spacing w:after="60"/>
      </w:pPr>
      <w:r>
        <w:rPr>
          <w:rFonts w:ascii="Calibri" w:cs="Calibri" w:eastAsia="Calibri" w:hAnsi="Calibri"/>
          <w:color w:val="333333"/>
          <w:sz w:val="22"/>
          <w:szCs w:val="22"/>
        </w:rPr>
        <w:t xml:space="preserve">Add comprehensive unit, integration, and end-to-end test suites</w:t>
      </w:r>
    </w:p>
    <w:p>
      <w:pPr>
        <w:spacing w:after="80"/>
      </w:pPr>
    </w:p>
    <w:p>
      <w:pPr>
        <w:pStyle w:val="Heading2"/>
        <w:spacing w:after="160" w:before="280"/>
      </w:pPr>
      <w:r>
        <w:rPr>
          <w:rFonts w:ascii="Calibri" w:cs="Calibri" w:eastAsia="Calibri" w:hAnsi="Calibri"/>
          <w:b/>
          <w:bCs/>
          <w:color w:val="2C3E50"/>
          <w:sz w:val="26"/>
          <w:szCs w:val="26"/>
        </w:rPr>
        <w:t xml:space="preserve">9.2 Blockchain Enhancement</w:t>
      </w:r>
    </w:p>
    <w:p>
      <w:pPr>
        <w:pStyle w:val="ListParagraph"/>
        <w:numPr>
          <w:ilvl w:val="0"/>
          <w:numId w:val="2"/>
        </w:numPr>
        <w:spacing w:after="60"/>
      </w:pPr>
      <w:r>
        <w:rPr>
          <w:rFonts w:ascii="Calibri" w:cs="Calibri" w:eastAsia="Calibri" w:hAnsi="Calibri"/>
          <w:color w:val="333333"/>
          <w:sz w:val="22"/>
          <w:szCs w:val="22"/>
        </w:rPr>
        <w:t xml:space="preserve">Deploy to Ethereum mainnet or Layer 2 solutions (Polygon, Arbitrum, Optimism)</w:t>
      </w:r>
    </w:p>
    <w:p>
      <w:pPr>
        <w:pStyle w:val="ListParagraph"/>
        <w:numPr>
          <w:ilvl w:val="0"/>
          <w:numId w:val="2"/>
        </w:numPr>
        <w:spacing w:after="60"/>
      </w:pPr>
      <w:r>
        <w:rPr>
          <w:rFonts w:ascii="Calibri" w:cs="Calibri" w:eastAsia="Calibri" w:hAnsi="Calibri"/>
          <w:color w:val="333333"/>
          <w:sz w:val="22"/>
          <w:szCs w:val="22"/>
        </w:rPr>
        <w:t xml:space="preserve">Implement ERC-20 token support for stablecoin settlements (USDC, USDT)</w:t>
      </w:r>
    </w:p>
    <w:p>
      <w:pPr>
        <w:pStyle w:val="ListParagraph"/>
        <w:numPr>
          <w:ilvl w:val="0"/>
          <w:numId w:val="2"/>
        </w:numPr>
        <w:spacing w:after="60"/>
      </w:pPr>
      <w:r>
        <w:rPr>
          <w:rFonts w:ascii="Calibri" w:cs="Calibri" w:eastAsia="Calibri" w:hAnsi="Calibri"/>
          <w:color w:val="333333"/>
          <w:sz w:val="22"/>
          <w:szCs w:val="22"/>
        </w:rPr>
        <w:t xml:space="preserve">Add cross-chain bridge functionality for multi-blockchain settlement</w:t>
      </w:r>
    </w:p>
    <w:p>
      <w:pPr>
        <w:pStyle w:val="ListParagraph"/>
        <w:numPr>
          <w:ilvl w:val="0"/>
          <w:numId w:val="2"/>
        </w:numPr>
        <w:spacing w:after="60"/>
      </w:pPr>
      <w:r>
        <w:rPr>
          <w:rFonts w:ascii="Calibri" w:cs="Calibri" w:eastAsia="Calibri" w:hAnsi="Calibri"/>
          <w:color w:val="333333"/>
          <w:sz w:val="22"/>
          <w:szCs w:val="22"/>
        </w:rPr>
        <w:t xml:space="preserve">Integrate with Chainlink oracles for real-time FX rates</w:t>
      </w:r>
    </w:p>
    <w:p>
      <w:pPr>
        <w:spacing w:after="80"/>
      </w:pPr>
    </w:p>
    <w:p>
      <w:pPr>
        <w:pStyle w:val="Heading2"/>
        <w:spacing w:after="160" w:before="280"/>
      </w:pPr>
      <w:r>
        <w:rPr>
          <w:rFonts w:ascii="Calibri" w:cs="Calibri" w:eastAsia="Calibri" w:hAnsi="Calibri"/>
          <w:b/>
          <w:bCs/>
          <w:color w:val="2C3E50"/>
          <w:sz w:val="26"/>
          <w:szCs w:val="26"/>
        </w:rPr>
        <w:t xml:space="preserve">9.3 AI/ML Evolution</w:t>
      </w:r>
    </w:p>
    <w:p>
      <w:pPr>
        <w:pStyle w:val="ListParagraph"/>
        <w:numPr>
          <w:ilvl w:val="0"/>
          <w:numId w:val="2"/>
        </w:numPr>
        <w:spacing w:after="60"/>
      </w:pPr>
      <w:r>
        <w:rPr>
          <w:rFonts w:ascii="Calibri" w:cs="Calibri" w:eastAsia="Calibri" w:hAnsi="Calibri"/>
          <w:color w:val="333333"/>
          <w:sz w:val="22"/>
          <w:szCs w:val="22"/>
        </w:rPr>
        <w:t xml:space="preserve">Implement federated learning for privacy-preserving model training across institutions</w:t>
      </w:r>
    </w:p>
    <w:p>
      <w:pPr>
        <w:pStyle w:val="ListParagraph"/>
        <w:numPr>
          <w:ilvl w:val="0"/>
          <w:numId w:val="2"/>
        </w:numPr>
        <w:spacing w:after="60"/>
      </w:pPr>
      <w:r>
        <w:rPr>
          <w:rFonts w:ascii="Calibri" w:cs="Calibri" w:eastAsia="Calibri" w:hAnsi="Calibri"/>
          <w:color w:val="333333"/>
          <w:sz w:val="22"/>
          <w:szCs w:val="22"/>
        </w:rPr>
        <w:t xml:space="preserve">Add graph neural networks (GNN) for more sophisticated network analysis</w:t>
      </w:r>
    </w:p>
    <w:p>
      <w:pPr>
        <w:pStyle w:val="ListParagraph"/>
        <w:numPr>
          <w:ilvl w:val="0"/>
          <w:numId w:val="2"/>
        </w:numPr>
        <w:spacing w:after="60"/>
      </w:pPr>
      <w:r>
        <w:rPr>
          <w:rFonts w:ascii="Calibri" w:cs="Calibri" w:eastAsia="Calibri" w:hAnsi="Calibri"/>
          <w:color w:val="333333"/>
          <w:sz w:val="22"/>
          <w:szCs w:val="22"/>
        </w:rPr>
        <w:t xml:space="preserve">Integrate real transaction data feeds for continuous model improvement</w:t>
      </w:r>
    </w:p>
    <w:p>
      <w:pPr>
        <w:pStyle w:val="ListParagraph"/>
        <w:numPr>
          <w:ilvl w:val="0"/>
          <w:numId w:val="2"/>
        </w:numPr>
        <w:spacing w:after="60"/>
      </w:pPr>
      <w:r>
        <w:rPr>
          <w:rFonts w:ascii="Calibri" w:cs="Calibri" w:eastAsia="Calibri" w:hAnsi="Calibri"/>
          <w:color w:val="333333"/>
          <w:sz w:val="22"/>
          <w:szCs w:val="22"/>
        </w:rPr>
        <w:t xml:space="preserve">Implement explainable AI (XAI) for regulatory-compliant model decisions</w:t>
      </w:r>
    </w:p>
    <w:p>
      <w:pPr>
        <w:pStyle w:val="ListParagraph"/>
        <w:numPr>
          <w:ilvl w:val="0"/>
          <w:numId w:val="2"/>
        </w:numPr>
        <w:spacing w:after="60"/>
      </w:pPr>
      <w:r>
        <w:rPr>
          <w:rFonts w:ascii="Calibri" w:cs="Calibri" w:eastAsia="Calibri" w:hAnsi="Calibri"/>
          <w:color w:val="333333"/>
          <w:sz w:val="22"/>
          <w:szCs w:val="22"/>
        </w:rPr>
        <w:t xml:space="preserve">Add real-time model monitoring and drift detection</w:t>
      </w:r>
    </w:p>
    <w:p>
      <w:pPr>
        <w:spacing w:after="80"/>
      </w:pPr>
    </w:p>
    <w:p>
      <w:pPr>
        <w:pStyle w:val="Heading2"/>
        <w:spacing w:after="160" w:before="280"/>
      </w:pPr>
      <w:r>
        <w:rPr>
          <w:rFonts w:ascii="Calibri" w:cs="Calibri" w:eastAsia="Calibri" w:hAnsi="Calibri"/>
          <w:b/>
          <w:bCs/>
          <w:color w:val="2C3E50"/>
          <w:sz w:val="26"/>
          <w:szCs w:val="26"/>
        </w:rPr>
        <w:t xml:space="preserve">9.4 Compliance &amp; Integration</w:t>
      </w:r>
    </w:p>
    <w:p>
      <w:pPr>
        <w:pStyle w:val="ListParagraph"/>
        <w:numPr>
          <w:ilvl w:val="0"/>
          <w:numId w:val="2"/>
        </w:numPr>
        <w:spacing w:after="60"/>
      </w:pPr>
      <w:r>
        <w:rPr>
          <w:rFonts w:ascii="Calibri" w:cs="Calibri" w:eastAsia="Calibri" w:hAnsi="Calibri"/>
          <w:color w:val="333333"/>
          <w:sz w:val="22"/>
          <w:szCs w:val="22"/>
        </w:rPr>
        <w:t xml:space="preserve">Full SWIFT ISO 20022 message parsing and generation</w:t>
      </w:r>
    </w:p>
    <w:p>
      <w:pPr>
        <w:pStyle w:val="ListParagraph"/>
        <w:numPr>
          <w:ilvl w:val="0"/>
          <w:numId w:val="2"/>
        </w:numPr>
        <w:spacing w:after="60"/>
      </w:pPr>
      <w:r>
        <w:rPr>
          <w:rFonts w:ascii="Calibri" w:cs="Calibri" w:eastAsia="Calibri" w:hAnsi="Calibri"/>
          <w:color w:val="333333"/>
          <w:sz w:val="22"/>
          <w:szCs w:val="22"/>
        </w:rPr>
        <w:t xml:space="preserve">KYC integration with providers like Onfido and Jumio</w:t>
      </w:r>
    </w:p>
    <w:p>
      <w:pPr>
        <w:pStyle w:val="ListParagraph"/>
        <w:numPr>
          <w:ilvl w:val="0"/>
          <w:numId w:val="2"/>
        </w:numPr>
        <w:spacing w:after="60"/>
      </w:pPr>
      <w:r>
        <w:rPr>
          <w:rFonts w:ascii="Calibri" w:cs="Calibri" w:eastAsia="Calibri" w:hAnsi="Calibri"/>
          <w:color w:val="333333"/>
          <w:sz w:val="22"/>
          <w:szCs w:val="22"/>
        </w:rPr>
        <w:t xml:space="preserve">Automated regulatory reporting (FinCEN, FCA, MAS)</w:t>
      </w:r>
    </w:p>
    <w:p>
      <w:pPr>
        <w:pStyle w:val="ListParagraph"/>
        <w:numPr>
          <w:ilvl w:val="0"/>
          <w:numId w:val="2"/>
        </w:numPr>
        <w:spacing w:after="60"/>
      </w:pPr>
      <w:r>
        <w:rPr>
          <w:rFonts w:ascii="Calibri" w:cs="Calibri" w:eastAsia="Calibri" w:hAnsi="Calibri"/>
          <w:color w:val="333333"/>
          <w:sz w:val="22"/>
          <w:szCs w:val="22"/>
        </w:rPr>
        <w:t xml:space="preserve">Multi-tenancy support for multiple financial institutions</w:t>
      </w:r>
    </w:p>
    <w:p>
      <w:pPr>
        <w:pStyle w:val="ListParagraph"/>
        <w:numPr>
          <w:ilvl w:val="0"/>
          <w:numId w:val="2"/>
        </w:numPr>
        <w:spacing w:after="60"/>
      </w:pPr>
      <w:r>
        <w:rPr>
          <w:rFonts w:ascii="Calibri" w:cs="Calibri" w:eastAsia="Calibri" w:hAnsi="Calibri"/>
          <w:color w:val="333333"/>
          <w:sz w:val="22"/>
          <w:szCs w:val="22"/>
        </w:rPr>
        <w:t xml:space="preserve">Integration with SWIFT gpi real-time tracking network</w:t>
      </w:r>
    </w:p>
    <w:p>
      <w:r>
        <w:br w:type="page"/>
      </w:r>
    </w:p>
    <w:p>
      <w:pPr>
        <w:pStyle w:val="Heading1"/>
        <w:spacing w:after="200" w:before="360"/>
      </w:pPr>
      <w:r>
        <w:rPr>
          <w:rFonts w:ascii="Calibri" w:cs="Calibri" w:eastAsia="Calibri" w:hAnsi="Calibri"/>
          <w:b/>
          <w:bCs/>
          <w:color w:val="1A5276"/>
          <w:sz w:val="32"/>
          <w:szCs w:val="32"/>
        </w:rPr>
        <w:t xml:space="preserve">10. Conclusion</w:t>
      </w:r>
    </w:p>
    <w:p>
      <w:pPr>
        <w:spacing w:after="120"/>
        <w:jc w:val="both"/>
      </w:pPr>
      <w:r>
        <w:rPr>
          <w:rFonts w:ascii="Calibri" w:cs="Calibri" w:eastAsia="Calibri" w:hAnsi="Calibri"/>
          <w:color w:val="333333"/>
          <w:sz w:val="22"/>
          <w:szCs w:val="22"/>
        </w:rPr>
        <w:t xml:space="preserve">The Integrated Payment Transformation System (IPTS) demonstrates that the convergence of blockchain technology, artificial intelligence, and Zero Trust security can fundamentally transform cross-border financial settlement. By reducing settlement times from 5 days to under 10 seconds while simultaneously strengthening compliance and security, IPTS represents a viable blueprint for next-generation financial infrastructure.</w:t>
      </w:r>
    </w:p>
    <w:p>
      <w:pPr>
        <w:spacing w:after="80"/>
      </w:pPr>
    </w:p>
    <w:p>
      <w:pPr>
        <w:spacing w:after="120"/>
        <w:jc w:val="both"/>
      </w:pPr>
      <w:r>
        <w:rPr>
          <w:rFonts w:ascii="Calibri" w:cs="Calibri" w:eastAsia="Calibri" w:hAnsi="Calibri"/>
          <w:color w:val="333333"/>
          <w:sz w:val="22"/>
          <w:szCs w:val="22"/>
        </w:rPr>
        <w:t xml:space="preserve">The 7-layer convergent architecture ensures clean separation of concerns while enabling seamless end-to-end transaction processing. The AI/ML risk engine, with its 4-model ensemble and force-override mechanism, provides robust fraud detection that can be tuned to meet varying regulatory requirements across jurisdictions.</w:t>
      </w:r>
    </w:p>
    <w:p>
      <w:pPr>
        <w:spacing w:after="80"/>
      </w:pPr>
    </w:p>
    <w:p>
      <w:pPr>
        <w:spacing w:after="120"/>
        <w:jc w:val="both"/>
      </w:pPr>
      <w:r>
        <w:rPr>
          <w:rFonts w:ascii="Calibri" w:cs="Calibri" w:eastAsia="Calibri" w:hAnsi="Calibri"/>
          <w:color w:val="333333"/>
          <w:sz w:val="22"/>
          <w:szCs w:val="22"/>
        </w:rPr>
        <w:t xml:space="preserve">The platform's deployment model, a single script that boots the entire enterprise stack in under 2 minutes, demonstrates that complex financial systems can be made accessible for rapid prototyping, testing, and demonstration purposes without sacrificing architectural integrity.</w:t>
      </w:r>
    </w:p>
    <w:p>
      <w:pPr>
        <w:spacing w:after="80"/>
      </w:pPr>
    </w:p>
    <w:p>
      <w:pPr>
        <w:spacing w:after="120"/>
        <w:jc w:val="both"/>
      </w:pPr>
      <w:r>
        <w:rPr>
          <w:rFonts w:ascii="Calibri" w:cs="Calibri" w:eastAsia="Calibri" w:hAnsi="Calibri"/>
          <w:color w:val="333333"/>
          <w:sz w:val="22"/>
          <w:szCs w:val="22"/>
        </w:rPr>
        <w:t xml:space="preserve">As the financial industry continues its digital transformation journey, platforms like IPTS will play an increasingly critical role in bridging the gap between legacy settlement infrastructure and the real-time, transparent, and secure financial systems that the global economy demands.</w:t>
      </w:r>
    </w:p>
    <w:p>
      <w:pPr>
        <w:spacing w:after="80"/>
      </w:pPr>
    </w:p>
    <w:p>
      <w:pPr>
        <w:spacing w:after="80"/>
      </w:pPr>
    </w:p>
    <w:p>
      <w:pPr>
        <w:pBdr>
          <w:top w:val="single" w:color="10B981" w:sz="2" w:space="8"/>
        </w:pBdr>
        <w:spacing w:before="400"/>
        <w:jc w:val="center"/>
      </w:pPr>
      <w:r>
        <w:rPr>
          <w:rFonts w:ascii="Calibri" w:cs="Calibri" w:eastAsia="Calibri" w:hAnsi="Calibri"/>
          <w:i/>
          <w:iCs/>
          <w:color w:val="888888"/>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  Mohamad Idriss  |  April 2026  |  Version 3.0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Calibri" w:cs="Calibri" w:eastAsia="Calibri" w:hAnsi="Calibri"/>
        <w:i/>
        <w:iCs/>
        <w:color w:val="999999"/>
        <w:sz w:val="16"/>
        <w:szCs w:val="16"/>
      </w:rPr>
      <w:t xml:space="preserve">IPTS Technical Report</w:t>
    </w:r>
    <w:r>
      <w:rPr>
        <w:rFonts w:ascii="Calibri" w:cs="Calibri" w:eastAsia="Calibri" w:hAnsi="Calibri"/>
        <w:color w:val="CCCCCC"/>
        <w:sz w:val="16"/>
        <w:szCs w:val="16"/>
      </w:rPr>
      <w:t xml:space="preserve">  |  </w:t>
    </w:r>
    <w:r>
      <w:rPr>
        <w:rFonts w:ascii="Calibri" w:cs="Calibri" w:eastAsia="Calibri" w:hAnsi="Calibri"/>
        <w:b/>
        <w:bCs/>
        <w:color w:val="CC0000"/>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5276"/>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C3E50"/>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548faac71fd40f7a2d67258c8f985e71e4b9435.png"/><Relationship Id="rId10" Type="http://schemas.openxmlformats.org/officeDocument/2006/relationships/image" Target="media/24085f428e895285902db43189d402fae1339be5.png"/><Relationship Id="rId11" Type="http://schemas.openxmlformats.org/officeDocument/2006/relationships/image" Target="media/482589110f419eb62251eb80d39d1d330c995c24.png"/><Relationship Id="rId12" Type="http://schemas.openxmlformats.org/officeDocument/2006/relationships/image" Target="media/fc5a7a1769a7ff0a62923d783241807ab795dcaf.png"/><Relationship Id="rId13" Type="http://schemas.openxmlformats.org/officeDocument/2006/relationships/image" Target="media/dc9c44c9ff5f813735739a84ad068fff0b3f63a8.png"/><Relationship Id="rId14" Type="http://schemas.openxmlformats.org/officeDocument/2006/relationships/image" Target="media/6ce905cac4dc67b51cef00f5d7629dfef038fe36.png"/><Relationship Id="rId15" Type="http://schemas.openxmlformats.org/officeDocument/2006/relationships/image" Target="media/2b00921898f12cb072637a05198e3fc210464390.png"/><Relationship Id="rId16" Type="http://schemas.openxmlformats.org/officeDocument/2006/relationships/image" Target="media/bb1d6a02471db17c9db3701cf7e2b2400a15df29.png"/><Relationship Id="rId17" Type="http://schemas.openxmlformats.org/officeDocument/2006/relationships/image" Target="media/42c6020abf219f7f89f0d782d014d27e8951320c.png"/><Relationship Id="rId18" Type="http://schemas.openxmlformats.org/officeDocument/2006/relationships/image" Target="media/89fb2432e9efc5bbfdbf20e07d6fa1186e9fdacb.png"/><Relationship Id="rId19" Type="http://schemas.openxmlformats.org/officeDocument/2006/relationships/image" Target="media/fdbda4f45c2a888b56436e43fc266349e6b7c801.png"/><Relationship Id="rId20" Type="http://schemas.openxmlformats.org/officeDocument/2006/relationships/image" Target="media/bcc6424223f818bd0eb317251081cfe46cfa32b0.png"/><Relationship Id="rId21" Type="http://schemas.openxmlformats.org/officeDocument/2006/relationships/image" Target="media/aed368b9b8da4590b6c90e47d4b2a6205cdb2b6d.png"/><Relationship Id="rId22" Type="http://schemas.openxmlformats.org/officeDocument/2006/relationships/image" Target="media/5443ff8d1a2fbfd69593f4e8cc341d783590ae88.png"/><Relationship Id="rId23" Type="http://schemas.openxmlformats.org/officeDocument/2006/relationships/image" Target="media/66cbc358d577cfd3cd90821c2bb61c86356e3743.png"/><Relationship Id="rId24" Type="http://schemas.openxmlformats.org/officeDocument/2006/relationships/image" Target="media/fbdd9a72740b9db23f09a4299e9bce9a2446210c.png"/><Relationship Id="rId25" Type="http://schemas.openxmlformats.org/officeDocument/2006/relationships/image" Target="media/a77740aedb2d75e731bd71e88be9a33a479d8e57.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2026-04-07T08:41:32.596Z</dcterms:created>
  <dcterms:modified xsi:type="dcterms:W3CDTF">2026-04-07T08:41:32.598Z</dcterms:modified>
</cp:coreProperties>
</file>

<file path=docProps/custom.xml><?xml version="1.0" encoding="utf-8"?>
<Properties xmlns="http://schemas.openxmlformats.org/officeDocument/2006/custom-properties" xmlns:vt="http://schemas.openxmlformats.org/officeDocument/2006/docPropsVTypes"/>
</file>