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74A"/>
          <w:sz w:val="32"/>
        </w:rPr>
        <w:t>Cornerstone Relief International</w:t>
      </w:r>
    </w:p>
    <w:p>
      <w:pPr>
        <w:jc w:val="center"/>
      </w:pPr>
      <w:r>
        <w:rPr>
          <w:b/>
          <w:sz w:val="25"/>
        </w:rPr>
        <w:t>2030 AI-Native Enterprise Architecture — Board Executive Summary</w:t>
      </w:r>
    </w:p>
    <w:p>
      <w:pPr>
        <w:jc w:val="center"/>
      </w:pPr>
      <w:r>
        <w:rPr>
          <w:sz w:val="16"/>
        </w:rPr>
        <w:t>Prepared for CSC 6400 Capstone | Mohammed Imad Uddin | F00611260 | Normal Tier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Architectural judgment: </w:t>
            </w:r>
            <w:r>
              <w:t>CRI should use a hybrid, privacy-first AI estate. Approved APIs serve low-sensitivity productivity work; beneficiary case-note RAG stays on a private controlled inference lane. The nine-person team does not build foundation models, and the illustrative 8×H100 node is not justified by token savings at the starter workload.</w:t>
            </w:r>
          </w:p>
        </w:tc>
      </w:tr>
    </w:tbl>
    <w:p>
      <w:pPr>
        <w:pStyle w:val="Heading2"/>
      </w:pPr>
      <w:r>
        <w:t>Architecture in one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7374A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552"/>
            <w:shd w:fill="17374A"/>
          </w:tcPr>
          <w:p>
            <w:r>
              <w:rPr>
                <w:b/>
                <w:color w:val="FFFFFF"/>
                <w:sz w:val="17"/>
              </w:rPr>
              <w:t>Traditional enterprise lane</w:t>
            </w:r>
          </w:p>
        </w:tc>
        <w:tc>
          <w:tcPr>
            <w:tcW w:type="dxa" w:w="3552"/>
            <w:shd w:fill="17374A"/>
          </w:tcPr>
          <w:p>
            <w:r>
              <w:rPr>
                <w:b/>
                <w:color w:val="FFFFFF"/>
                <w:sz w:val="17"/>
              </w:rPr>
              <w:t>AI-native lane</w:t>
            </w:r>
          </w:p>
        </w:tc>
      </w:tr>
      <w:tr>
        <w:tc>
          <w:tcPr>
            <w:tcW w:type="dxa" w:w="355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Identity / control</w:t>
            </w:r>
          </w:p>
        </w:tc>
        <w:tc>
          <w:tcPr>
            <w:tcW w:type="dxa" w:w="355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Federated SSO, MFA/passkeys, RBAC, service accounts</w:t>
            </w:r>
          </w:p>
        </w:tc>
        <w:tc>
          <w:tcPr>
            <w:tcW w:type="dxa" w:w="355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 workload identities, model registry, approval gates</w:t>
            </w:r>
          </w:p>
        </w:tc>
      </w:tr>
      <w:tr>
        <w:tc>
          <w:tcPr>
            <w:tcW w:type="dxa" w:w="355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Compute / data</w:t>
            </w:r>
          </w:p>
        </w:tc>
        <w:tc>
          <w:tcPr>
            <w:tcW w:type="dxa" w:w="355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VMs, containers, object/database services</w:t>
            </w:r>
          </w:p>
        </w:tc>
        <w:tc>
          <w:tcPr>
            <w:tcW w:type="dxa" w:w="355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One control plane; training/eval lane + KServe/vLLM inference; OCI model artifacts; case-note RAG</w:t>
            </w:r>
          </w:p>
        </w:tc>
      </w:tr>
      <w:tr>
        <w:tc>
          <w:tcPr>
            <w:tcW w:type="dxa" w:w="355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Observe / automate</w:t>
            </w:r>
          </w:p>
        </w:tc>
        <w:tc>
          <w:tcPr>
            <w:tcW w:type="dxa" w:w="355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OpenTelemetry metrics, logs, traces; SIEM</w:t>
            </w:r>
          </w:p>
        </w:tc>
        <w:tc>
          <w:tcPr>
            <w:tcW w:type="dxa" w:w="355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AIOps diagnosis; observe/recommend/approve/act ladder; WORM audit trail</w:t>
            </w:r>
          </w:p>
        </w:tc>
      </w:tr>
      <w:tr>
        <w:tc>
          <w:tcPr>
            <w:tcW w:type="dxa" w:w="355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Security / continuity</w:t>
            </w:r>
          </w:p>
        </w:tc>
        <w:tc>
          <w:tcPr>
            <w:tcW w:type="dxa" w:w="355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Segmentation, least privilege, immutable backups, tested restore</w:t>
            </w:r>
          </w:p>
        </w:tc>
        <w:tc>
          <w:tcPr>
            <w:tcW w:type="dxa" w:w="355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Prompt-injection trust boundaries, Rule of Two, signed AIBOM, protected prompts/weights/datasets, rebuildable embeddings</w:t>
            </w:r>
          </w:p>
        </w:tc>
      </w:tr>
    </w:tbl>
    <w:p>
      <w:pPr>
        <w:pStyle w:val="Heading2"/>
      </w:pPr>
      <w:r>
        <w:t>Risk and human-control position</w:t>
      </w:r>
    </w:p>
    <w:p>
      <w:r>
        <w:rPr>
          <w:b/>
        </w:rPr>
        <w:t xml:space="preserve">Deepfake payments: </w:t>
      </w:r>
      <w:r>
        <w:t>No wire or bank-detail change is authorized from video, voice, chat, or email alone. Finance uses a known-number out-of-band callback plus two-person approval.</w:t>
      </w:r>
    </w:p>
    <w:p>
      <w:r>
        <w:rPr>
          <w:b/>
        </w:rPr>
        <w:t xml:space="preserve">Beneficiary data: </w:t>
      </w:r>
      <w:r>
        <w:t>Case notes are restricted data. They are excluded from public consumer chatbots; retrieval is identity-scoped, encrypted, logged, and egress-denied by default.</w:t>
      </w:r>
    </w:p>
    <w:p>
      <w:r>
        <w:rPr>
          <w:b/>
        </w:rPr>
        <w:t xml:space="preserve">Autonomy: </w:t>
      </w:r>
      <w:r>
        <w:t>Read-only observation and tightly bounded reversible actions may run automatically. Credential rotation, scaling, model promotion, data deletion, and trust-boundary changes require a named human gate.</w:t>
      </w:r>
    </w:p>
    <w:p>
      <w:pPr>
        <w:pStyle w:val="Heading2"/>
      </w:pPr>
      <w:r>
        <w:t>Cost decision</w:t>
      </w:r>
    </w:p>
    <w:p>
      <w:r>
        <w:rPr>
          <w:b/>
        </w:rPr>
        <w:t xml:space="preserve">Starter workload: </w:t>
      </w:r>
      <w:r>
        <w:t xml:space="preserve">500M tokens/month (400M input / 100M output). </w:t>
      </w:r>
      <w:r>
        <w:rPr>
          <w:b/>
        </w:rPr>
        <w:t xml:space="preserve">Course-snapshot API estimates: </w:t>
      </w:r>
      <w:r>
        <w:t xml:space="preserve">$500–$5,000/month; illustrative 8×H100 reserved node: $22,000/month, 1.5B-token capacity, $44/1M tokens at current volume. </w:t>
      </w:r>
      <w:r>
        <w:rPr>
          <w:b/>
        </w:rPr>
        <w:t xml:space="preserve">Conclusion: </w:t>
      </w:r>
      <w:r>
        <w:t>use API consumption for low-sensitivity work and right-size private compute for restricted RAG; do not buy the 8×H100 node merely to reduce token cost.</w:t>
      </w:r>
    </w:p>
    <w:p>
      <w:pPr>
        <w:pStyle w:val="Heading2"/>
      </w:pPr>
      <w:r>
        <w:t>Governance and accountability</w:t>
      </w:r>
    </w:p>
    <w:p>
      <w:r>
        <w:t>CRI operates a ten-control governance set anchored to NIST AI RMF 1.0, EU AI Act logging/human-oversight principles, and ISO/IEC 42001:2023. Every control has a named human owner, artifact, and gate/cadence. As checked 2026-08-10, the EU AI Omnibus is in force; the relevant high-risk application dates are 2027-12-02 (Annex III) and 2028-08-02 (certain product-embedded systems). The accountable human remains responsible when an AI-assisted process fails.</w:t>
      </w:r>
    </w:p>
    <w:p>
      <w:pPr>
        <w:pStyle w:val="SmallNote"/>
      </w:pPr>
      <w:r>
        <w:t>Board note: cost figures are based on the supplied course model and are illustrative, not vendor quotes. Technical/legal claims must be rechecked before procurement or certification.</w:t>
      </w:r>
    </w:p>
    <w:sectPr w:rsidR="00FC693F" w:rsidRPr="0006063C" w:rsidSect="00034616">
      <w:pgSz w:w="12240" w:h="15840"/>
      <w:pgMar w:top="619" w:right="792" w:bottom="61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7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7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505A64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