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74A"/>
          <w:sz w:val="36"/>
        </w:rPr>
        <w:t>CRI 2030 AI-Native Reference Architecture</w:t>
      </w:r>
    </w:p>
    <w:p>
      <w:pPr>
        <w:jc w:val="center"/>
      </w:pPr>
      <w:r>
        <w:rPr>
          <w:i/>
          <w:sz w:val="19"/>
        </w:rPr>
        <w:t>Two execution lanes, one control plane, one governance spine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4CE"/>
          <w:left w:val="single" w:sz="4" w:color="B7C4CE"/>
          <w:bottom w:val="single" w:sz="4" w:color="B7C4CE"/>
          <w:right w:val="single" w:sz="4" w:color="B7C4CE"/>
          <w:insideH w:val="single" w:sz="4" w:color="B7C4CE"/>
          <w:insideV w:val="single" w:sz="4" w:color="B7C4CE"/>
        </w:tblBorders>
      </w:tblPr>
      <w:tblGrid>
        <w:gridCol w:w="2926"/>
        <w:gridCol w:w="2926"/>
        <w:gridCol w:w="2926"/>
        <w:gridCol w:w="2926"/>
        <w:gridCol w:w="2926"/>
      </w:tblGrid>
      <w:tr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600 CRI staff + field offices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Federated Identity / Zero Trust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API Gateway + Policy Enforcement</w:t>
            </w:r>
          </w:p>
        </w:tc>
      </w:tr>
      <w:tr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Traditional systems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One Kubernetes / VM Control Plane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OTel + SIEM + WORM Audit</w:t>
            </w:r>
          </w:p>
        </w:tc>
      </w:tr>
      <w:tr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Training / evaluation lane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Approved datasets → ephemeral GPU jobs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7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Signed OCI model artifacts / registry</w:t>
            </w:r>
          </w:p>
        </w:tc>
      </w:tr>
      <w:tr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8F5EC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Private inference lane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8F5EC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KServe + vLLM + Qwen/Qwen3-14B candidate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8F5EC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Restricted case-note RAG + scoped vector search</w:t>
            </w:r>
          </w:p>
        </w:tc>
      </w:tr>
      <w:tr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4D8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Approved external API lane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4D8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Low-sensitivity productivity only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type="dxa" w:w="29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4D8"/>
          </w:tcPr>
          <w:p>
            <w:pPr>
              <w:spacing w:after="0" w:before="0"/>
              <w:jc w:val="center"/>
            </w:pPr>
            <w:r>
              <w:rPr>
                <w:b/>
                <w:sz w:val="15"/>
              </w:rPr>
              <w:t>DLP / egress allowlist / spend caps</w:t>
            </w:r>
          </w:p>
        </w:tc>
      </w:tr>
    </w:tbl>
    <w:p>
      <w:pPr>
        <w:pStyle w:val="Heading2"/>
      </w:pPr>
      <w:r>
        <w:t>Complete organ map — no blank cells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c>
          <w:tcPr>
            <w:tcW w:type="dxa" w:w="4877"/>
            <w:shd w:fill="17374A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Organ / layer</w:t>
            </w:r>
          </w:p>
        </w:tc>
        <w:tc>
          <w:tcPr>
            <w:tcW w:type="dxa" w:w="4877"/>
            <w:shd w:fill="17374A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Traditional half</w:t>
            </w:r>
          </w:p>
        </w:tc>
        <w:tc>
          <w:tcPr>
            <w:tcW w:type="dxa" w:w="4877"/>
            <w:shd w:fill="17374A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AI-native half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Identity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Federated IdP, MFA/passkeys, RBAC, privileged access, lifecycle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Workload identity for every agent/model service; delegated user identity for retrieval/tools; no shared agent credentials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Virtualization / compute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VMs + containers for enterprise apps; hardened golden images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Kubernetes 1.35.x; GPU Operator 26.3.3; DRA claims; training/eval jobs separated from inference; MIG where shared isolation is required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Monitoring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OpenTelemetry metrics/logs/traces; SIEM; SLO dashboards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GPU/model/token/retrieval metrics; AI-assisted triage; natural-language query is advisory, not authority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Security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Least privilege, segmentation, EDR, secrets manager, out-of-band finance verification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OWASP LLM 2025 + MITRE ATLAS threat map; prompt-injection boundaries; signed models/tools; output validation; Rule of Two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Backup / DR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3-2-1 backups; immutable off-site copy; donor DB restore tests; documented RPO/RTO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Protect curated datasets, prompts, fine-tuned weights, registry metadata and AIBOM; rebuild embeddings/indexes from protected sources; secondary inference path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Data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Encrypted object/file/database services; data classification and retention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Restricted beneficiary corpus separated from general knowledge; identity-scoped RAG; vector namespaces; lineage/provenance; no public-chatbot ingestion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Network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DNS, firewall, load balancers, VPN/SASE, management segment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Private inference endpoints; default-deny egress for case-note RAG; approved API egress proxy; GPU east-west fabric only when needed</w:t>
            </w:r>
          </w:p>
        </w:tc>
      </w:tr>
      <w:tr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  <w:shd w:fill="EAF2F7"/>
          </w:tcPr>
          <w:p>
            <w:pPr>
              <w:spacing w:after="0" w:before="0"/>
            </w:pPr>
            <w:r>
              <w:rPr>
                <w:b/>
                <w:sz w:val="13"/>
              </w:rPr>
              <w:t>Governance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Change management, incident management, audit, procurement</w:t>
            </w:r>
          </w:p>
        </w:tc>
        <w:tc>
          <w:tcPr>
            <w:tcW w:type="dxa" w:w="48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NIST AI RMF + EU AI Act + ISO/IEC 42001; model cards/datasheets/AIBOM; autonomy ladder; human approval; cost caps</w:t>
            </w:r>
          </w:p>
        </w:tc>
      </w:tr>
    </w:tbl>
    <w:p>
      <w:pPr>
        <w:pStyle w:val="Heading2"/>
      </w:pPr>
      <w:r>
        <w:t>Trust boundaries and judgment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CE"/>
          <w:left w:val="single" w:sz="4" w:color="B7C4CE"/>
          <w:bottom w:val="single" w:sz="4" w:color="B7C4CE"/>
          <w:right w:val="single" w:sz="4" w:color="B7C4CE"/>
          <w:insideH w:val="single" w:sz="4" w:color="B7C4CE"/>
          <w:insideV w:val="single" w:sz="4" w:color="B7C4CE"/>
        </w:tblBorders>
      </w:tblPr>
      <w:tblGrid>
        <w:gridCol w:w="3657"/>
        <w:gridCol w:w="3657"/>
        <w:gridCol w:w="3657"/>
        <w:gridCol w:w="3657"/>
      </w:tblGrid>
      <w:tr>
        <w:tc>
          <w:tcPr>
            <w:tcW w:type="dxa" w:w="3657"/>
            <w:shd w:fill="17374A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Boundary 1 — User → AI</w:t>
            </w:r>
          </w:p>
        </w:tc>
        <w:tc>
          <w:tcPr>
            <w:tcW w:type="dxa" w:w="3657"/>
            <w:shd w:fill="17374A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Boundary 2 — RAG → Model</w:t>
            </w:r>
          </w:p>
        </w:tc>
        <w:tc>
          <w:tcPr>
            <w:tcW w:type="dxa" w:w="3657"/>
            <w:shd w:fill="17374A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Boundary 3 — Agent → Tool</w:t>
            </w:r>
          </w:p>
        </w:tc>
        <w:tc>
          <w:tcPr>
            <w:tcW w:type="dxa" w:w="3657"/>
            <w:shd w:fill="17374A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Boundary 4 — AI → External</w:t>
            </w:r>
          </w:p>
        </w:tc>
      </w:tr>
      <w:tr>
        <w:tc>
          <w:tcPr>
            <w:tcW w:type="dxa" w:w="365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Identity and data-classification policy accompany every request.</w:t>
            </w:r>
          </w:p>
        </w:tc>
        <w:tc>
          <w:tcPr>
            <w:tcW w:type="dxa" w:w="365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Retrieved text is untrusted data; it cannot grant tool authority.</w:t>
            </w:r>
          </w:p>
        </w:tc>
        <w:tc>
          <w:tcPr>
            <w:tcW w:type="dxa" w:w="365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MCP/tool permissions are least privilege; approve-tier actions stop for named human approval.</w:t>
            </w:r>
          </w:p>
        </w:tc>
        <w:tc>
          <w:tcPr>
            <w:tcW w:type="dxa" w:w="365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Restricted RAG has no arbitrary outbound tool; approved egress is destination-allowlisted and logged.</w:t>
            </w:r>
          </w:p>
        </w:tc>
      </w:tr>
    </w:tbl>
    <w:sectPr w:rsidR="00FC693F" w:rsidRPr="0006063C" w:rsidSect="00034616">
      <w:pgSz w:w="15840" w:h="12240" w:orient="landscape"/>
      <w:pgMar w:top="403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7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7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05A6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