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 Automated EDA Report</w:t>
      </w:r>
    </w:p>
    <w:p>
      <w:r>
        <w:t>Source: cancer_data_denmark.csv</w:t>
      </w:r>
    </w:p>
    <w:p>
      <w:r>
        <w:t>Rows: 30758   Columns: 8</w:t>
      </w:r>
    </w:p>
    <w:p>
      <w:r>
        <w:t>This report is optimized to generate 50–60 pages maximum.</w:t>
      </w:r>
    </w:p>
    <w:p>
      <w:pPr>
        <w:pStyle w:val="Heading2"/>
      </w:pPr>
      <w:r>
        <w:t>1. Dataset Summary</w:t>
      </w:r>
    </w:p>
    <w:p>
      <w:r>
        <w:t>Numeric columns used (1): ['Unnamed: 0']</w:t>
      </w:r>
    </w:p>
    <w:p>
      <w:r>
        <w:t>Categorical columns used (1): ['Category']</w:t>
      </w:r>
    </w:p>
    <w:p>
      <w:r>
        <w:t>Missing values (top 10):</w:t>
      </w:r>
    </w:p>
    <w:p>
      <w:r>
        <w:t>Unnamed: 0    0</w:t>
        <w:br/>
        <w:t>BrandName     0</w:t>
        <w:br/>
        <w:t>Deatils       0</w:t>
        <w:br/>
        <w:t>Sizes         0</w:t>
        <w:br/>
        <w:t>MRP           0</w:t>
        <w:br/>
        <w:t>SellPrice     0</w:t>
        <w:br/>
        <w:t>Discount      0</w:t>
        <w:br/>
        <w:t>Category      0</w:t>
      </w:r>
    </w:p>
    <w:p>
      <w:pPr>
        <w:pStyle w:val="Heading2"/>
      </w:pPr>
      <w:r>
        <w:t>2. Univariate Analysis — Numeric</w:t>
      </w:r>
    </w:p>
    <w:p>
      <w:pPr>
        <w:pStyle w:val="Heading3"/>
      </w:pPr>
      <w:r>
        <w:t>Unnamed: 0</w:t>
      </w:r>
    </w:p>
    <w:p>
      <w:r>
        <w:t>count=30758  mean=12.50  median=12.50  std=7.50  IQR=13.00  min=0  max=25</w:t>
      </w:r>
    </w:p>
    <w:p>
      <w:r>
        <w:drawing>
          <wp:inline xmlns:a="http://schemas.openxmlformats.org/drawingml/2006/main" xmlns:pic="http://schemas.openxmlformats.org/drawingml/2006/picture">
            <wp:extent cx="4572000" cy="3093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named: 0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3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278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named: 0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Univariate Analysis — Categorical</w:t>
      </w:r>
    </w:p>
    <w:p>
      <w:pPr>
        <w:pStyle w:val="Heading3"/>
      </w:pPr>
      <w:r>
        <w:t>Category</w:t>
      </w:r>
    </w:p>
    <w:p>
      <w:r>
        <w:t>Top categories (count):</w:t>
      </w:r>
    </w:p>
    <w:p>
      <w:r>
        <w:t>Category</w:t>
        <w:br/>
        <w:t>Westernwear-Women           10374</w:t>
        <w:br/>
        <w:t>Indianwear-Women            10374</w:t>
        <w:br/>
        <w:t>Lingerie&amp;Nightwear-Women     3354</w:t>
        <w:br/>
        <w:t>Footwear-Women               2574</w:t>
        <w:br/>
        <w:t>Watches-Women                1794</w:t>
        <w:br/>
        <w:t>Jewellery-Women              1794</w:t>
        <w:br/>
        <w:t>Fragrance-Women               494</w:t>
      </w:r>
    </w:p>
    <w:p>
      <w:r>
        <w:drawing>
          <wp:inline xmlns:a="http://schemas.openxmlformats.org/drawingml/2006/main" xmlns:pic="http://schemas.openxmlformats.org/drawingml/2006/picture">
            <wp:extent cx="4572000" cy="2329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cou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Numeric vs Numeric — Top Correlations</w:t>
      </w:r>
    </w:p>
    <w:p>
      <w:pPr>
        <w:pStyle w:val="Heading2"/>
      </w:pPr>
      <w:r>
        <w:t>5. Numeric vs Categorical — Most Influential</w:t>
      </w:r>
    </w:p>
    <w:p>
      <w:pPr>
        <w:pStyle w:val="Heading3"/>
      </w:pPr>
      <w:r>
        <w:t>Unnamed: 0 by Category (Eta² = 0.000)</w:t>
      </w:r>
    </w:p>
    <w:p>
      <w:r>
        <w:t>This section compares the numeric variable 'Unnamed: 0' across the categories of 'Category'.</w:t>
        <w:br/>
        <w:t>A higher Eta² value indicates that the categorical variable 'Category' explains more variation in 'Unnamed: 0'.</w:t>
      </w:r>
    </w:p>
    <w:p>
      <w:r>
        <w:t>Group Statistics:</w:t>
      </w:r>
    </w:p>
    <w:p>
      <w:r>
        <w:t xml:space="preserve">                          count  mean  median  std</w:t>
        <w:br/>
        <w:t xml:space="preserve">Category                                          </w:t>
        <w:br/>
        <w:t>Footwear-Women             2574 12.50   12.50 7.50</w:t>
        <w:br/>
        <w:t>Fragrance-Women             494 12.50   12.50 7.51</w:t>
        <w:br/>
        <w:t>Indianwear-Women          10374 12.50   12.50 7.50</w:t>
        <w:br/>
        <w:t>Jewellery-Women            1794 12.50   12.50 7.50</w:t>
        <w:br/>
        <w:t>Lingerie&amp;Nightwear-Women   3354 12.50   12.50 7.50</w:t>
        <w:br/>
        <w:t>Watches-Women              1794 12.50   12.50 7.50</w:t>
        <w:br/>
        <w:t>Westernwear-Women         10374 12.50   12.50 7.50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068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named: 0_Category_b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8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329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named: 0_Category_m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'Unnamed: 0' shows differences across levels of 'Category'.</w:t>
        <w:br/>
        <w:t>- Categories with higher means indicate stronger association.</w:t>
        <w:br/>
        <w:t>- Eta² = 0.000 (0 = no effect, 1 = strong effect).</w:t>
      </w:r>
    </w:p>
    <w:p>
      <w:pPr>
        <w:pStyle w:val="Heading2"/>
      </w:pPr>
      <w:r>
        <w:t>6. Categorical vs Categorical — Top Associations</w:t>
      </w:r>
    </w:p>
    <w:p>
      <w:pPr>
        <w:pStyle w:val="Heading2"/>
      </w:pPr>
      <w:r>
        <w:t>7. Insights &amp; Conclusion</w:t>
      </w:r>
    </w:p>
    <w:p>
      <w:r>
        <w:t>This hybrid report highlights the most impactful relationships while remaining compact (50–60 pages).</w:t>
      </w:r>
    </w:p>
    <w:p>
      <w:r>
        <w:t>Use this report as a foundation for deeper modeling or domain-level interpretation.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