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18C4" w14:textId="77777777" w:rsidR="00364E01" w:rsidRPr="00594C50" w:rsidRDefault="00000000" w:rsidP="00835524">
      <w:pPr>
        <w:pStyle w:val="Heading1"/>
        <w:jc w:val="center"/>
        <w:rPr>
          <w:sz w:val="44"/>
          <w:szCs w:val="44"/>
        </w:rPr>
      </w:pPr>
      <w:r w:rsidRPr="00594C50">
        <w:rPr>
          <w:sz w:val="44"/>
          <w:szCs w:val="44"/>
        </w:rPr>
        <w:t>Bank Loan Analytics Report</w:t>
      </w:r>
    </w:p>
    <w:p w14:paraId="0C019330" w14:textId="3ADE0623" w:rsidR="00FF08D0" w:rsidRPr="00607EBC" w:rsidRDefault="00000000" w:rsidP="00FF08D0">
      <w:pPr>
        <w:rPr>
          <w:b/>
          <w:bCs/>
        </w:rPr>
      </w:pPr>
      <w:r w:rsidRPr="00607EBC">
        <w:rPr>
          <w:b/>
          <w:bCs/>
        </w:rPr>
        <w:t>Prepared by: Md Kaif Momin</w:t>
      </w:r>
      <w:r w:rsidRPr="00607EBC">
        <w:rPr>
          <w:b/>
          <w:bCs/>
        </w:rPr>
        <w:br/>
        <w:t>Role: Data Analyst</w:t>
      </w:r>
      <w:r w:rsidRPr="00607EBC">
        <w:rPr>
          <w:b/>
          <w:bCs/>
        </w:rPr>
        <w:br/>
        <w:t>Project: Loan Performance and Customer Behavior Analysis Using Multivariate Analysi</w:t>
      </w:r>
      <w:r w:rsidR="00FF08D0" w:rsidRPr="00607EBC">
        <w:rPr>
          <w:b/>
          <w:bCs/>
        </w:rPr>
        <w:t>s</w:t>
      </w:r>
    </w:p>
    <w:p w14:paraId="192327E2" w14:textId="729E3E02" w:rsidR="00FF08D0" w:rsidRDefault="00607EBC">
      <w:pPr>
        <w:pStyle w:val="Heading2"/>
      </w:pPr>
      <w:r>
        <w:rPr>
          <w:noProof/>
        </w:rPr>
        <mc:AlternateContent>
          <mc:Choice Requires="wps">
            <w:drawing>
              <wp:anchor distT="0" distB="0" distL="114300" distR="114300" simplePos="0" relativeHeight="251659264" behindDoc="0" locked="0" layoutInCell="1" allowOverlap="1" wp14:anchorId="3AF81372" wp14:editId="60151AF0">
                <wp:simplePos x="0" y="0"/>
                <wp:positionH relativeFrom="column">
                  <wp:posOffset>-91440</wp:posOffset>
                </wp:positionH>
                <wp:positionV relativeFrom="paragraph">
                  <wp:posOffset>104775</wp:posOffset>
                </wp:positionV>
                <wp:extent cx="7025640" cy="7620"/>
                <wp:effectExtent l="38100" t="38100" r="60960" b="87630"/>
                <wp:wrapNone/>
                <wp:docPr id="904731798" name="Straight Connector 1"/>
                <wp:cNvGraphicFramePr/>
                <a:graphic xmlns:a="http://schemas.openxmlformats.org/drawingml/2006/main">
                  <a:graphicData uri="http://schemas.microsoft.com/office/word/2010/wordprocessingShape">
                    <wps:wsp>
                      <wps:cNvCnPr/>
                      <wps:spPr>
                        <a:xfrm flipV="1">
                          <a:off x="0" y="0"/>
                          <a:ext cx="70256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EB6E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8.25pt" to="54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6jqQEAAJUDAAAOAAAAZHJzL2Uyb0RvYy54bWysU01v1DAQvSP1P1i+s8lGsEXRZntoRS8I&#10;KqC9u854Y+Ev2WaT/feMJ7spKtBDxcXyx7w3896Mt1eTNewAMWnvOr5e1ZyBk77Xbt/x++8f337g&#10;LGXhemG8g44fIfGr3cWb7RhaaPzgTQ+RIYlL7Rg6PuQc2qpKcgAr0soHcPiofLQi4zHuqz6KEdmt&#10;qZq63lSjj32IXkJKeHszP/Id8SsFMn9RKkFmpuNYW6Y10vpY1mq3Fe0+ijBoeSpDvKIKK7TDpAvV&#10;jciC/Yz6DyqrZfTJq7yS3lZeKS2BNKCadf1MzbdBBCAtaE4Ki03p/9HKz4drdxfRhjGkNoW7WFRM&#10;KlqmjA4P2FPShZWyiWw7LrbBlJnEy8u6eb95h+5KfLvcNORqNbMUthBTvgVvWdl03GhXRIlWHD6l&#10;jJkx9ByCh6c6aJePBkqwcV9BMd1jvobQNCJwbSI7CGxu/2NdmolcFFkgShuzgOqXQafYAgMamwU4&#10;6/9ntiWaMnqXF6DVzse/Zc3TuVQ1x59Vz1qL7EffH6krZAf2npSd5rQM1+9ngj/9pt0vAAAA//8D&#10;AFBLAwQUAAYACAAAACEA5j7pb+AAAAAKAQAADwAAAGRycy9kb3ducmV2LnhtbEyPzW7CMBCE75X6&#10;DtZW6g0cEOUnjYMQElU5VQ09lJtJljgiXke2A+nbdzm1tx3Np9mZbD3YVlzRh8aRgsk4AYFUuqqh&#10;WsHXYTdagghRU6VbR6jgBwOs88eHTKeVu9EnXotYCw6hkGoFJsYulTKUBq0OY9chsXd23urI0tey&#10;8vrG4baV0ySZS6sb4g9Gd7g1WF6K3ip433t3MW+bIi6P/e7jsG++z8VWqeenYfMKIuIQ/2C41+fq&#10;kHOnk+upCqJVMJrMZoyyMX8BcQeS1ZTXnfhaLEDmmfw/If8FAAD//wMAUEsBAi0AFAAGAAgAAAAh&#10;ALaDOJL+AAAA4QEAABMAAAAAAAAAAAAAAAAAAAAAAFtDb250ZW50X1R5cGVzXS54bWxQSwECLQAU&#10;AAYACAAAACEAOP0h/9YAAACUAQAACwAAAAAAAAAAAAAAAAAvAQAAX3JlbHMvLnJlbHNQSwECLQAU&#10;AAYACAAAACEAX/Ceo6kBAACVAwAADgAAAAAAAAAAAAAAAAAuAgAAZHJzL2Uyb0RvYy54bWxQSwEC&#10;LQAUAAYACAAAACEA5j7pb+AAAAAKAQAADwAAAAAAAAAAAAAAAAADBAAAZHJzL2Rvd25yZXYueG1s&#10;UEsFBgAAAAAEAAQA8wAAABAFAAAAAA==&#10;" strokecolor="black [3200]" strokeweight="2pt">
                <v:shadow on="t" color="black" opacity="24903f" origin=",.5" offset="0,.55556mm"/>
              </v:line>
            </w:pict>
          </mc:Fallback>
        </mc:AlternateContent>
      </w:r>
    </w:p>
    <w:p w14:paraId="5A3C3128" w14:textId="600E215F" w:rsidR="00364E01" w:rsidRPr="00FF08D0" w:rsidRDefault="00000000">
      <w:pPr>
        <w:pStyle w:val="Heading2"/>
        <w:rPr>
          <w:u w:val="thick"/>
        </w:rPr>
      </w:pPr>
      <w:r>
        <w:t>1. Executive Summary</w:t>
      </w:r>
    </w:p>
    <w:p w14:paraId="5236A31F" w14:textId="77777777" w:rsidR="00364E01" w:rsidRDefault="00000000">
      <w:r>
        <w:t>This report presents a detailed analysis of customer loan performance using multivariate analysis. The objective was to understand how demographic, financial, and regional factors jointly affect loan approval, repayment, and default trends. Key findings indicate that gender distribution is balanced, salaried and self-employed customers dominate loan categories, and higher income and credit scores lead to successful loan approvals. Urban branches perform better in loan disbursement and repayment, while defaulted loans are linked to low credit scores. These insights guide better targeting, credit policy refinement, and risk management.</w:t>
      </w:r>
    </w:p>
    <w:p w14:paraId="151CC311" w14:textId="77777777" w:rsidR="00364E01" w:rsidRDefault="00000000">
      <w:pPr>
        <w:pStyle w:val="Heading2"/>
      </w:pPr>
      <w:r>
        <w:t>2. Objective</w:t>
      </w:r>
    </w:p>
    <w:p w14:paraId="0B741EBF" w14:textId="77777777" w:rsidR="00364E01" w:rsidRDefault="00000000">
      <w:r>
        <w:t>The primary goal of this analysis is to uncover how multiple variables influence loan outcomes and customer behavior.</w:t>
      </w:r>
    </w:p>
    <w:p w14:paraId="00CC4860" w14:textId="77777777" w:rsidR="00364E01" w:rsidRDefault="00000000">
      <w:pPr>
        <w:pStyle w:val="ListBullet"/>
      </w:pPr>
      <w:r>
        <w:t>Understanding relationships among Occupation, Gender, and Loan Status.</w:t>
      </w:r>
    </w:p>
    <w:p w14:paraId="38014D30" w14:textId="77777777" w:rsidR="00364E01" w:rsidRDefault="00000000">
      <w:pPr>
        <w:pStyle w:val="ListBullet"/>
      </w:pPr>
      <w:r>
        <w:t>Studying the combined effects of Age, Income, and Loan Amount.</w:t>
      </w:r>
    </w:p>
    <w:p w14:paraId="24FAFAC4" w14:textId="77777777" w:rsidR="00364E01" w:rsidRDefault="00000000">
      <w:pPr>
        <w:pStyle w:val="ListBullet"/>
      </w:pPr>
      <w:r>
        <w:t>Evaluating how Credit Score and Interest Rate affect repayment patterns.</w:t>
      </w:r>
    </w:p>
    <w:p w14:paraId="4B72E55A" w14:textId="77777777" w:rsidR="00364E01" w:rsidRDefault="00000000">
      <w:pPr>
        <w:pStyle w:val="ListBullet"/>
      </w:pPr>
      <w:r>
        <w:t>Identifying customer segments showing strong repayment and profitable profiles.</w:t>
      </w:r>
    </w:p>
    <w:p w14:paraId="11D597B9" w14:textId="77777777" w:rsidR="00364E01" w:rsidRDefault="00000000">
      <w:pPr>
        <w:pStyle w:val="Heading2"/>
      </w:pPr>
      <w:r>
        <w:t>3. Data Overview</w:t>
      </w:r>
    </w:p>
    <w:p w14:paraId="4A2A4882" w14:textId="77777777" w:rsidR="00364E01" w:rsidRDefault="00000000">
      <w:pPr>
        <w:pStyle w:val="Heading3"/>
      </w:pPr>
      <w:r>
        <w:t>3.1 Data Source</w:t>
      </w:r>
    </w:p>
    <w:p w14:paraId="532C74D3" w14:textId="77777777" w:rsidR="00364E01" w:rsidRDefault="00000000">
      <w:r>
        <w:t>The dataset was obtained from an internal bank database for analytical research. It includes records from 2022 to 2024, covering multiple regions and branches.</w:t>
      </w:r>
    </w:p>
    <w:p w14:paraId="6B8A9512" w14:textId="77777777" w:rsidR="00364E01" w:rsidRDefault="00000000">
      <w:pPr>
        <w:pStyle w:val="Heading3"/>
      </w:pPr>
      <w:r>
        <w:t>3.2 Data Description</w:t>
      </w:r>
    </w:p>
    <w:p w14:paraId="3E85CC40" w14:textId="77777777" w:rsidR="00364E01" w:rsidRDefault="00000000">
      <w:r>
        <w:t>Total Customers: 2.3 lakh</w:t>
      </w:r>
      <w:r>
        <w:br/>
        <w:t>Features: 22 Columns</w:t>
      </w:r>
      <w:r>
        <w:br/>
        <w:t>10 Categorical, 9 Numerical, 1 Date/Time, and 2 Geographical.</w:t>
      </w:r>
      <w:r>
        <w:br/>
        <w:t>Major variables: Age, Gender, Occupation, Annual_Income, Credit_Score, Loan_Type, Loan_Amount, Loan_Status, Interest_Rate, EMI_Amount, State, Branch_Name.</w:t>
      </w:r>
    </w:p>
    <w:p w14:paraId="2DF97EB4" w14:textId="77777777" w:rsidR="00364E01" w:rsidRDefault="00000000">
      <w:r>
        <w:t>Data Cleaning Steps:</w:t>
      </w:r>
      <w:r>
        <w:br/>
        <w:t>- Removed duplicates and irrelevant entries.</w:t>
      </w:r>
      <w:r>
        <w:br/>
        <w:t>- Handled missing values in Credit_Score and Loan_Amount.</w:t>
      </w:r>
      <w:r>
        <w:br/>
        <w:t>- Standardized categorical values for consistency.</w:t>
      </w:r>
    </w:p>
    <w:p w14:paraId="577E95DB" w14:textId="77777777" w:rsidR="00364E01" w:rsidRDefault="00000000">
      <w:pPr>
        <w:pStyle w:val="Heading2"/>
      </w:pPr>
      <w:r>
        <w:t>4. Methodology</w:t>
      </w:r>
    </w:p>
    <w:p w14:paraId="2E47E3ED" w14:textId="77777777" w:rsidR="00364E01" w:rsidRDefault="00000000">
      <w:r>
        <w:t>The analysis was performed using Python (Pandas, Matplotlib, Seaborn) and Power BI for visualization. Key methods included:</w:t>
      </w:r>
      <w:r>
        <w:br/>
        <w:t>- Descriptive Analysis for distribution and frequency patterns.</w:t>
      </w:r>
      <w:r>
        <w:br/>
        <w:t>- Bivariate and Multivariate Analysis to examine relationships among variables.</w:t>
      </w:r>
      <w:r>
        <w:br/>
      </w:r>
      <w:r>
        <w:lastRenderedPageBreak/>
        <w:t>- Heatmaps and Correlation Analysis to identify strong variable interactions.</w:t>
      </w:r>
      <w:r>
        <w:br/>
        <w:t>- Grouping and Aggregation for regional and occupational insights.</w:t>
      </w:r>
    </w:p>
    <w:p w14:paraId="16FFCE1F" w14:textId="77777777" w:rsidR="00364E01" w:rsidRDefault="00000000">
      <w:pPr>
        <w:pStyle w:val="Heading2"/>
      </w:pPr>
      <w:r>
        <w:t>5. Analysis</w:t>
      </w:r>
    </w:p>
    <w:p w14:paraId="6E9338A0" w14:textId="77777777" w:rsidR="00364E01" w:rsidRDefault="00000000">
      <w:pPr>
        <w:pStyle w:val="Heading3"/>
      </w:pPr>
      <w:r>
        <w:t>5.1 Age, Income &amp; Loan Amount</w:t>
      </w:r>
    </w:p>
    <w:p w14:paraId="20F04943" w14:textId="77777777" w:rsidR="00364E01" w:rsidRDefault="00000000">
      <w:r>
        <w:t>Higher income directly increases loan capacity, while age has a smaller effect. Younger and middle-aged customers have similar borrowing patterns, but higher-income groups access larger loans.</w:t>
      </w:r>
    </w:p>
    <w:p w14:paraId="3D3761FC" w14:textId="77777777" w:rsidR="00364E01" w:rsidRDefault="00000000">
      <w:pPr>
        <w:pStyle w:val="Heading3"/>
      </w:pPr>
      <w:r>
        <w:t>5.2 State and Branch Performance</w:t>
      </w:r>
    </w:p>
    <w:p w14:paraId="10B6E7CD" w14:textId="77777777" w:rsidR="00364E01" w:rsidRDefault="00000000">
      <w:r>
        <w:t>Metropolitan branches (Delhi, Mumbai, Kolkata, Bangalore) achieved the highest loan approval rates, with Delhi leading at 67.64%. Urban regions show consistent processing and higher disbursement.</w:t>
      </w:r>
    </w:p>
    <w:p w14:paraId="53E7627D" w14:textId="77777777" w:rsidR="00364E01" w:rsidRDefault="00000000">
      <w:pPr>
        <w:pStyle w:val="Heading3"/>
      </w:pPr>
      <w:r>
        <w:t>5.3 Occupation, City &amp; Loan Status</w:t>
      </w:r>
    </w:p>
    <w:p w14:paraId="6EBA2608" w14:textId="77777777" w:rsidR="00364E01" w:rsidRDefault="00000000">
      <w:r>
        <w:t>Salaried customers in Delhi and Karnataka have high loan activity and repayment rates. Retired customers show higher default rates, while students and self-employed individuals maintain balanced loan behavior.</w:t>
      </w:r>
    </w:p>
    <w:p w14:paraId="7651EBD3" w14:textId="77777777" w:rsidR="00364E01" w:rsidRDefault="00000000">
      <w:pPr>
        <w:pStyle w:val="Heading3"/>
      </w:pPr>
      <w:r>
        <w:t>5.4 Credit Score, Interest Rate &amp; Repayment Status</w:t>
      </w:r>
    </w:p>
    <w:p w14:paraId="3FD105A6" w14:textId="77777777" w:rsidR="00364E01" w:rsidRDefault="00000000">
      <w:r>
        <w:t>Higher credit scores correlate with successful repayments and lower interest rates. Borrowers with higher interest rates typically have lower credit scores, showing effective risk-based pricing.</w:t>
      </w:r>
    </w:p>
    <w:p w14:paraId="50D27EDB" w14:textId="77777777" w:rsidR="00364E01" w:rsidRDefault="00000000">
      <w:pPr>
        <w:pStyle w:val="Heading3"/>
      </w:pPr>
      <w:r>
        <w:t>5.5 Loan Type &amp; Occupation</w:t>
      </w:r>
    </w:p>
    <w:p w14:paraId="36597153" w14:textId="77777777" w:rsidR="00364E01" w:rsidRDefault="00000000">
      <w:r>
        <w:t>Home and Car Loans dominate across occupations, particularly among salaried and student groups, indicating steady and inclusive lending patterns across customer types.</w:t>
      </w:r>
    </w:p>
    <w:p w14:paraId="205D47DC" w14:textId="77777777" w:rsidR="00364E01" w:rsidRDefault="00000000">
      <w:pPr>
        <w:pStyle w:val="Heading3"/>
      </w:pPr>
      <w:r>
        <w:t>5.6 Gender, Occupation &amp; Loan Status</w:t>
      </w:r>
    </w:p>
    <w:p w14:paraId="359A7A12" w14:textId="77777777" w:rsidR="00364E01" w:rsidRDefault="00000000">
      <w:r>
        <w:t>Male and salaried customers close more loans successfully. Self-employed and female borrowers also show healthy loan activity, demonstrating diverse participation across gender and occupation.</w:t>
      </w:r>
    </w:p>
    <w:p w14:paraId="0249D265" w14:textId="77777777" w:rsidR="00364E01" w:rsidRDefault="00000000">
      <w:pPr>
        <w:pStyle w:val="Heading2"/>
      </w:pPr>
      <w:r>
        <w:t>6. Key Insights</w:t>
      </w:r>
    </w:p>
    <w:p w14:paraId="6519159A" w14:textId="77777777" w:rsidR="00364E01" w:rsidRDefault="00000000">
      <w:pPr>
        <w:pStyle w:val="ListBullet"/>
      </w:pPr>
      <w:r>
        <w:t>Gender distribution is equally balanced among Male, Female, and Others.</w:t>
      </w:r>
    </w:p>
    <w:p w14:paraId="0E5E9589" w14:textId="77777777" w:rsidR="00364E01" w:rsidRDefault="00000000">
      <w:pPr>
        <w:pStyle w:val="ListBullet"/>
      </w:pPr>
      <w:r>
        <w:t>Salaried and self-employed customers dominate most loan categories.</w:t>
      </w:r>
    </w:p>
    <w:p w14:paraId="5D9B520E" w14:textId="77777777" w:rsidR="00364E01" w:rsidRDefault="00000000">
      <w:pPr>
        <w:pStyle w:val="ListBullet"/>
      </w:pPr>
      <w:r>
        <w:t>Higher income and better credit scores lead to more approvals.</w:t>
      </w:r>
    </w:p>
    <w:p w14:paraId="2AA7C026" w14:textId="77777777" w:rsidR="00364E01" w:rsidRDefault="00000000">
      <w:pPr>
        <w:pStyle w:val="ListBullet"/>
      </w:pPr>
      <w:r>
        <w:t>Higher credit scores result in lower interest rates.</w:t>
      </w:r>
    </w:p>
    <w:p w14:paraId="00833C36" w14:textId="77777777" w:rsidR="00364E01" w:rsidRDefault="00000000">
      <w:pPr>
        <w:pStyle w:val="ListBullet"/>
      </w:pPr>
      <w:r>
        <w:t>Defaulted loans are linked with lower credit scores.</w:t>
      </w:r>
    </w:p>
    <w:p w14:paraId="45A9A541" w14:textId="77777777" w:rsidR="00364E01" w:rsidRDefault="00000000">
      <w:pPr>
        <w:pStyle w:val="ListBullet"/>
      </w:pPr>
      <w:r>
        <w:t>Certain states and branches (e.g., Delhi, Mumbai) have high disbursements.</w:t>
      </w:r>
    </w:p>
    <w:p w14:paraId="18358CF4" w14:textId="77777777" w:rsidR="00364E01" w:rsidRDefault="00000000">
      <w:pPr>
        <w:pStyle w:val="ListBullet"/>
      </w:pPr>
      <w:r>
        <w:t>Annual income and age together influence loan amounts.</w:t>
      </w:r>
    </w:p>
    <w:p w14:paraId="596D1F84" w14:textId="77777777" w:rsidR="00364E01" w:rsidRDefault="00000000">
      <w:pPr>
        <w:pStyle w:val="ListBullet"/>
      </w:pPr>
      <w:r>
        <w:t>Regional trends impact approval rates and repayment.</w:t>
      </w:r>
    </w:p>
    <w:p w14:paraId="4A5EF19B" w14:textId="77777777" w:rsidR="00364E01" w:rsidRDefault="00000000">
      <w:pPr>
        <w:pStyle w:val="ListBullet"/>
      </w:pPr>
      <w:r>
        <w:t>Urban branches outperform rural ones in disbursement and repayment.</w:t>
      </w:r>
    </w:p>
    <w:p w14:paraId="37679B4E" w14:textId="77777777" w:rsidR="00364E01" w:rsidRDefault="00000000">
      <w:pPr>
        <w:pStyle w:val="ListBullet"/>
      </w:pPr>
      <w:r>
        <w:t>Multivariate analysis shows strong relationships between Occupation, Gender, and Loan Status.</w:t>
      </w:r>
    </w:p>
    <w:p w14:paraId="1CBDCA91" w14:textId="77777777" w:rsidR="00364E01" w:rsidRDefault="00000000">
      <w:pPr>
        <w:pStyle w:val="Heading2"/>
      </w:pPr>
      <w:r>
        <w:t>7. Recommendations</w:t>
      </w:r>
    </w:p>
    <w:p w14:paraId="3810DE3D" w14:textId="77777777" w:rsidR="00364E01" w:rsidRDefault="00000000">
      <w:pPr>
        <w:pStyle w:val="ListBullet"/>
      </w:pPr>
      <w:r>
        <w:t>Target profitable segments: Focus on salaried and self-employed groups for lending expansion.</w:t>
      </w:r>
    </w:p>
    <w:p w14:paraId="7A2AA186" w14:textId="77777777" w:rsidR="00364E01" w:rsidRDefault="00000000">
      <w:pPr>
        <w:pStyle w:val="ListBullet"/>
      </w:pPr>
      <w:r>
        <w:t>Credit risk management: Implement stricter evaluation for low credit score applicants.</w:t>
      </w:r>
    </w:p>
    <w:p w14:paraId="508389F0" w14:textId="77777777" w:rsidR="00364E01" w:rsidRDefault="00000000">
      <w:pPr>
        <w:pStyle w:val="ListBullet"/>
      </w:pPr>
      <w:r>
        <w:t>Regional optimization: Strengthen underperforming rural branches through policy alignment.</w:t>
      </w:r>
    </w:p>
    <w:p w14:paraId="614FAA8E" w14:textId="77777777" w:rsidR="00364E01" w:rsidRDefault="00000000">
      <w:pPr>
        <w:pStyle w:val="ListBullet"/>
      </w:pPr>
      <w:r>
        <w:t>Interest rate strategy: Maintain risk-based pricing to encourage repayment discipline.</w:t>
      </w:r>
    </w:p>
    <w:p w14:paraId="484EF8C8" w14:textId="77777777" w:rsidR="00364E01" w:rsidRDefault="00000000">
      <w:pPr>
        <w:pStyle w:val="ListBullet"/>
      </w:pPr>
      <w:r>
        <w:t>Customer engagement: Design financial literacy and support programs for students and unemployed customers.</w:t>
      </w:r>
    </w:p>
    <w:p w14:paraId="18AAD96A" w14:textId="77777777" w:rsidR="00364E01" w:rsidRDefault="00000000">
      <w:pPr>
        <w:pStyle w:val="Heading2"/>
      </w:pPr>
      <w:r>
        <w:lastRenderedPageBreak/>
        <w:t>8. Conclusion</w:t>
      </w:r>
    </w:p>
    <w:p w14:paraId="6D63794B" w14:textId="77777777" w:rsidR="00364E01" w:rsidRDefault="00000000">
      <w:r>
        <w:t>The multivariate analysis highlights how customer demographics, financial attributes, and regional factors shape loan performance. The findings support better credit risk management, policy refinement, and targeted financial product strategies. Implementing these insights can enhance customer satisfaction, improve loan profitability, and reduce default rates across branches.</w:t>
      </w:r>
    </w:p>
    <w:p w14:paraId="1C311E85" w14:textId="77777777" w:rsidR="00364E01" w:rsidRDefault="00000000">
      <w:pPr>
        <w:pStyle w:val="Heading2"/>
      </w:pPr>
      <w:r>
        <w:t>9. Appendices</w:t>
      </w:r>
    </w:p>
    <w:p w14:paraId="236C99ED" w14:textId="77777777" w:rsidR="00364E01" w:rsidRDefault="00000000">
      <w:r>
        <w:t>Raw data summary tables</w:t>
      </w:r>
      <w:r>
        <w:br/>
        <w:t>Statistical output screenshots</w:t>
      </w:r>
      <w:r>
        <w:br/>
        <w:t>Visual charts used in the PowerPoint presentation</w:t>
      </w:r>
    </w:p>
    <w:sectPr w:rsidR="00364E01" w:rsidSect="008355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127575">
    <w:abstractNumId w:val="8"/>
  </w:num>
  <w:num w:numId="2" w16cid:durableId="940642879">
    <w:abstractNumId w:val="6"/>
  </w:num>
  <w:num w:numId="3" w16cid:durableId="120419685">
    <w:abstractNumId w:val="5"/>
  </w:num>
  <w:num w:numId="4" w16cid:durableId="2094009201">
    <w:abstractNumId w:val="4"/>
  </w:num>
  <w:num w:numId="5" w16cid:durableId="86314635">
    <w:abstractNumId w:val="7"/>
  </w:num>
  <w:num w:numId="6" w16cid:durableId="132253701">
    <w:abstractNumId w:val="3"/>
  </w:num>
  <w:num w:numId="7" w16cid:durableId="943879369">
    <w:abstractNumId w:val="2"/>
  </w:num>
  <w:num w:numId="8" w16cid:durableId="658071030">
    <w:abstractNumId w:val="1"/>
  </w:num>
  <w:num w:numId="9" w16cid:durableId="109478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E01"/>
    <w:rsid w:val="00594C50"/>
    <w:rsid w:val="00607EBC"/>
    <w:rsid w:val="00835524"/>
    <w:rsid w:val="008E6926"/>
    <w:rsid w:val="00AA1D8D"/>
    <w:rsid w:val="00B47730"/>
    <w:rsid w:val="00CB0664"/>
    <w:rsid w:val="00FC693F"/>
    <w:rsid w:val="00FF0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98CA96-A466-4DF7-9580-B5DEE8D5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kaif Momin</cp:lastModifiedBy>
  <cp:revision>5</cp:revision>
  <dcterms:created xsi:type="dcterms:W3CDTF">2013-12-23T23:15:00Z</dcterms:created>
  <dcterms:modified xsi:type="dcterms:W3CDTF">2025-11-05T19:47:00Z</dcterms:modified>
  <cp:category/>
</cp:coreProperties>
</file>