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7AE8" w14:textId="77777777" w:rsidR="00A91DAA" w:rsidRPr="00472B93" w:rsidRDefault="00A91DAA" w:rsidP="00A91DAA">
      <w:pPr>
        <w:ind w:left="720" w:hanging="360"/>
        <w:rPr>
          <w:b/>
          <w:bCs/>
          <w:sz w:val="44"/>
          <w:szCs w:val="48"/>
          <w:u w:val="single"/>
        </w:rPr>
      </w:pPr>
      <w:r w:rsidRPr="00472B93">
        <w:rPr>
          <w:b/>
          <w:bCs/>
          <w:sz w:val="44"/>
          <w:szCs w:val="48"/>
          <w:u w:val="single"/>
        </w:rPr>
        <w:t>MULTIVARIATE ANALYSIS OF CANCER DATASET</w:t>
      </w:r>
    </w:p>
    <w:p w14:paraId="05165D70" w14:textId="5F7A9322" w:rsidR="000A6E1D" w:rsidRDefault="000A6E1D"/>
    <w:p w14:paraId="62356ABF" w14:textId="4E7B12E5" w:rsidR="00A91DAA" w:rsidRDefault="00A91DAA">
      <w:r>
        <w:t>1.</w:t>
      </w:r>
      <w:r w:rsidRPr="00A91DAA">
        <w:t xml:space="preserve"> Age, Income &amp; </w:t>
      </w:r>
      <w:proofErr w:type="spellStart"/>
      <w:r w:rsidRPr="00A91DAA">
        <w:t>Loan_Amount</w:t>
      </w:r>
      <w:proofErr w:type="spellEnd"/>
      <w:r w:rsidRPr="00A91DAA">
        <w:t xml:space="preserve"> combined?</w:t>
      </w:r>
    </w:p>
    <w:p w14:paraId="66E359CF" w14:textId="77777777" w:rsidR="00BB3340" w:rsidRDefault="00BB3340"/>
    <w:p w14:paraId="065C6927" w14:textId="1CB46BA6" w:rsidR="00BB3340" w:rsidRDefault="002029CE">
      <w:r w:rsidRPr="002029CE">
        <w:rPr>
          <w:noProof/>
        </w:rPr>
        <w:drawing>
          <wp:inline distT="0" distB="0" distL="0" distR="0" wp14:anchorId="40491E68" wp14:editId="6D5B9AC2">
            <wp:extent cx="6858000" cy="3705225"/>
            <wp:effectExtent l="0" t="0" r="0" b="9525"/>
            <wp:docPr id="162523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AD4" w14:textId="7D0951C1" w:rsidR="00056CBA" w:rsidRPr="00056CBA" w:rsidRDefault="00056CBA" w:rsidP="00056CBA">
      <w:pPr>
        <w:pStyle w:val="ListParagraph"/>
        <w:numPr>
          <w:ilvl w:val="0"/>
          <w:numId w:val="5"/>
        </w:numPr>
      </w:pPr>
      <w:r w:rsidRPr="00056CBA">
        <w:rPr>
          <w:b/>
          <w:bCs/>
        </w:rPr>
        <w:t>All age groups</w:t>
      </w:r>
      <w:r w:rsidRPr="00056CBA">
        <w:t xml:space="preserve"> (young, adult, mid-age, old-age) have a </w:t>
      </w:r>
      <w:r w:rsidRPr="00056CBA">
        <w:rPr>
          <w:b/>
          <w:bCs/>
        </w:rPr>
        <w:t>similar loan distribution pattern</w:t>
      </w:r>
      <w:r w:rsidRPr="00056CBA">
        <w:t>, suggesting consistent loan eligibility criteria across ages.</w:t>
      </w:r>
    </w:p>
    <w:p w14:paraId="2C1A0EDE" w14:textId="1B53AFE0" w:rsidR="00056CBA" w:rsidRPr="00056CBA" w:rsidRDefault="00056CBA" w:rsidP="00056CBA">
      <w:pPr>
        <w:pStyle w:val="ListParagraph"/>
        <w:numPr>
          <w:ilvl w:val="0"/>
          <w:numId w:val="5"/>
        </w:numPr>
      </w:pPr>
      <w:r w:rsidRPr="00056CBA">
        <w:rPr>
          <w:b/>
          <w:bCs/>
        </w:rPr>
        <w:t>Income Status</w:t>
      </w:r>
      <w:r w:rsidRPr="00056CBA">
        <w:t xml:space="preserve"> has a clear influence on loan amounts — higher income categories tend to have </w:t>
      </w:r>
      <w:r w:rsidRPr="00056CBA">
        <w:rPr>
          <w:b/>
          <w:bCs/>
        </w:rPr>
        <w:t>higher median loan values</w:t>
      </w:r>
      <w:r w:rsidRPr="00056CBA">
        <w:t>.</w:t>
      </w:r>
    </w:p>
    <w:p w14:paraId="7EB92B0B" w14:textId="710D0099" w:rsidR="00056CBA" w:rsidRPr="00056CBA" w:rsidRDefault="00056CBA" w:rsidP="00056CBA">
      <w:pPr>
        <w:pStyle w:val="ListParagraph"/>
        <w:numPr>
          <w:ilvl w:val="0"/>
          <w:numId w:val="5"/>
        </w:numPr>
      </w:pPr>
      <w:r w:rsidRPr="00056CBA">
        <w:t xml:space="preserve">Despite differences in income, </w:t>
      </w:r>
      <w:r w:rsidRPr="00056CBA">
        <w:rPr>
          <w:b/>
          <w:bCs/>
        </w:rPr>
        <w:t>outliers (very high loans)</w:t>
      </w:r>
      <w:r w:rsidRPr="00056CBA">
        <w:t xml:space="preserve"> are present in all income levels, showing a few customers from every group receive large loans.</w:t>
      </w:r>
    </w:p>
    <w:p w14:paraId="20B54161" w14:textId="4A77AE32" w:rsidR="00056CBA" w:rsidRPr="00056CBA" w:rsidRDefault="00056CBA" w:rsidP="00056CBA">
      <w:pPr>
        <w:pStyle w:val="ListParagraph"/>
        <w:numPr>
          <w:ilvl w:val="0"/>
          <w:numId w:val="5"/>
        </w:numPr>
      </w:pPr>
      <w:r w:rsidRPr="00056CBA">
        <w:t xml:space="preserve">The </w:t>
      </w:r>
      <w:r w:rsidRPr="00056CBA">
        <w:rPr>
          <w:b/>
          <w:bCs/>
        </w:rPr>
        <w:t>interquartile range (IQR)</w:t>
      </w:r>
      <w:r w:rsidRPr="00056CBA">
        <w:t xml:space="preserve"> is wider for </w:t>
      </w:r>
      <w:r w:rsidRPr="00056CBA">
        <w:rPr>
          <w:b/>
          <w:bCs/>
        </w:rPr>
        <w:t>high</w:t>
      </w:r>
      <w:r w:rsidRPr="00056CBA">
        <w:t xml:space="preserve"> and </w:t>
      </w:r>
      <w:r w:rsidRPr="00056CBA">
        <w:rPr>
          <w:b/>
          <w:bCs/>
        </w:rPr>
        <w:t>very high-income</w:t>
      </w:r>
      <w:r w:rsidRPr="00056CBA">
        <w:t xml:space="preserve"> groups, indicating greater variability in loan amounts among wealthier customers.</w:t>
      </w:r>
    </w:p>
    <w:p w14:paraId="6499EDCB" w14:textId="3D16F616" w:rsidR="00056CBA" w:rsidRPr="00056CBA" w:rsidRDefault="00056CBA" w:rsidP="00056CBA">
      <w:pPr>
        <w:pStyle w:val="ListParagraph"/>
        <w:numPr>
          <w:ilvl w:val="0"/>
          <w:numId w:val="5"/>
        </w:numPr>
      </w:pPr>
      <w:r w:rsidRPr="00056CBA">
        <w:rPr>
          <w:b/>
          <w:bCs/>
        </w:rPr>
        <w:t>Low and median-income groups</w:t>
      </w:r>
      <w:r w:rsidRPr="00056CBA">
        <w:t xml:space="preserve"> mostly take </w:t>
      </w:r>
      <w:r w:rsidRPr="00056CBA">
        <w:rPr>
          <w:b/>
          <w:bCs/>
        </w:rPr>
        <w:t>smaller and more stable loan amounts</w:t>
      </w:r>
      <w:r w:rsidRPr="00056CBA">
        <w:t>, reflecting limited borrowing capacity or conservative loan approvals.</w:t>
      </w:r>
    </w:p>
    <w:p w14:paraId="0044707F" w14:textId="43369378" w:rsidR="00056CBA" w:rsidRPr="00056CBA" w:rsidRDefault="00056CBA" w:rsidP="00056CBA">
      <w:pPr>
        <w:pStyle w:val="ListParagraph"/>
        <w:numPr>
          <w:ilvl w:val="0"/>
          <w:numId w:val="5"/>
        </w:numPr>
      </w:pPr>
      <w:r w:rsidRPr="00056CBA">
        <w:t xml:space="preserve">The </w:t>
      </w:r>
      <w:r w:rsidRPr="00056CBA">
        <w:rPr>
          <w:b/>
          <w:bCs/>
        </w:rPr>
        <w:t>young and adult</w:t>
      </w:r>
      <w:r w:rsidRPr="00056CBA">
        <w:t xml:space="preserve"> age groups have slightly </w:t>
      </w:r>
      <w:r w:rsidRPr="00056CBA">
        <w:rPr>
          <w:b/>
          <w:bCs/>
        </w:rPr>
        <w:t>lower loan medians</w:t>
      </w:r>
      <w:r w:rsidRPr="00056CBA">
        <w:t xml:space="preserve"> compared to mid-age and old-age borrowers, possibly due to shorter credit history or lower income stability.</w:t>
      </w:r>
    </w:p>
    <w:p w14:paraId="5C9C7341" w14:textId="222C1EC6" w:rsidR="00056CBA" w:rsidRPr="00056CBA" w:rsidRDefault="00056CBA" w:rsidP="00056CBA">
      <w:pPr>
        <w:pStyle w:val="ListParagraph"/>
        <w:numPr>
          <w:ilvl w:val="0"/>
          <w:numId w:val="5"/>
        </w:numPr>
      </w:pPr>
      <w:r w:rsidRPr="00056CBA">
        <w:t xml:space="preserve">The overall pattern shows that </w:t>
      </w:r>
      <w:r w:rsidRPr="00056CBA">
        <w:rPr>
          <w:b/>
          <w:bCs/>
        </w:rPr>
        <w:t>Age has moderate influence</w:t>
      </w:r>
      <w:r w:rsidRPr="00056CBA">
        <w:t xml:space="preserve">, while </w:t>
      </w:r>
      <w:r w:rsidRPr="00056CBA">
        <w:rPr>
          <w:b/>
          <w:bCs/>
        </w:rPr>
        <w:t>Income plays a stronger role</w:t>
      </w:r>
      <w:r w:rsidRPr="00056CBA">
        <w:t xml:space="preserve"> in determining the loan amount.</w:t>
      </w:r>
    </w:p>
    <w:p w14:paraId="78FE6A84" w14:textId="564F9DF0" w:rsidR="00056CBA" w:rsidRDefault="00056CBA" w:rsidP="00056CBA">
      <w:pPr>
        <w:pStyle w:val="ListParagraph"/>
        <w:numPr>
          <w:ilvl w:val="0"/>
          <w:numId w:val="5"/>
        </w:numPr>
      </w:pPr>
      <w:r w:rsidRPr="00056CBA">
        <w:t xml:space="preserve">A large number of </w:t>
      </w:r>
      <w:r w:rsidRPr="00056CBA">
        <w:rPr>
          <w:b/>
          <w:bCs/>
        </w:rPr>
        <w:t>upper outliers</w:t>
      </w:r>
      <w:r w:rsidRPr="00056CBA">
        <w:t xml:space="preserve"> in every group suggests a small percentage of customers take </w:t>
      </w:r>
      <w:r w:rsidRPr="00056CBA">
        <w:rPr>
          <w:b/>
          <w:bCs/>
        </w:rPr>
        <w:t>very large loans</w:t>
      </w:r>
      <w:r w:rsidRPr="00056CBA">
        <w:t>, skewing the distribution upward</w:t>
      </w:r>
    </w:p>
    <w:p w14:paraId="432E24C2" w14:textId="77777777" w:rsidR="00056CBA" w:rsidRPr="00056CBA" w:rsidRDefault="00056CBA" w:rsidP="00056CBA"/>
    <w:p w14:paraId="7ABD3B20" w14:textId="29D06A69" w:rsidR="00A91DAA" w:rsidRDefault="00A91DAA" w:rsidP="00A91DAA">
      <w:r>
        <w:lastRenderedPageBreak/>
        <w:t>2.</w:t>
      </w:r>
      <w:r w:rsidRPr="00A91DAA">
        <w:t xml:space="preserve"> Occupation, City &amp; </w:t>
      </w:r>
      <w:proofErr w:type="spellStart"/>
      <w:r w:rsidRPr="00A91DAA">
        <w:t>Loan_Status</w:t>
      </w:r>
      <w:proofErr w:type="spellEnd"/>
      <w:r>
        <w:t>.</w:t>
      </w:r>
    </w:p>
    <w:p w14:paraId="27AEB167" w14:textId="27BB6C1A" w:rsidR="00A91DAA" w:rsidRDefault="00A91DAA" w:rsidP="00A91DAA"/>
    <w:p w14:paraId="7E3E0E9B" w14:textId="6235DC2E" w:rsidR="002029CE" w:rsidRPr="002029CE" w:rsidRDefault="00066AE5" w:rsidP="002029CE">
      <w:r w:rsidRPr="00066AE5">
        <w:rPr>
          <w:noProof/>
        </w:rPr>
        <w:drawing>
          <wp:inline distT="0" distB="0" distL="0" distR="0" wp14:anchorId="474CAFCB" wp14:editId="3161B0FE">
            <wp:extent cx="6858000" cy="3446145"/>
            <wp:effectExtent l="0" t="0" r="0" b="1905"/>
            <wp:docPr id="3761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9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188C" w14:textId="77777777" w:rsidR="002029CE" w:rsidRDefault="002029CE" w:rsidP="002029CE"/>
    <w:p w14:paraId="5994A43B" w14:textId="102CE86F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t xml:space="preserve">The heatmap represents </w:t>
      </w:r>
      <w:r w:rsidRPr="00066AE5">
        <w:rPr>
          <w:b/>
          <w:bCs/>
        </w:rPr>
        <w:t>customer distribution or loan counts</w:t>
      </w:r>
      <w:r w:rsidRPr="00066AE5">
        <w:t xml:space="preserve"> across states, grouped by </w:t>
      </w:r>
      <w:r w:rsidRPr="00066AE5">
        <w:rPr>
          <w:b/>
          <w:bCs/>
        </w:rPr>
        <w:t>Loan Status</w:t>
      </w:r>
      <w:r w:rsidRPr="00066AE5">
        <w:t xml:space="preserve"> and </w:t>
      </w:r>
      <w:r w:rsidRPr="00066AE5">
        <w:rPr>
          <w:b/>
          <w:bCs/>
        </w:rPr>
        <w:t>Occupation</w:t>
      </w:r>
      <w:r w:rsidRPr="00066AE5">
        <w:t>.</w:t>
      </w:r>
    </w:p>
    <w:p w14:paraId="366D59F4" w14:textId="3769D2DD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rPr>
          <w:b/>
          <w:bCs/>
        </w:rPr>
        <w:t>Closed-Salaried</w:t>
      </w:r>
      <w:r w:rsidRPr="00066AE5">
        <w:t xml:space="preserve"> customers in </w:t>
      </w:r>
      <w:r w:rsidRPr="00066AE5">
        <w:rPr>
          <w:b/>
          <w:bCs/>
        </w:rPr>
        <w:t>Karnataka</w:t>
      </w:r>
      <w:r w:rsidRPr="00066AE5">
        <w:t xml:space="preserve"> show the </w:t>
      </w:r>
      <w:r w:rsidRPr="00066AE5">
        <w:rPr>
          <w:b/>
          <w:bCs/>
        </w:rPr>
        <w:t>highest count (≈2018)</w:t>
      </w:r>
      <w:r w:rsidRPr="00066AE5">
        <w:t xml:space="preserve"> — indicating strong repayment performance among salaried employees in that state.</w:t>
      </w:r>
    </w:p>
    <w:p w14:paraId="1C20BC69" w14:textId="10D702ED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rPr>
          <w:b/>
          <w:bCs/>
        </w:rPr>
        <w:t>Default-Retired</w:t>
      </w:r>
      <w:r w:rsidRPr="00066AE5">
        <w:t xml:space="preserve"> customers in </w:t>
      </w:r>
      <w:r w:rsidRPr="00066AE5">
        <w:rPr>
          <w:b/>
          <w:bCs/>
        </w:rPr>
        <w:t>Delhi</w:t>
      </w:r>
      <w:r w:rsidRPr="00066AE5">
        <w:t xml:space="preserve"> also show a high concentration (≈2016), suggesting that post-retirement customers may face repayment challenges there.</w:t>
      </w:r>
    </w:p>
    <w:p w14:paraId="2EE8C8A9" w14:textId="62334A1E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rPr>
          <w:b/>
          <w:bCs/>
        </w:rPr>
        <w:t>Active-Student</w:t>
      </w:r>
      <w:r w:rsidRPr="00066AE5">
        <w:t xml:space="preserve"> loans in </w:t>
      </w:r>
      <w:r w:rsidRPr="00066AE5">
        <w:rPr>
          <w:b/>
          <w:bCs/>
        </w:rPr>
        <w:t>Maharashtra</w:t>
      </w:r>
      <w:r w:rsidRPr="00066AE5">
        <w:t xml:space="preserve"> are among the highest (≈1998), reflecting a large active student loan base in the region.</w:t>
      </w:r>
    </w:p>
    <w:p w14:paraId="3366BDEF" w14:textId="5235D3B6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rPr>
          <w:b/>
          <w:bCs/>
        </w:rPr>
        <w:t>Closed and Active Self-Employed</w:t>
      </w:r>
      <w:r w:rsidRPr="00066AE5">
        <w:t xml:space="preserve"> customers appear relatively balanced across states, suggesting stable loan behavior in this group.</w:t>
      </w:r>
    </w:p>
    <w:p w14:paraId="079138B1" w14:textId="457F7E3D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rPr>
          <w:b/>
          <w:bCs/>
        </w:rPr>
        <w:t>Uttar Pradesh and West Bengal</w:t>
      </w:r>
      <w:r w:rsidRPr="00066AE5">
        <w:t xml:space="preserve"> show generally higher densities across multiple categories — they have large customer bases across loan types and statuses.</w:t>
      </w:r>
    </w:p>
    <w:p w14:paraId="6938A0FC" w14:textId="6213CF24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rPr>
          <w:b/>
          <w:bCs/>
        </w:rPr>
        <w:t>Unemployed</w:t>
      </w:r>
      <w:r w:rsidRPr="00066AE5">
        <w:t xml:space="preserve"> categories show moderate activity overall, indicating limited loan eligibility or smaller borrowing capacity.</w:t>
      </w:r>
    </w:p>
    <w:p w14:paraId="3C84D6B6" w14:textId="56494FC8" w:rsidR="00066AE5" w:rsidRPr="00066AE5" w:rsidRDefault="00066AE5" w:rsidP="00066AE5">
      <w:pPr>
        <w:pStyle w:val="ListParagraph"/>
        <w:numPr>
          <w:ilvl w:val="0"/>
          <w:numId w:val="7"/>
        </w:numPr>
        <w:tabs>
          <w:tab w:val="left" w:pos="2172"/>
        </w:tabs>
      </w:pPr>
      <w:r w:rsidRPr="00066AE5">
        <w:t xml:space="preserve">Overall, </w:t>
      </w:r>
      <w:r w:rsidRPr="00066AE5">
        <w:rPr>
          <w:b/>
          <w:bCs/>
        </w:rPr>
        <w:t>Salaried and Self-Employed</w:t>
      </w:r>
      <w:r w:rsidRPr="00066AE5">
        <w:t xml:space="preserve"> segments dominate in both </w:t>
      </w:r>
      <w:r w:rsidRPr="00066AE5">
        <w:rPr>
          <w:b/>
          <w:bCs/>
        </w:rPr>
        <w:t>Closed</w:t>
      </w:r>
      <w:r w:rsidRPr="00066AE5">
        <w:t xml:space="preserve"> and </w:t>
      </w:r>
      <w:r w:rsidRPr="00066AE5">
        <w:rPr>
          <w:b/>
          <w:bCs/>
        </w:rPr>
        <w:t>Active</w:t>
      </w:r>
      <w:r w:rsidRPr="00066AE5">
        <w:t xml:space="preserve"> loan statuses — implying that income stability drives approval and repayment success</w:t>
      </w:r>
    </w:p>
    <w:p w14:paraId="12873C43" w14:textId="0DFEE3FE" w:rsidR="002029CE" w:rsidRDefault="002029CE" w:rsidP="002029CE">
      <w:pPr>
        <w:tabs>
          <w:tab w:val="left" w:pos="2172"/>
        </w:tabs>
      </w:pPr>
    </w:p>
    <w:p w14:paraId="7BFF3130" w14:textId="77777777" w:rsidR="002029CE" w:rsidRDefault="002029CE" w:rsidP="002029CE">
      <w:pPr>
        <w:tabs>
          <w:tab w:val="left" w:pos="2172"/>
        </w:tabs>
      </w:pPr>
    </w:p>
    <w:p w14:paraId="5A94ED63" w14:textId="77777777" w:rsidR="002029CE" w:rsidRDefault="002029CE" w:rsidP="002029CE">
      <w:pPr>
        <w:tabs>
          <w:tab w:val="left" w:pos="2172"/>
        </w:tabs>
      </w:pPr>
    </w:p>
    <w:p w14:paraId="2109F816" w14:textId="025CF71C" w:rsidR="002029CE" w:rsidRDefault="002029CE" w:rsidP="002029CE">
      <w:pPr>
        <w:tabs>
          <w:tab w:val="left" w:pos="2172"/>
        </w:tabs>
      </w:pPr>
      <w:r>
        <w:lastRenderedPageBreak/>
        <w:t>3.</w:t>
      </w:r>
      <w:r w:rsidRPr="002029CE">
        <w:t xml:space="preserve"> </w:t>
      </w:r>
      <w:proofErr w:type="spellStart"/>
      <w:r w:rsidRPr="002029CE">
        <w:t>Credit_Score</w:t>
      </w:r>
      <w:proofErr w:type="spellEnd"/>
      <w:r w:rsidRPr="002029CE">
        <w:t xml:space="preserve">, </w:t>
      </w:r>
      <w:proofErr w:type="spellStart"/>
      <w:r w:rsidRPr="002029CE">
        <w:t>Interest_Rate</w:t>
      </w:r>
      <w:proofErr w:type="spellEnd"/>
      <w:r w:rsidRPr="002029CE">
        <w:t xml:space="preserve"> &amp; </w:t>
      </w:r>
      <w:proofErr w:type="spellStart"/>
      <w:r w:rsidRPr="002029CE">
        <w:t>Repayment_Status</w:t>
      </w:r>
      <w:proofErr w:type="spellEnd"/>
    </w:p>
    <w:p w14:paraId="3971A88A" w14:textId="77777777" w:rsidR="002029CE" w:rsidRDefault="002029CE" w:rsidP="002029CE">
      <w:pPr>
        <w:tabs>
          <w:tab w:val="left" w:pos="2172"/>
        </w:tabs>
      </w:pPr>
    </w:p>
    <w:p w14:paraId="4A3965F1" w14:textId="1624A375" w:rsidR="002029CE" w:rsidRDefault="002029CE" w:rsidP="002029CE">
      <w:pPr>
        <w:tabs>
          <w:tab w:val="left" w:pos="2172"/>
        </w:tabs>
      </w:pPr>
      <w:r w:rsidRPr="002029CE">
        <w:rPr>
          <w:noProof/>
        </w:rPr>
        <w:drawing>
          <wp:inline distT="0" distB="0" distL="0" distR="0" wp14:anchorId="169F802B" wp14:editId="0004C219">
            <wp:extent cx="5191850" cy="3905795"/>
            <wp:effectExtent l="0" t="0" r="8890" b="0"/>
            <wp:docPr id="4613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27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B631" w14:textId="77777777" w:rsidR="002029CE" w:rsidRDefault="002029CE" w:rsidP="002029CE">
      <w:pPr>
        <w:tabs>
          <w:tab w:val="left" w:pos="2172"/>
        </w:tabs>
      </w:pPr>
    </w:p>
    <w:p w14:paraId="2F3F82A4" w14:textId="7A6E4B24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t xml:space="preserve">The </w:t>
      </w:r>
      <w:r w:rsidRPr="00A965FA">
        <w:rPr>
          <w:b/>
          <w:bCs/>
        </w:rPr>
        <w:t>Credit Score</w:t>
      </w:r>
      <w:r w:rsidRPr="00A965FA">
        <w:t xml:space="preserve"> distribution is quite similar across all repayment statuses — Completed, Pending, and Deferred.</w:t>
      </w:r>
    </w:p>
    <w:p w14:paraId="32839489" w14:textId="437918EC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t xml:space="preserve">Borrowers with </w:t>
      </w:r>
      <w:r w:rsidRPr="00A965FA">
        <w:rPr>
          <w:b/>
          <w:bCs/>
        </w:rPr>
        <w:t>Completed loans</w:t>
      </w:r>
      <w:r w:rsidRPr="00A965FA">
        <w:t xml:space="preserve"> show a slightly higher median Credit Score, suggesting that customers with good credit tend to repay fully.</w:t>
      </w:r>
    </w:p>
    <w:p w14:paraId="7CE62621" w14:textId="12E82277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rPr>
          <w:b/>
          <w:bCs/>
        </w:rPr>
        <w:t>Pending and Deferred</w:t>
      </w:r>
      <w:r w:rsidRPr="00A965FA">
        <w:t xml:space="preserve"> groups have slightly wider spreads, indicating mixed borrower profiles and possibly delayed repayments.</w:t>
      </w:r>
    </w:p>
    <w:p w14:paraId="2451C271" w14:textId="75F893AE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rPr>
          <w:b/>
          <w:bCs/>
        </w:rPr>
        <w:t>Low-interest loans</w:t>
      </w:r>
      <w:r w:rsidRPr="00A965FA">
        <w:t xml:space="preserve"> (orange) and </w:t>
      </w:r>
      <w:r w:rsidRPr="00A965FA">
        <w:rPr>
          <w:b/>
          <w:bCs/>
        </w:rPr>
        <w:t>medium-interest loans</w:t>
      </w:r>
      <w:r w:rsidRPr="00A965FA">
        <w:t xml:space="preserve"> (blue) have almost identical median scores, suggesting fair risk-based pricing.</w:t>
      </w:r>
    </w:p>
    <w:p w14:paraId="6F9D25AA" w14:textId="143D1E52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rPr>
          <w:b/>
          <w:bCs/>
        </w:rPr>
        <w:t>High-interest loans</w:t>
      </w:r>
      <w:r w:rsidRPr="00A965FA">
        <w:t xml:space="preserve"> (green) tend to appear more among borrowers with lower credit scores, consistent with lending risk strategies.</w:t>
      </w:r>
    </w:p>
    <w:p w14:paraId="7ABAE8EF" w14:textId="6E2C7D67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t>The overall range (≈300–850) covers almost the entire credit spectrum, showing a diverse customer base.</w:t>
      </w:r>
    </w:p>
    <w:p w14:paraId="6F871487" w14:textId="29DAA17A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t>There are few extreme outliers, indicating stable and controlled loan approval practices.</w:t>
      </w:r>
    </w:p>
    <w:p w14:paraId="2C2B7B0D" w14:textId="78F7E089" w:rsidR="00A965FA" w:rsidRPr="00A965FA" w:rsidRDefault="00A965FA" w:rsidP="00A965FA">
      <w:pPr>
        <w:pStyle w:val="ListParagraph"/>
        <w:numPr>
          <w:ilvl w:val="0"/>
          <w:numId w:val="9"/>
        </w:numPr>
        <w:tabs>
          <w:tab w:val="left" w:pos="2172"/>
        </w:tabs>
      </w:pPr>
      <w:r w:rsidRPr="00A965FA">
        <w:t xml:space="preserve">The clear overlap between interest levels shows that </w:t>
      </w:r>
      <w:r w:rsidRPr="00A965FA">
        <w:rPr>
          <w:b/>
          <w:bCs/>
        </w:rPr>
        <w:t>interest rate alone</w:t>
      </w:r>
      <w:r w:rsidRPr="00A965FA">
        <w:t xml:space="preserve"> may not perfectly predict repayment behavior — other factors (like income or loan type) might also influence it</w:t>
      </w:r>
    </w:p>
    <w:p w14:paraId="6F4D4E77" w14:textId="77777777" w:rsidR="002029CE" w:rsidRDefault="002029CE" w:rsidP="002029CE">
      <w:pPr>
        <w:tabs>
          <w:tab w:val="left" w:pos="2172"/>
        </w:tabs>
      </w:pPr>
    </w:p>
    <w:p w14:paraId="31599185" w14:textId="77777777" w:rsidR="002029CE" w:rsidRDefault="002029CE" w:rsidP="002029CE">
      <w:pPr>
        <w:tabs>
          <w:tab w:val="left" w:pos="2172"/>
        </w:tabs>
      </w:pPr>
    </w:p>
    <w:p w14:paraId="40950B46" w14:textId="77777777" w:rsidR="002029CE" w:rsidRDefault="002029CE" w:rsidP="002029CE">
      <w:pPr>
        <w:tabs>
          <w:tab w:val="left" w:pos="2172"/>
        </w:tabs>
      </w:pPr>
    </w:p>
    <w:p w14:paraId="5CD42469" w14:textId="1A74BBED" w:rsidR="002029CE" w:rsidRDefault="002029CE" w:rsidP="002029CE">
      <w:pPr>
        <w:tabs>
          <w:tab w:val="left" w:pos="2172"/>
        </w:tabs>
      </w:pPr>
      <w:r>
        <w:lastRenderedPageBreak/>
        <w:t>4.</w:t>
      </w:r>
      <w:r w:rsidRPr="002029CE">
        <w:t xml:space="preserve"> Which State and Bank Branch combinations have the highest interest rate?</w:t>
      </w:r>
    </w:p>
    <w:p w14:paraId="20DF1507" w14:textId="77777777" w:rsidR="002029CE" w:rsidRDefault="002029CE" w:rsidP="002029CE">
      <w:pPr>
        <w:tabs>
          <w:tab w:val="left" w:pos="2172"/>
        </w:tabs>
      </w:pPr>
    </w:p>
    <w:p w14:paraId="289912F2" w14:textId="2DB9E332" w:rsidR="002029CE" w:rsidRDefault="002029CE" w:rsidP="002029CE">
      <w:pPr>
        <w:tabs>
          <w:tab w:val="left" w:pos="2172"/>
        </w:tabs>
      </w:pPr>
      <w:r w:rsidRPr="002029CE">
        <w:rPr>
          <w:noProof/>
        </w:rPr>
        <w:drawing>
          <wp:inline distT="0" distB="0" distL="0" distR="0" wp14:anchorId="4F4DD0CD" wp14:editId="17F40494">
            <wp:extent cx="6858000" cy="3466465"/>
            <wp:effectExtent l="0" t="0" r="0" b="635"/>
            <wp:docPr id="15023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6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8504" w14:textId="77777777" w:rsidR="002029CE" w:rsidRDefault="002029CE" w:rsidP="002029CE">
      <w:pPr>
        <w:tabs>
          <w:tab w:val="left" w:pos="2172"/>
        </w:tabs>
      </w:pPr>
    </w:p>
    <w:p w14:paraId="507FEBBA" w14:textId="77777777" w:rsidR="002029CE" w:rsidRDefault="002029CE" w:rsidP="002029CE">
      <w:pPr>
        <w:tabs>
          <w:tab w:val="left" w:pos="2172"/>
        </w:tabs>
      </w:pPr>
    </w:p>
    <w:p w14:paraId="00FB46E9" w14:textId="77777777" w:rsidR="002029CE" w:rsidRDefault="002029CE" w:rsidP="002029CE">
      <w:pPr>
        <w:tabs>
          <w:tab w:val="left" w:pos="2172"/>
        </w:tabs>
      </w:pPr>
    </w:p>
    <w:p w14:paraId="10989E1E" w14:textId="77777777" w:rsidR="002029CE" w:rsidRDefault="002029CE" w:rsidP="002029CE">
      <w:pPr>
        <w:tabs>
          <w:tab w:val="left" w:pos="2172"/>
        </w:tabs>
      </w:pPr>
    </w:p>
    <w:p w14:paraId="1434ED11" w14:textId="77777777" w:rsidR="002029CE" w:rsidRDefault="002029CE" w:rsidP="002029CE">
      <w:pPr>
        <w:tabs>
          <w:tab w:val="left" w:pos="2172"/>
        </w:tabs>
      </w:pPr>
    </w:p>
    <w:p w14:paraId="78F7F4A9" w14:textId="77777777" w:rsidR="002029CE" w:rsidRDefault="002029CE" w:rsidP="002029CE">
      <w:pPr>
        <w:tabs>
          <w:tab w:val="left" w:pos="2172"/>
        </w:tabs>
      </w:pPr>
    </w:p>
    <w:p w14:paraId="3E347A54" w14:textId="77777777" w:rsidR="002029CE" w:rsidRDefault="002029CE" w:rsidP="002029CE">
      <w:pPr>
        <w:tabs>
          <w:tab w:val="left" w:pos="2172"/>
        </w:tabs>
      </w:pPr>
    </w:p>
    <w:p w14:paraId="5638037A" w14:textId="77777777" w:rsidR="002029CE" w:rsidRDefault="002029CE" w:rsidP="002029CE">
      <w:pPr>
        <w:tabs>
          <w:tab w:val="left" w:pos="2172"/>
        </w:tabs>
      </w:pPr>
    </w:p>
    <w:p w14:paraId="615440E3" w14:textId="77777777" w:rsidR="002029CE" w:rsidRDefault="002029CE" w:rsidP="002029CE">
      <w:pPr>
        <w:tabs>
          <w:tab w:val="left" w:pos="2172"/>
        </w:tabs>
      </w:pPr>
    </w:p>
    <w:p w14:paraId="5192C450" w14:textId="77777777" w:rsidR="002029CE" w:rsidRDefault="002029CE" w:rsidP="002029CE">
      <w:pPr>
        <w:tabs>
          <w:tab w:val="left" w:pos="2172"/>
        </w:tabs>
      </w:pPr>
    </w:p>
    <w:p w14:paraId="47E2FAD4" w14:textId="77777777" w:rsidR="002029CE" w:rsidRDefault="002029CE" w:rsidP="002029CE">
      <w:pPr>
        <w:tabs>
          <w:tab w:val="left" w:pos="2172"/>
        </w:tabs>
      </w:pPr>
    </w:p>
    <w:p w14:paraId="24180DCD" w14:textId="77777777" w:rsidR="002029CE" w:rsidRDefault="002029CE" w:rsidP="002029CE">
      <w:pPr>
        <w:tabs>
          <w:tab w:val="left" w:pos="2172"/>
        </w:tabs>
      </w:pPr>
    </w:p>
    <w:p w14:paraId="3A11B065" w14:textId="77777777" w:rsidR="002029CE" w:rsidRDefault="002029CE" w:rsidP="002029CE">
      <w:pPr>
        <w:tabs>
          <w:tab w:val="left" w:pos="2172"/>
        </w:tabs>
      </w:pPr>
    </w:p>
    <w:p w14:paraId="113F3DD3" w14:textId="77777777" w:rsidR="002029CE" w:rsidRDefault="002029CE" w:rsidP="002029CE">
      <w:pPr>
        <w:tabs>
          <w:tab w:val="left" w:pos="2172"/>
        </w:tabs>
      </w:pPr>
    </w:p>
    <w:p w14:paraId="4D606324" w14:textId="77777777" w:rsidR="002029CE" w:rsidRDefault="002029CE" w:rsidP="002029CE">
      <w:pPr>
        <w:tabs>
          <w:tab w:val="left" w:pos="2172"/>
        </w:tabs>
      </w:pPr>
    </w:p>
    <w:p w14:paraId="6D590393" w14:textId="6B641863" w:rsidR="002029CE" w:rsidRDefault="002029CE" w:rsidP="002029CE">
      <w:pPr>
        <w:tabs>
          <w:tab w:val="left" w:pos="2172"/>
        </w:tabs>
      </w:pPr>
      <w:r>
        <w:lastRenderedPageBreak/>
        <w:t>5.</w:t>
      </w:r>
      <w:r w:rsidRPr="002029CE">
        <w:t>Which State and Bank Branch combinations have the best Loan Approval Rate?</w:t>
      </w:r>
    </w:p>
    <w:p w14:paraId="34C17F43" w14:textId="77777777" w:rsidR="002029CE" w:rsidRDefault="002029CE" w:rsidP="002029CE">
      <w:pPr>
        <w:tabs>
          <w:tab w:val="left" w:pos="2172"/>
        </w:tabs>
      </w:pPr>
    </w:p>
    <w:p w14:paraId="610034F7" w14:textId="6587AC13" w:rsidR="002029CE" w:rsidRDefault="002029CE" w:rsidP="002029CE">
      <w:pPr>
        <w:tabs>
          <w:tab w:val="left" w:pos="2172"/>
        </w:tabs>
      </w:pPr>
      <w:r w:rsidRPr="002029CE">
        <w:rPr>
          <w:noProof/>
        </w:rPr>
        <w:drawing>
          <wp:inline distT="0" distB="0" distL="0" distR="0" wp14:anchorId="20E1308B" wp14:editId="6728728C">
            <wp:extent cx="6858000" cy="3507740"/>
            <wp:effectExtent l="0" t="0" r="0" b="0"/>
            <wp:docPr id="117852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21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283" w14:textId="77777777" w:rsidR="002029CE" w:rsidRDefault="002029CE" w:rsidP="002029CE">
      <w:pPr>
        <w:tabs>
          <w:tab w:val="left" w:pos="2172"/>
        </w:tabs>
      </w:pPr>
    </w:p>
    <w:p w14:paraId="049758C3" w14:textId="096B48CA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rPr>
          <w:b/>
          <w:bCs/>
        </w:rPr>
        <w:t>Uttar Pradesh (Delhi Branch)</w:t>
      </w:r>
      <w:r w:rsidRPr="002029CE">
        <w:t xml:space="preserve"> leads with the </w:t>
      </w:r>
      <w:r w:rsidRPr="002029CE">
        <w:rPr>
          <w:b/>
          <w:bCs/>
        </w:rPr>
        <w:t>highest loan approval rate of 67.64%</w:t>
      </w:r>
      <w:r w:rsidRPr="002029CE">
        <w:t>, showing strong loan acceptance in this region.</w:t>
      </w:r>
    </w:p>
    <w:p w14:paraId="3D34EE0F" w14:textId="5F6C3C0E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rPr>
          <w:b/>
          <w:bCs/>
        </w:rPr>
        <w:t>Maharashtra (Mumbai Branch)</w:t>
      </w:r>
      <w:r w:rsidRPr="002029CE">
        <w:t xml:space="preserve"> follows closely at </w:t>
      </w:r>
      <w:r w:rsidRPr="002029CE">
        <w:rPr>
          <w:b/>
          <w:bCs/>
        </w:rPr>
        <w:t>67.42%</w:t>
      </w:r>
      <w:r w:rsidRPr="002029CE">
        <w:t>, suggesting that metropolitan branches have efficient loan approval processes.</w:t>
      </w:r>
    </w:p>
    <w:p w14:paraId="329D7849" w14:textId="360955CF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rPr>
          <w:b/>
          <w:bCs/>
        </w:rPr>
        <w:t>Andhra Pradesh and Uttar Pradesh branches located in Mumbai</w:t>
      </w:r>
      <w:r w:rsidRPr="002029CE">
        <w:t xml:space="preserve"> also appear multiple times, indicating that </w:t>
      </w:r>
      <w:r w:rsidRPr="002029CE">
        <w:rPr>
          <w:b/>
          <w:bCs/>
        </w:rPr>
        <w:t>cross-state loan servicing</w:t>
      </w:r>
      <w:r w:rsidRPr="002029CE">
        <w:t xml:space="preserve"> is common in larger cities.</w:t>
      </w:r>
    </w:p>
    <w:p w14:paraId="5E1C6342" w14:textId="0DFA68BF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t xml:space="preserve">The </w:t>
      </w:r>
      <w:r w:rsidRPr="002029CE">
        <w:rPr>
          <w:b/>
          <w:bCs/>
        </w:rPr>
        <w:t>Mumbai and Delhi branches</w:t>
      </w:r>
      <w:r w:rsidRPr="002029CE">
        <w:t xml:space="preserve"> dominate the top positions, highlighting them as </w:t>
      </w:r>
      <w:r w:rsidRPr="002029CE">
        <w:rPr>
          <w:b/>
          <w:bCs/>
        </w:rPr>
        <w:t>key financial hubs</w:t>
      </w:r>
      <w:r w:rsidRPr="002029CE">
        <w:t xml:space="preserve"> for loan approvals.</w:t>
      </w:r>
    </w:p>
    <w:p w14:paraId="0218B38C" w14:textId="22E5202C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rPr>
          <w:b/>
          <w:bCs/>
        </w:rPr>
        <w:t>Kolkata Branch</w:t>
      </w:r>
      <w:r w:rsidRPr="002029CE">
        <w:t xml:space="preserve"> serves multiple states (Andhra Pradesh, Rajasthan, Uttar Pradesh, West Bengal) with approval rates around </w:t>
      </w:r>
      <w:r w:rsidRPr="002029CE">
        <w:rPr>
          <w:b/>
          <w:bCs/>
        </w:rPr>
        <w:t>67%</w:t>
      </w:r>
      <w:r w:rsidRPr="002029CE">
        <w:t xml:space="preserve">, suggesting </w:t>
      </w:r>
      <w:r w:rsidRPr="002029CE">
        <w:rPr>
          <w:b/>
          <w:bCs/>
        </w:rPr>
        <w:t>consistent performance</w:t>
      </w:r>
      <w:r w:rsidRPr="002029CE">
        <w:t xml:space="preserve"> across diverse regions.</w:t>
      </w:r>
    </w:p>
    <w:p w14:paraId="08ACA9CD" w14:textId="4387BBD1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t xml:space="preserve">The narrow range between top approval rates (≈66.9%–67.6%) implies a </w:t>
      </w:r>
      <w:r w:rsidRPr="002029CE">
        <w:rPr>
          <w:b/>
          <w:bCs/>
        </w:rPr>
        <w:t>stable and uniform approval policy</w:t>
      </w:r>
      <w:r w:rsidRPr="002029CE">
        <w:t xml:space="preserve"> across leading branches.</w:t>
      </w:r>
    </w:p>
    <w:p w14:paraId="62FAC9D5" w14:textId="2BE2961E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rPr>
          <w:b/>
          <w:bCs/>
        </w:rPr>
        <w:t>West Bengal’s branches (Kolkata &amp; Bangalore)</w:t>
      </w:r>
      <w:r w:rsidRPr="002029CE">
        <w:t xml:space="preserve"> also perform well, showing </w:t>
      </w:r>
      <w:r w:rsidRPr="002029CE">
        <w:rPr>
          <w:b/>
          <w:bCs/>
        </w:rPr>
        <w:t>expanding loan operations</w:t>
      </w:r>
      <w:r w:rsidRPr="002029CE">
        <w:t xml:space="preserve"> beyond traditional zones.</w:t>
      </w:r>
    </w:p>
    <w:p w14:paraId="4A1DCF3A" w14:textId="02142278" w:rsidR="002029CE" w:rsidRPr="002029CE" w:rsidRDefault="002029CE" w:rsidP="002029CE">
      <w:pPr>
        <w:pStyle w:val="ListParagraph"/>
        <w:numPr>
          <w:ilvl w:val="0"/>
          <w:numId w:val="1"/>
        </w:numPr>
        <w:tabs>
          <w:tab w:val="left" w:pos="2172"/>
        </w:tabs>
        <w:spacing w:after="0"/>
      </w:pPr>
      <w:r w:rsidRPr="002029CE">
        <w:t xml:space="preserve">Overall, </w:t>
      </w:r>
      <w:r w:rsidRPr="002029CE">
        <w:rPr>
          <w:b/>
          <w:bCs/>
        </w:rPr>
        <w:t>major urban branches</w:t>
      </w:r>
      <w:r w:rsidRPr="002029CE">
        <w:t xml:space="preserve"> (Delhi, Mumbai, Kolkata, Bangalore) are the </w:t>
      </w:r>
      <w:r w:rsidRPr="002029CE">
        <w:rPr>
          <w:b/>
          <w:bCs/>
        </w:rPr>
        <w:t>core contributors</w:t>
      </w:r>
      <w:r w:rsidRPr="002029CE">
        <w:t xml:space="preserve"> to high loan approval rates, reflecting stronger customer verification, better documentation, and higher financial literacy levels in metropolitan regions.</w:t>
      </w:r>
    </w:p>
    <w:p w14:paraId="262CE304" w14:textId="77777777" w:rsidR="002029CE" w:rsidRDefault="002029CE" w:rsidP="002029CE">
      <w:pPr>
        <w:tabs>
          <w:tab w:val="left" w:pos="2172"/>
        </w:tabs>
      </w:pPr>
    </w:p>
    <w:p w14:paraId="36EA09DB" w14:textId="77777777" w:rsidR="00056CBA" w:rsidRDefault="00056CBA" w:rsidP="002029CE">
      <w:pPr>
        <w:tabs>
          <w:tab w:val="left" w:pos="2172"/>
        </w:tabs>
      </w:pPr>
    </w:p>
    <w:p w14:paraId="5F3EED71" w14:textId="77777777" w:rsidR="00056CBA" w:rsidRDefault="00056CBA" w:rsidP="002029CE">
      <w:pPr>
        <w:tabs>
          <w:tab w:val="left" w:pos="2172"/>
        </w:tabs>
      </w:pPr>
    </w:p>
    <w:p w14:paraId="369DEE8D" w14:textId="130331DE" w:rsidR="00056CBA" w:rsidRDefault="00056CBA" w:rsidP="002029CE">
      <w:pPr>
        <w:tabs>
          <w:tab w:val="left" w:pos="2172"/>
        </w:tabs>
      </w:pPr>
      <w:r>
        <w:lastRenderedPageBreak/>
        <w:t>6.</w:t>
      </w:r>
      <w:r w:rsidRPr="00056CBA">
        <w:t xml:space="preserve">Which </w:t>
      </w:r>
      <w:proofErr w:type="spellStart"/>
      <w:r w:rsidR="00066AE5">
        <w:t>Loan_Type</w:t>
      </w:r>
      <w:proofErr w:type="spellEnd"/>
      <w:r w:rsidRPr="00056CBA">
        <w:t xml:space="preserve"> and </w:t>
      </w:r>
      <w:r w:rsidR="00066AE5">
        <w:t>Occupation</w:t>
      </w:r>
      <w:r w:rsidRPr="00056CBA">
        <w:t xml:space="preserve"> combination has the maximum number of customers?”</w:t>
      </w:r>
    </w:p>
    <w:p w14:paraId="6A4F9DDB" w14:textId="079C0609" w:rsidR="00056CBA" w:rsidRDefault="00056CBA" w:rsidP="00056CBA">
      <w:r w:rsidRPr="00056CBA">
        <w:rPr>
          <w:noProof/>
        </w:rPr>
        <w:drawing>
          <wp:inline distT="0" distB="0" distL="0" distR="0" wp14:anchorId="07A03222" wp14:editId="7EB88D96">
            <wp:extent cx="6858000" cy="3552190"/>
            <wp:effectExtent l="0" t="0" r="0" b="0"/>
            <wp:docPr id="48522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25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D0A2" w14:textId="77777777" w:rsidR="00056CBA" w:rsidRDefault="00056CBA" w:rsidP="00056CBA"/>
    <w:p w14:paraId="76544D1D" w14:textId="2EDD8E9B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rPr>
          <w:b/>
          <w:bCs/>
        </w:rPr>
        <w:t>Home Loans (Salaried &amp; Students)</w:t>
      </w:r>
      <w:r w:rsidRPr="00056CBA">
        <w:t xml:space="preserve"> have the </w:t>
      </w:r>
      <w:r w:rsidRPr="00056CBA">
        <w:rPr>
          <w:b/>
          <w:bCs/>
        </w:rPr>
        <w:t>highest customer counts</w:t>
      </w:r>
      <w:r w:rsidRPr="00056CBA">
        <w:t>, showing strong demand from both working individuals and young borrowers.</w:t>
      </w:r>
    </w:p>
    <w:p w14:paraId="1B1F47ED" w14:textId="571845FD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rPr>
          <w:b/>
          <w:bCs/>
        </w:rPr>
        <w:t>Car Loans</w:t>
      </w:r>
      <w:r w:rsidRPr="00056CBA">
        <w:t xml:space="preserve"> are popular among </w:t>
      </w:r>
      <w:r w:rsidRPr="00056CBA">
        <w:rPr>
          <w:b/>
          <w:bCs/>
        </w:rPr>
        <w:t>unemployed, self-employed, and student</w:t>
      </w:r>
      <w:r w:rsidRPr="00056CBA">
        <w:t xml:space="preserve"> segments, suggesting flexible eligibility criteria or small-ticket lending.</w:t>
      </w:r>
    </w:p>
    <w:p w14:paraId="1A170247" w14:textId="283534BB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rPr>
          <w:b/>
          <w:bCs/>
        </w:rPr>
        <w:t>Personal Loans (Retired)</w:t>
      </w:r>
      <w:r w:rsidRPr="00056CBA">
        <w:t xml:space="preserve"> appearing in the top list indicates banks are targeting older customers with pension or fixed-income backgrounds.</w:t>
      </w:r>
    </w:p>
    <w:p w14:paraId="7FBF1397" w14:textId="02B77930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t xml:space="preserve">The </w:t>
      </w:r>
      <w:r w:rsidRPr="00056CBA">
        <w:rPr>
          <w:b/>
          <w:bCs/>
        </w:rPr>
        <w:t>difference in customer counts</w:t>
      </w:r>
      <w:r w:rsidRPr="00056CBA">
        <w:t xml:space="preserve"> among top combinations is small (~100 customers), showing a </w:t>
      </w:r>
      <w:r w:rsidRPr="00056CBA">
        <w:rPr>
          <w:b/>
          <w:bCs/>
        </w:rPr>
        <w:t>balanced loan distribution</w:t>
      </w:r>
      <w:r w:rsidRPr="00056CBA">
        <w:t xml:space="preserve"> across categories.</w:t>
      </w:r>
    </w:p>
    <w:p w14:paraId="605F71BA" w14:textId="58601ABE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rPr>
          <w:b/>
          <w:bCs/>
        </w:rPr>
        <w:t>Education and Car Loans</w:t>
      </w:r>
      <w:r w:rsidRPr="00056CBA">
        <w:t xml:space="preserve"> are popular among </w:t>
      </w:r>
      <w:r w:rsidRPr="00056CBA">
        <w:rPr>
          <w:b/>
          <w:bCs/>
        </w:rPr>
        <w:t>students and self-employed individuals</w:t>
      </w:r>
      <w:r w:rsidRPr="00056CBA">
        <w:t>, reflecting investment in mobility and education.</w:t>
      </w:r>
    </w:p>
    <w:p w14:paraId="489ADFBC" w14:textId="63348D9F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t xml:space="preserve">The presence of </w:t>
      </w:r>
      <w:r w:rsidRPr="00056CBA">
        <w:rPr>
          <w:b/>
          <w:bCs/>
        </w:rPr>
        <w:t>retired customers in multiple loan types</w:t>
      </w:r>
      <w:r w:rsidRPr="00056CBA">
        <w:t xml:space="preserve"> indicates continued engagement with banking products even post-retirement.</w:t>
      </w:r>
    </w:p>
    <w:p w14:paraId="7886101A" w14:textId="1F69437A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rPr>
          <w:b/>
          <w:bCs/>
        </w:rPr>
        <w:t>Home and Car Loans dominate</w:t>
      </w:r>
      <w:r w:rsidRPr="00056CBA">
        <w:t xml:space="preserve"> the list, together covering over 60% of top loan–occupation combinations.</w:t>
      </w:r>
    </w:p>
    <w:p w14:paraId="4A24A95C" w14:textId="7142A91A" w:rsidR="00056CBA" w:rsidRPr="00056CBA" w:rsidRDefault="00056CBA" w:rsidP="00056CBA">
      <w:pPr>
        <w:pStyle w:val="ListParagraph"/>
        <w:numPr>
          <w:ilvl w:val="1"/>
          <w:numId w:val="4"/>
        </w:numPr>
        <w:spacing w:after="0"/>
      </w:pPr>
      <w:r w:rsidRPr="00056CBA">
        <w:t xml:space="preserve">The data reflects </w:t>
      </w:r>
      <w:r w:rsidRPr="00056CBA">
        <w:rPr>
          <w:b/>
          <w:bCs/>
        </w:rPr>
        <w:t>diversified customer outreach</w:t>
      </w:r>
      <w:r w:rsidRPr="00056CBA">
        <w:t>, where banks are serving a wide variety of occupations and loan needs</w:t>
      </w:r>
    </w:p>
    <w:p w14:paraId="73B397B1" w14:textId="77777777" w:rsidR="00056CBA" w:rsidRDefault="00056CBA" w:rsidP="00056CBA"/>
    <w:p w14:paraId="27719338" w14:textId="77777777" w:rsidR="00B74DC2" w:rsidRDefault="00B74DC2" w:rsidP="00056CBA"/>
    <w:p w14:paraId="15E40292" w14:textId="77777777" w:rsidR="00B74DC2" w:rsidRDefault="00B74DC2" w:rsidP="00056CBA"/>
    <w:p w14:paraId="1DC8BCE0" w14:textId="77777777" w:rsidR="00B74DC2" w:rsidRDefault="00B74DC2" w:rsidP="00056CBA"/>
    <w:p w14:paraId="06C4DC12" w14:textId="151D727F" w:rsidR="00B74DC2" w:rsidRPr="00B74DC2" w:rsidRDefault="00B74DC2" w:rsidP="00056CBA">
      <w:pPr>
        <w:rPr>
          <w:b/>
          <w:bCs/>
        </w:rPr>
      </w:pPr>
      <w:r>
        <w:lastRenderedPageBreak/>
        <w:t>7.</w:t>
      </w:r>
      <w:r w:rsidRPr="00B74DC2">
        <w:t xml:space="preserve"> How do Gender and Occupation together affect Loan Status?</w:t>
      </w:r>
    </w:p>
    <w:p w14:paraId="06B3E984" w14:textId="5FDEB8AC" w:rsidR="00B74DC2" w:rsidRDefault="00B74DC2" w:rsidP="00056CBA">
      <w:r w:rsidRPr="00B74DC2">
        <w:rPr>
          <w:noProof/>
        </w:rPr>
        <w:drawing>
          <wp:inline distT="0" distB="0" distL="0" distR="0" wp14:anchorId="7E5F99AA" wp14:editId="6DD93441">
            <wp:extent cx="6331891" cy="3009900"/>
            <wp:effectExtent l="0" t="0" r="0" b="0"/>
            <wp:docPr id="6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D630C8A2-AC3E-943E-0584-0B7FBA6D46B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D630C8A2-AC3E-943E-0584-0B7FBA6D46B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8161" cy="30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05D3" w14:textId="77777777" w:rsidR="00B74DC2" w:rsidRDefault="00B74DC2" w:rsidP="00B74DC2">
      <w:pPr>
        <w:spacing w:after="0"/>
      </w:pPr>
    </w:p>
    <w:p w14:paraId="2004AAF5" w14:textId="5CE69AA2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Objective:</w:t>
      </w:r>
    </w:p>
    <w:p w14:paraId="046A8E6A" w14:textId="114FFE65" w:rsidR="00B74DC2" w:rsidRDefault="00B74DC2" w:rsidP="00B74DC2">
      <w:pPr>
        <w:pStyle w:val="ListParagraph"/>
        <w:numPr>
          <w:ilvl w:val="1"/>
          <w:numId w:val="13"/>
        </w:numPr>
        <w:spacing w:after="0"/>
      </w:pPr>
      <w:r>
        <w:t>The heatmap illustrates the relationship between occupation, gender, and loan status, providing insights into customer behavior across segments.</w:t>
      </w:r>
    </w:p>
    <w:p w14:paraId="06E635CE" w14:textId="2D786CDD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Structure:</w:t>
      </w:r>
    </w:p>
    <w:p w14:paraId="0BCA0217" w14:textId="44DF10C7" w:rsidR="00B74DC2" w:rsidRDefault="00B74DC2" w:rsidP="00B74DC2">
      <w:pPr>
        <w:pStyle w:val="ListParagraph"/>
        <w:numPr>
          <w:ilvl w:val="1"/>
          <w:numId w:val="13"/>
        </w:numPr>
        <w:spacing w:after="0"/>
      </w:pPr>
      <w:r>
        <w:t>The Y-axis represents various occupations, while the X-axis displays loan status categorized by gender.</w:t>
      </w:r>
    </w:p>
    <w:p w14:paraId="5FBED0C5" w14:textId="1A7F57DA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Color Representation:</w:t>
      </w:r>
    </w:p>
    <w:p w14:paraId="365BFA0C" w14:textId="77777777" w:rsidR="00B74DC2" w:rsidRDefault="00B74DC2" w:rsidP="00B74DC2">
      <w:pPr>
        <w:pStyle w:val="ListParagraph"/>
        <w:numPr>
          <w:ilvl w:val="1"/>
          <w:numId w:val="13"/>
        </w:numPr>
        <w:spacing w:after="0"/>
      </w:pPr>
      <w:r>
        <w:t>The darker shades indicate a higher number of customers within a particular combination of occupation, gender, and loan status.</w:t>
      </w:r>
    </w:p>
    <w:p w14:paraId="400EA56D" w14:textId="69409773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Overall Trend:</w:t>
      </w:r>
    </w:p>
    <w:p w14:paraId="1BF1C89C" w14:textId="53D543CB" w:rsidR="00B74DC2" w:rsidRDefault="00B74DC2" w:rsidP="00B74DC2">
      <w:pPr>
        <w:pStyle w:val="ListParagraph"/>
        <w:numPr>
          <w:ilvl w:val="1"/>
          <w:numId w:val="13"/>
        </w:numPr>
        <w:spacing w:after="0"/>
      </w:pPr>
      <w:r>
        <w:t>Male customers with closed loans show the highest frequency, highlighting stronger repayment activity.</w:t>
      </w:r>
    </w:p>
    <w:p w14:paraId="25A9C30B" w14:textId="6F940744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Gender Insights:</w:t>
      </w:r>
    </w:p>
    <w:p w14:paraId="383A6B13" w14:textId="2ABD0572" w:rsidR="00B74DC2" w:rsidRDefault="00B74DC2" w:rsidP="00B74DC2">
      <w:pPr>
        <w:pStyle w:val="ListParagraph"/>
        <w:numPr>
          <w:ilvl w:val="1"/>
          <w:numId w:val="13"/>
        </w:numPr>
        <w:spacing w:after="0"/>
      </w:pPr>
      <w:r>
        <w:t>Across most occupations, male borrowers tend to close more loans than female borrowers, indicating potential gender-based behavioral patterns.</w:t>
      </w:r>
    </w:p>
    <w:p w14:paraId="342A799E" w14:textId="5F0025A1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Occupation Insights:</w:t>
      </w:r>
    </w:p>
    <w:p w14:paraId="7E7BA304" w14:textId="4F11F22F" w:rsidR="00B74DC2" w:rsidRDefault="00B74DC2" w:rsidP="00B74DC2">
      <w:pPr>
        <w:pStyle w:val="ListParagraph"/>
        <w:numPr>
          <w:ilvl w:val="1"/>
          <w:numId w:val="13"/>
        </w:numPr>
        <w:spacing w:after="0"/>
      </w:pPr>
      <w:r>
        <w:t>Salaried and self-employed customers have higher counts of active and closed loans, suggesting better financial stability and engagement with banking services.</w:t>
      </w:r>
    </w:p>
    <w:p w14:paraId="6829D825" w14:textId="36471D49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Notable Observation:</w:t>
      </w:r>
    </w:p>
    <w:p w14:paraId="1C8F4D0D" w14:textId="23B08854" w:rsidR="00B74DC2" w:rsidRDefault="00B74DC2" w:rsidP="00B74DC2">
      <w:pPr>
        <w:pStyle w:val="ListParagraph"/>
        <w:spacing w:after="0"/>
      </w:pPr>
      <w:r>
        <w:t>The Retired–Male–Closed Loan group shows the highest concentration (≈5258), suggesting strong                              repayment discipline among retired male customers.</w:t>
      </w:r>
    </w:p>
    <w:p w14:paraId="408BB0F5" w14:textId="5F7F9A9A" w:rsidR="00B74DC2" w:rsidRDefault="00B74DC2" w:rsidP="00B74DC2">
      <w:pPr>
        <w:pStyle w:val="ListParagraph"/>
        <w:numPr>
          <w:ilvl w:val="0"/>
          <w:numId w:val="13"/>
        </w:numPr>
        <w:spacing w:after="0"/>
      </w:pPr>
      <w:r>
        <w:t>Business Implication:</w:t>
      </w:r>
    </w:p>
    <w:p w14:paraId="3FABF100" w14:textId="4A107A8C" w:rsidR="00B74DC2" w:rsidRPr="00056CBA" w:rsidRDefault="00B74DC2" w:rsidP="00B74DC2">
      <w:pPr>
        <w:pStyle w:val="ListParagraph"/>
        <w:numPr>
          <w:ilvl w:val="1"/>
          <w:numId w:val="13"/>
        </w:numPr>
        <w:spacing w:after="0"/>
      </w:pPr>
      <w:r>
        <w:t>Banks can target salaried and self-employed segments for loan expansion while developing supportive schemes for students and unemployed customers to enhance inclusion.</w:t>
      </w:r>
    </w:p>
    <w:sectPr w:rsidR="00B74DC2" w:rsidRPr="00056CBA" w:rsidSect="00A91D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048"/>
    <w:multiLevelType w:val="hybridMultilevel"/>
    <w:tmpl w:val="0BFC2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866547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31C19"/>
    <w:multiLevelType w:val="hybridMultilevel"/>
    <w:tmpl w:val="E5C8BFD6"/>
    <w:lvl w:ilvl="0" w:tplc="3A24F55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831CE"/>
    <w:multiLevelType w:val="hybridMultilevel"/>
    <w:tmpl w:val="53380F96"/>
    <w:lvl w:ilvl="0" w:tplc="A7A0280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31B79"/>
    <w:multiLevelType w:val="hybridMultilevel"/>
    <w:tmpl w:val="525CF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62D47"/>
    <w:multiLevelType w:val="hybridMultilevel"/>
    <w:tmpl w:val="66E4A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63B59"/>
    <w:multiLevelType w:val="hybridMultilevel"/>
    <w:tmpl w:val="2898B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A245B"/>
    <w:multiLevelType w:val="hybridMultilevel"/>
    <w:tmpl w:val="3EBC3684"/>
    <w:lvl w:ilvl="0" w:tplc="3E26CC0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37E18"/>
    <w:multiLevelType w:val="hybridMultilevel"/>
    <w:tmpl w:val="53EC0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547E3"/>
    <w:multiLevelType w:val="hybridMultilevel"/>
    <w:tmpl w:val="324C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04FEA"/>
    <w:multiLevelType w:val="hybridMultilevel"/>
    <w:tmpl w:val="1D549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D4288"/>
    <w:multiLevelType w:val="hybridMultilevel"/>
    <w:tmpl w:val="E862BC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53342"/>
    <w:multiLevelType w:val="hybridMultilevel"/>
    <w:tmpl w:val="718A5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21EBD"/>
    <w:multiLevelType w:val="hybridMultilevel"/>
    <w:tmpl w:val="392CB40A"/>
    <w:lvl w:ilvl="0" w:tplc="AFB65FB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177741">
    <w:abstractNumId w:val="0"/>
  </w:num>
  <w:num w:numId="2" w16cid:durableId="1031765629">
    <w:abstractNumId w:val="12"/>
  </w:num>
  <w:num w:numId="3" w16cid:durableId="2001695825">
    <w:abstractNumId w:val="3"/>
  </w:num>
  <w:num w:numId="4" w16cid:durableId="621694833">
    <w:abstractNumId w:val="10"/>
  </w:num>
  <w:num w:numId="5" w16cid:durableId="2122256858">
    <w:abstractNumId w:val="11"/>
  </w:num>
  <w:num w:numId="6" w16cid:durableId="510533264">
    <w:abstractNumId w:val="6"/>
  </w:num>
  <w:num w:numId="7" w16cid:durableId="2025201467">
    <w:abstractNumId w:val="7"/>
  </w:num>
  <w:num w:numId="8" w16cid:durableId="1161703181">
    <w:abstractNumId w:val="2"/>
  </w:num>
  <w:num w:numId="9" w16cid:durableId="283386210">
    <w:abstractNumId w:val="9"/>
  </w:num>
  <w:num w:numId="10" w16cid:durableId="1456679095">
    <w:abstractNumId w:val="1"/>
  </w:num>
  <w:num w:numId="11" w16cid:durableId="610820683">
    <w:abstractNumId w:val="5"/>
  </w:num>
  <w:num w:numId="12" w16cid:durableId="917514816">
    <w:abstractNumId w:val="8"/>
  </w:num>
  <w:num w:numId="13" w16cid:durableId="1798137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340"/>
    <w:rsid w:val="00021DBA"/>
    <w:rsid w:val="00056CBA"/>
    <w:rsid w:val="00066AE5"/>
    <w:rsid w:val="000A6E1D"/>
    <w:rsid w:val="00115B11"/>
    <w:rsid w:val="002029CE"/>
    <w:rsid w:val="009101C4"/>
    <w:rsid w:val="00A0382D"/>
    <w:rsid w:val="00A91DAA"/>
    <w:rsid w:val="00A965FA"/>
    <w:rsid w:val="00B74DC2"/>
    <w:rsid w:val="00BB3340"/>
    <w:rsid w:val="00CA5945"/>
    <w:rsid w:val="00D25E6B"/>
    <w:rsid w:val="00DE72E8"/>
    <w:rsid w:val="00DE7DEC"/>
    <w:rsid w:val="00E05F73"/>
    <w:rsid w:val="00FD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BCDD"/>
  <w15:chartTrackingRefBased/>
  <w15:docId w15:val="{14A78EDC-C838-4133-9145-AF91F239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3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3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3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33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33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3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kaif Momin</dc:creator>
  <cp:keywords/>
  <dc:description/>
  <cp:lastModifiedBy>Mohammed kaif Momin</cp:lastModifiedBy>
  <cp:revision>2</cp:revision>
  <dcterms:created xsi:type="dcterms:W3CDTF">2025-10-29T19:12:00Z</dcterms:created>
  <dcterms:modified xsi:type="dcterms:W3CDTF">2025-10-29T19:12:00Z</dcterms:modified>
</cp:coreProperties>
</file>