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الخروج من المأزق الفلسطيني</w:t>
      </w:r>
    </w:p>
    <w:p>
      <w:pPr>
        <w:jc w:val="center"/>
      </w:pPr>
      <w:r>
        <w:rPr>
          <w:i/>
          <w:sz w:val="22"/>
        </w:rPr>
        <w:t>نشر 17 يونيو 2007 | 11:05</w:t>
      </w:r>
    </w:p>
    <w:p>
      <w:pPr>
        <w:jc w:val="center"/>
      </w:pPr>
      <w:r>
        <w:rPr>
          <w:i/>
          <w:sz w:val="18"/>
        </w:rPr>
        <w:t>المصدر: https://alaqsavoice.ps/post/4874/الخروج-من-المأزق-الفلسطيني</w:t>
      </w:r>
    </w:p>
    <w:p/>
    <w:p>
      <w:pPr>
        <w:jc w:val="right"/>
      </w:pPr>
      <w:r>
        <w:rPr>
          <w:sz w:val="26"/>
        </w:rPr>
        <w:t>يجب أن نحاول ونستمر في المحاولة. فيما يلي هي بنود الحل:</w:t>
      </w:r>
    </w:p>
    <w:p>
      <w:pPr>
        <w:jc w:val="right"/>
      </w:pPr>
      <w:r>
        <w:rPr>
          <w:sz w:val="26"/>
        </w:rPr>
        <w:t>أولا: تشكيل مجلي إداري من الخبراء والمختصين والأكاديميين الفلسطينيين المستقلين لإدارة الحياة المدنية للشعب الفلسطيني. الشعب الفلسطيني ليس بحاجة إلى حكومة ولا رئاسة، ونحن نخدع أنفسنا عندما نحمّل أنفسنا ألقابا لا تتناسب مع الواقع المؤلم.</w:t>
      </w:r>
    </w:p>
    <w:p>
      <w:pPr>
        <w:jc w:val="right"/>
      </w:pPr>
      <w:r>
        <w:rPr>
          <w:sz w:val="26"/>
        </w:rPr>
        <w:t>ثانيا: المستقل هو المعروف عنه انتماءه الوطني لكنه غير مرتبط بأي فصيل فلسطيني وأي دولة عربية أو غير عربية.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