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داخلي. مطبخ بيت العائلة – نهار</w:t>
      </w:r>
    </w:p>
    <w:p/>
    <w:p>
      <w:r>
        <w:t>تقف سلمى أمام النافذة، تراقب الطريق. على الطاولة كوب شاي بارد.</w:t>
      </w:r>
    </w:p>
    <w:p/>
    <w:p>
      <w:pPr>
        <w:jc w:val="center"/>
      </w:pPr>
      <w:r>
        <w:t>سلمى</w:t>
      </w:r>
    </w:p>
    <w:p>
      <w:pPr>
        <w:jc w:val="center"/>
      </w:pPr>
      <w:r>
        <w:t>(دون أن تلتفت)</w:t>
      </w:r>
    </w:p>
    <w:p>
      <w:pPr>
        <w:jc w:val="center"/>
      </w:pPr>
      <w:r>
        <w:t>ما رجع لسّا؟</w:t>
      </w:r>
    </w:p>
    <w:p/>
    <w:p>
      <w:pPr>
        <w:jc w:val="center"/>
      </w:pPr>
      <w:r>
        <w:t>الأم</w:t>
      </w:r>
    </w:p>
    <w:p>
      <w:pPr>
        <w:jc w:val="center"/>
      </w:pPr>
      <w:r>
        <w:t>قال قبل المغرب.</w:t>
      </w:r>
    </w:p>
    <w:p/>
    <w:p>
      <w:r>
        <w:t>قطع إلى:</w:t>
      </w:r>
    </w:p>
    <w:p/>
    <w:p>
      <w:r>
        <w:t>2. خارجي. الطريق الترابي – غروب</w:t>
      </w:r>
    </w:p>
    <w:p/>
    <w:p>
      <w:r>
        <w:t>الشمس تنخفض خلف أشجار الزيتون.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