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Calibri" w:hAnsi="Calibri"/>
          <w:b/>
          <w:color w:val="064E3B"/>
          <w:sz w:val="56"/>
        </w:rPr>
        <w:t>DIGITAL URBAN GREENERY</w:t>
        <w:br/>
        <w:t>MANAGEMENT SYSTEM</w:t>
      </w:r>
    </w:p>
    <w:p>
      <w:pPr>
        <w:spacing w:after="720"/>
        <w:jc w:val="center"/>
      </w:pPr>
      <w:r>
        <w:rPr>
          <w:i/>
          <w:color w:val="64748B"/>
          <w:sz w:val="26"/>
        </w:rPr>
        <w:t>A Centralized Full-Stack Web Platform for Municipal Parks,</w:t>
        <w:br/>
        <w:t>Tree Inventories, Urban Forests, and Environmental Monitoring</w:t>
      </w:r>
    </w:p>
    <w:p>
      <w:pPr>
        <w:spacing w:before="1800" w:after="480"/>
        <w:jc w:val="center"/>
      </w:pPr>
      <w:r>
        <w:rPr>
          <w:b/>
          <w:color w:val="064E3B"/>
          <w:sz w:val="22"/>
        </w:rPr>
        <w:t>COMPREHENSIVE PROJECT REPORT &amp; ARCHITECTURAL SPECIFICATION</w:t>
        <w:br/>
      </w:r>
      <w:r>
        <w:rPr>
          <w:color w:val="64748B"/>
          <w:sz w:val="20"/>
        </w:rPr>
        <w:t>Academic Final Year / Mini-Project Engineering Submission</w:t>
        <w:br/>
        <w:t>Technology Stack: Python Flask, SQLite, Bootstrap 5, Chart.js</w:t>
        <w:br/>
        <w:t>Year of Submission: 2026</w:t>
      </w:r>
    </w:p>
    <w:p>
      <w:r>
        <w:br w:type="page"/>
      </w:r>
    </w:p>
    <w:p>
      <w:pPr>
        <w:pStyle w:val="Heading1"/>
      </w:pPr>
      <w:r>
        <w:rPr>
          <w:color w:val="064E3B"/>
        </w:rPr>
        <w:t>Table of Contents</w:t>
      </w:r>
    </w:p>
    <w:p>
      <w:pPr>
        <w:spacing w:after="80"/>
      </w:pPr>
      <w:r>
        <w:rPr>
          <w:sz w:val="20"/>
        </w:rPr>
        <w:t>1. Executive Summary &amp; Abstract</w:t>
      </w:r>
      <w:r>
        <w:rPr>
          <w:color w:val="64748B"/>
        </w:rPr>
        <w:t xml:space="preserve"> ............................. </w:t>
      </w:r>
      <w:r>
        <w:rPr>
          <w:b/>
        </w:rPr>
        <w:t>3</w:t>
      </w:r>
    </w:p>
    <w:p>
      <w:pPr>
        <w:spacing w:after="80"/>
      </w:pPr>
      <w:r>
        <w:rPr>
          <w:sz w:val="20"/>
        </w:rPr>
        <w:t>2. Problem Statement &amp; Project Objectives</w:t>
      </w:r>
      <w:r>
        <w:rPr>
          <w:color w:val="64748B"/>
        </w:rPr>
        <w:t xml:space="preserve"> ................... </w:t>
      </w:r>
      <w:r>
        <w:rPr>
          <w:b/>
        </w:rPr>
        <w:t>4</w:t>
      </w:r>
    </w:p>
    <w:p>
      <w:pPr>
        <w:spacing w:after="80"/>
      </w:pPr>
      <w:r>
        <w:rPr>
          <w:sz w:val="20"/>
        </w:rPr>
        <w:t>3. System Requirements &amp; Specifications (SRS)</w:t>
      </w:r>
      <w:r>
        <w:rPr>
          <w:color w:val="64748B"/>
        </w:rPr>
        <w:t xml:space="preserve"> ............... </w:t>
      </w:r>
      <w:r>
        <w:rPr>
          <w:b/>
        </w:rPr>
        <w:t>5</w:t>
      </w:r>
    </w:p>
    <w:p>
      <w:pPr>
        <w:spacing w:after="80"/>
      </w:pPr>
      <w:r>
        <w:rPr>
          <w:sz w:val="20"/>
        </w:rPr>
        <w:t>4. Architectural Design &amp; Flow Diagrams</w:t>
      </w:r>
      <w:r>
        <w:rPr>
          <w:color w:val="64748B"/>
        </w:rPr>
        <w:t xml:space="preserve"> ..................... </w:t>
      </w:r>
      <w:r>
        <w:rPr>
          <w:b/>
        </w:rPr>
        <w:t>7</w:t>
      </w:r>
    </w:p>
    <w:p>
      <w:pPr>
        <w:spacing w:after="80"/>
      </w:pPr>
      <w:r>
        <w:rPr>
          <w:sz w:val="20"/>
        </w:rPr>
        <w:t xml:space="preserve">    4.1 3-Tier Layered System Architecture</w:t>
      </w:r>
      <w:r>
        <w:rPr>
          <w:color w:val="64748B"/>
        </w:rPr>
        <w:t xml:space="preserve"> .................. </w:t>
      </w:r>
      <w:r>
        <w:rPr>
          <w:b/>
        </w:rPr>
        <w:t>7</w:t>
      </w:r>
    </w:p>
    <w:p>
      <w:pPr>
        <w:spacing w:after="80"/>
      </w:pPr>
      <w:r>
        <w:rPr>
          <w:sz w:val="20"/>
        </w:rPr>
        <w:t xml:space="preserve">    4.2 End-to-End Request &amp; Data Flow (Sequence Diagram)</w:t>
      </w:r>
      <w:r>
        <w:rPr>
          <w:color w:val="64748B"/>
        </w:rPr>
        <w:t xml:space="preserve"> ... </w:t>
      </w:r>
      <w:r>
        <w:rPr>
          <w:b/>
        </w:rPr>
        <w:t>9</w:t>
      </w:r>
    </w:p>
    <w:p>
      <w:pPr>
        <w:spacing w:after="80"/>
      </w:pPr>
      <w:r>
        <w:rPr>
          <w:sz w:val="20"/>
        </w:rPr>
        <w:t xml:space="preserve">    4.3 Entity-Relationship (ER) Schema Model</w:t>
      </w:r>
      <w:r>
        <w:rPr>
          <w:color w:val="64748B"/>
        </w:rPr>
        <w:t xml:space="preserve"> ............... </w:t>
      </w:r>
      <w:r>
        <w:rPr>
          <w:b/>
        </w:rPr>
        <w:t>10</w:t>
      </w:r>
    </w:p>
    <w:p>
      <w:pPr>
        <w:spacing w:after="80"/>
      </w:pPr>
      <w:r>
        <w:rPr>
          <w:sz w:val="20"/>
        </w:rPr>
        <w:t xml:space="preserve">    4.4 Maintenance Workflow Finite State Machine</w:t>
      </w:r>
      <w:r>
        <w:rPr>
          <w:color w:val="64748B"/>
        </w:rPr>
        <w:t xml:space="preserve"> ........... </w:t>
      </w:r>
      <w:r>
        <w:rPr>
          <w:b/>
        </w:rPr>
        <w:t>12</w:t>
      </w:r>
    </w:p>
    <w:p>
      <w:pPr>
        <w:spacing w:after="80"/>
      </w:pPr>
      <w:r>
        <w:rPr>
          <w:sz w:val="20"/>
        </w:rPr>
        <w:t>5. Mathematical &amp; Algorithmic Formulations</w:t>
      </w:r>
      <w:r>
        <w:rPr>
          <w:color w:val="64748B"/>
        </w:rPr>
        <w:t xml:space="preserve"> .................. </w:t>
      </w:r>
      <w:r>
        <w:rPr>
          <w:b/>
        </w:rPr>
        <w:t>13</w:t>
      </w:r>
    </w:p>
    <w:p>
      <w:pPr>
        <w:spacing w:after="80"/>
      </w:pPr>
      <w:r>
        <w:rPr>
          <w:sz w:val="20"/>
        </w:rPr>
        <w:t xml:space="preserve">    5.1 Allometric Carbon Sequestration Model</w:t>
      </w:r>
      <w:r>
        <w:rPr>
          <w:color w:val="64748B"/>
        </w:rPr>
        <w:t xml:space="preserve"> ............... </w:t>
      </w:r>
      <w:r>
        <w:rPr>
          <w:b/>
        </w:rPr>
        <w:t>13</w:t>
      </w:r>
    </w:p>
    <w:p>
      <w:pPr>
        <w:spacing w:after="80"/>
      </w:pPr>
      <w:r>
        <w:rPr>
          <w:sz w:val="20"/>
        </w:rPr>
        <w:t xml:space="preserve">    5.2 Composite Environmental Eco-Score Index</w:t>
      </w:r>
      <w:r>
        <w:rPr>
          <w:color w:val="64748B"/>
        </w:rPr>
        <w:t xml:space="preserve"> ............. </w:t>
      </w:r>
      <w:r>
        <w:rPr>
          <w:b/>
        </w:rPr>
        <w:t>14</w:t>
      </w:r>
    </w:p>
    <w:p>
      <w:pPr>
        <w:spacing w:after="80"/>
      </w:pPr>
      <w:r>
        <w:rPr>
          <w:sz w:val="20"/>
        </w:rPr>
        <w:t>6. Database Schema &amp; Data Dictionary</w:t>
      </w:r>
      <w:r>
        <w:rPr>
          <w:color w:val="64748B"/>
        </w:rPr>
        <w:t xml:space="preserve"> ........................ </w:t>
      </w:r>
      <w:r>
        <w:rPr>
          <w:b/>
        </w:rPr>
        <w:t>15</w:t>
      </w:r>
    </w:p>
    <w:p>
      <w:pPr>
        <w:spacing w:after="80"/>
      </w:pPr>
      <w:r>
        <w:rPr>
          <w:sz w:val="20"/>
        </w:rPr>
        <w:t>7. RESTful API Endpoints Specification</w:t>
      </w:r>
      <w:r>
        <w:rPr>
          <w:color w:val="64748B"/>
        </w:rPr>
        <w:t xml:space="preserve"> ...................... </w:t>
      </w:r>
      <w:r>
        <w:rPr>
          <w:b/>
        </w:rPr>
        <w:t>18</w:t>
      </w:r>
    </w:p>
    <w:p>
      <w:pPr>
        <w:spacing w:after="80"/>
      </w:pPr>
      <w:r>
        <w:rPr>
          <w:sz w:val="20"/>
        </w:rPr>
        <w:t>8. Quality Assurance &amp; Automated Testing Verification</w:t>
      </w:r>
      <w:r>
        <w:rPr>
          <w:color w:val="64748B"/>
        </w:rPr>
        <w:t xml:space="preserve"> ....... </w:t>
      </w:r>
      <w:r>
        <w:rPr>
          <w:b/>
        </w:rPr>
        <w:t>20</w:t>
      </w:r>
    </w:p>
    <w:p>
      <w:pPr>
        <w:spacing w:after="80"/>
      </w:pPr>
      <w:r>
        <w:rPr>
          <w:sz w:val="20"/>
        </w:rPr>
        <w:t>9. Engineering Challenges &amp; Solutions</w:t>
      </w:r>
      <w:r>
        <w:rPr>
          <w:color w:val="64748B"/>
        </w:rPr>
        <w:t xml:space="preserve"> ....................... </w:t>
      </w:r>
      <w:r>
        <w:rPr>
          <w:b/>
        </w:rPr>
        <w:t>22</w:t>
      </w:r>
    </w:p>
    <w:p>
      <w:pPr>
        <w:spacing w:after="80"/>
      </w:pPr>
      <w:r>
        <w:rPr>
          <w:sz w:val="20"/>
        </w:rPr>
        <w:t>10. Future Enhancements &amp; Conclusion</w:t>
      </w:r>
      <w:r>
        <w:rPr>
          <w:color w:val="64748B"/>
        </w:rPr>
        <w:t xml:space="preserve"> ........................ </w:t>
      </w:r>
      <w:r>
        <w:rPr>
          <w:b/>
        </w:rPr>
        <w:t>24</w:t>
      </w:r>
    </w:p>
    <w:p>
      <w:r>
        <w:br w:type="page"/>
      </w:r>
    </w:p>
    <w:p>
      <w:pPr>
        <w:pStyle w:val="Heading1"/>
      </w:pPr>
      <w:r>
        <w:rPr>
          <w:color w:val="064E3B"/>
        </w:rPr>
        <w:t>1. Executive Summary &amp; Abstract</w:t>
      </w:r>
    </w:p>
    <w:p>
      <w:r>
        <w:t>Urban environmental deterioration is among the most consequential challenges confronting 21st-century cities. As metropolitan populations expand, urban heat islands (UHI), particulate air pollution (PM2.5, PM10), and catastrophic stormwater runoff intensify. Municipal greenery—comprising public botanical gardens, pocket parks, street canopy corridors, and urban Miyawaki forests—represents the primary ecological infrastructure capable of counteracting these detrimental impacts.</w:t>
      </w:r>
    </w:p>
    <w:p>
      <w:r>
        <w:t>Despite their indispensable ecological role, municipal forestry assets are routinely managed using antiquated, paper-based logbooks or isolated spreadsheet workbooks. This fragmentation deprives urban planners of real-time insights into canopy health, carbon absorption metrics, sapling survival rates, and routine maintenance backlogs.</w:t>
      </w:r>
    </w:p>
    <w:p>
      <w:r>
        <w:rPr>
          <w:sz w:val="21"/>
        </w:rPr>
        <w:t xml:space="preserve">The </w:t>
      </w:r>
      <w:r>
        <w:rPr>
          <w:b/>
        </w:rPr>
        <w:t>Digital Urban Greenery Management System (DUGMS)</w:t>
      </w:r>
      <w:r>
        <w:t xml:space="preserve"> resolves these deficiencies by establishing a unified, web-based digital command platform. Built with Python Flask, a relational SQLite/MySQL database layer, and a responsive Bootstrap 5/Chart.js client interface, DUGMS centralizes asset registration, computes dynamic carbon sequestration models, tracks real-time environmental indicators, automates maintenance scheduling, and generates audit reports with one-click CSV export capability.</w:t>
      </w:r>
    </w:p>
    <w:p>
      <w:pPr>
        <w:pStyle w:val="Heading1"/>
      </w:pPr>
      <w:r>
        <w:rPr>
          <w:color w:val="064E3B"/>
        </w:rPr>
        <w:t>2. Problem Statement &amp; Project Objectives</w:t>
      </w:r>
    </w:p>
    <w:p>
      <w:r>
        <w:t>Existing municipal forestry management workflows suffer from four foundational deficiencies:</w:t>
      </w:r>
    </w:p>
    <w:p>
      <w:pPr>
        <w:pStyle w:val="ListBullet"/>
        <w:spacing w:after="60"/>
      </w:pPr>
      <w:r>
        <w:rPr>
          <w:b/>
        </w:rPr>
        <w:t>Data Fragmentation:</w:t>
      </w:r>
      <w:r>
        <w:t xml:space="preserve"> Tree inventories and park asset records are compartmentalized across physical ward offices, resulting in high rates of lost records and census discrepancies.</w:t>
      </w:r>
    </w:p>
    <w:p>
      <w:pPr>
        <w:pStyle w:val="ListBullet"/>
        <w:spacing w:after="60"/>
      </w:pPr>
      <w:r>
        <w:rPr>
          <w:b/>
        </w:rPr>
        <w:t>Absence of Ecological Intelligence:</w:t>
      </w:r>
      <w:r>
        <w:t xml:space="preserve"> Municipalities cannot quantify annual greenhouse gas (CO2) offset contributions or correlate vegetation volume with microclimate air quality index (AQI) improvements.</w:t>
      </w:r>
    </w:p>
    <w:p>
      <w:pPr>
        <w:pStyle w:val="ListBullet"/>
        <w:spacing w:after="60"/>
      </w:pPr>
      <w:r>
        <w:rPr>
          <w:b/>
        </w:rPr>
        <w:t>Reactive Maintenance:</w:t>
      </w:r>
      <w:r>
        <w:t xml:space="preserve"> Pruning operations, fungal quarantine interventions, and drip irrigation repairs are addressed only after catastrophic failure, rather than through scheduled preventive maintenance.</w:t>
      </w:r>
    </w:p>
    <w:p>
      <w:pPr>
        <w:pStyle w:val="ListBullet"/>
        <w:spacing w:after="60"/>
      </w:pPr>
      <w:r>
        <w:rPr>
          <w:b/>
        </w:rPr>
        <w:t>Tedious Compliance Reporting:</w:t>
      </w:r>
      <w:r>
        <w:t xml:space="preserve"> Preparing statutory environmental audits requires weeks of manual transcription, rendering data error-prone and unverified.</w:t>
      </w:r>
    </w:p>
    <w:p>
      <w:pPr>
        <w:pStyle w:val="Heading2"/>
      </w:pPr>
      <w:r>
        <w:rPr>
          <w:color w:val="064E3B"/>
        </w:rPr>
        <w:t>Core Project Objectives</w:t>
      </w:r>
    </w:p>
    <w:p>
      <w:pPr>
        <w:pStyle w:val="ListBullet"/>
        <w:spacing w:after="60"/>
      </w:pPr>
      <w:r>
        <w:t>Design a normalized relational schema cataloging parks, individual trees, urban forests, and green belts.</w:t>
      </w:r>
    </w:p>
    <w:p>
      <w:pPr>
        <w:pStyle w:val="ListBullet"/>
        <w:spacing w:after="60"/>
      </w:pPr>
      <w:r>
        <w:t>Implement RESTful APIs supporting full Create, Read, Update, and Delete (CRUD) operations across all greenery modules.</w:t>
      </w:r>
    </w:p>
    <w:p>
      <w:pPr>
        <w:pStyle w:val="ListBullet"/>
        <w:spacing w:after="60"/>
      </w:pPr>
      <w:r>
        <w:t>Incorporate mathematical models calculating individual and forest-level carbon sequestration (kg and tonnes CO2/year).</w:t>
      </w:r>
    </w:p>
    <w:p>
      <w:pPr>
        <w:pStyle w:val="ListBullet"/>
        <w:spacing w:after="60"/>
      </w:pPr>
      <w:r>
        <w:t>Formulate a composite Environmental Eco-Score Index normalizing AQI, green coverage %, and tree survival rates.</w:t>
      </w:r>
    </w:p>
    <w:p>
      <w:pPr>
        <w:pStyle w:val="ListBullet"/>
        <w:spacing w:after="60"/>
      </w:pPr>
      <w:r>
        <w:t>Construct an interactive, responsive dashboard with Chart.js canvas visualizations (bar, donut, polar, and multi-line charts).</w:t>
      </w:r>
    </w:p>
    <w:p>
      <w:pPr>
        <w:pStyle w:val="ListBullet"/>
        <w:spacing w:after="60"/>
      </w:pPr>
      <w:r>
        <w:t>Implement one-click CSV raw dataset downloads and print-ready report layouts for academic and governmental submissions.</w:t>
      </w:r>
    </w:p>
    <w:p>
      <w:r>
        <w:br w:type="page"/>
      </w:r>
    </w:p>
    <w:p>
      <w:pPr>
        <w:pStyle w:val="Heading1"/>
      </w:pPr>
      <w:r>
        <w:rPr>
          <w:color w:val="064E3B"/>
        </w:rPr>
        <w:t>3. System Requirements &amp; Specifications (SRS)</w:t>
      </w:r>
    </w:p>
    <w:p>
      <w:pPr>
        <w:pStyle w:val="Heading2"/>
      </w:pPr>
      <w:r>
        <w:rPr>
          <w:color w:val="064E3B"/>
        </w:rPr>
        <w:t>3.1 Functional Requirements Matrix</w:t>
      </w:r>
    </w:p>
    <w:tbl>
      <w:tblPr>
        <w:tblW w:type="auto" w:w="0"/>
        <w:jc w:val="center"/>
        <w:tblLook w:firstColumn="1" w:firstRow="1" w:lastColumn="0" w:lastRow="0" w:noHBand="0" w:noVBand="1" w:val="04A0"/>
      </w:tblPr>
      <w:tblGrid>
        <w:gridCol w:w="3120"/>
        <w:gridCol w:w="3120"/>
        <w:gridCol w:w="3120"/>
      </w:tblGrid>
      <w:tr>
        <w:trPr>
          <w:cantSplit/>
        </w:trPr>
        <w:tc>
          <w:tcPr>
            <w:tcW w:type="dxa" w:w="1728"/>
            <w:vAlign w:val="center"/>
            <w:shd w:fill="064E3B"/>
          </w:tcPr>
          <w:p>
            <w:pPr>
              <w:spacing w:before="80" w:after="80"/>
            </w:pPr>
            <w:r>
              <w:rPr>
                <w:b/>
                <w:color w:val="FFFFFF"/>
                <w:sz w:val="19"/>
              </w:rPr>
              <w:t>Module</w:t>
            </w:r>
          </w:p>
        </w:tc>
        <w:tc>
          <w:tcPr>
            <w:tcW w:type="dxa" w:w="4752"/>
            <w:vAlign w:val="center"/>
            <w:shd w:fill="064E3B"/>
          </w:tcPr>
          <w:p>
            <w:pPr>
              <w:spacing w:before="80" w:after="80"/>
            </w:pPr>
            <w:r>
              <w:rPr>
                <w:b/>
                <w:color w:val="FFFFFF"/>
                <w:sz w:val="19"/>
              </w:rPr>
              <w:t>Functional Scope &amp; Requirements</w:t>
            </w:r>
          </w:p>
        </w:tc>
        <w:tc>
          <w:tcPr>
            <w:tcW w:type="dxa" w:w="2880"/>
            <w:vAlign w:val="center"/>
            <w:shd w:fill="064E3B"/>
          </w:tcPr>
          <w:p>
            <w:pPr>
              <w:spacing w:before="80" w:after="80"/>
            </w:pPr>
            <w:r>
              <w:rPr>
                <w:b/>
                <w:color w:val="FFFFFF"/>
                <w:sz w:val="19"/>
              </w:rPr>
              <w:t>Associated Route / Files</w:t>
            </w:r>
          </w:p>
        </w:tc>
      </w:tr>
      <w:tr>
        <w:trPr>
          <w:cantSplit/>
        </w:trPr>
        <w:tc>
          <w:tcPr>
            <w:tcW w:type="dxa" w:w="1728"/>
            <w:vAlign w:val="center"/>
            <w:shd w:fill="F4FBF7"/>
          </w:tcPr>
          <w:p>
            <w:pPr>
              <w:spacing w:before="60" w:after="60"/>
            </w:pPr>
            <w:r>
              <w:rPr>
                <w:sz w:val="18"/>
              </w:rPr>
              <w:t>User Auth</w:t>
            </w:r>
          </w:p>
        </w:tc>
        <w:tc>
          <w:tcPr>
            <w:tcW w:type="dxa" w:w="4752"/>
            <w:vAlign w:val="center"/>
            <w:shd w:fill="F4FBF7"/>
          </w:tcPr>
          <w:p>
            <w:pPr>
              <w:spacing w:before="60" w:after="60"/>
            </w:pPr>
            <w:r>
              <w:rPr>
                <w:sz w:val="18"/>
              </w:rPr>
              <w:t>Secure login with SHA-256 hash checks, session management, role enforcement (Admin, Officer).</w:t>
            </w:r>
          </w:p>
        </w:tc>
        <w:tc>
          <w:tcPr>
            <w:tcW w:type="dxa" w:w="2880"/>
            <w:vAlign w:val="center"/>
            <w:shd w:fill="F4FBF7"/>
          </w:tcPr>
          <w:p>
            <w:pPr>
              <w:spacing w:before="60" w:after="60"/>
            </w:pPr>
            <w:r>
              <w:rPr>
                <w:sz w:val="18"/>
              </w:rPr>
              <w:t>POST /api/auth/login</w:t>
              <w:br/>
              <w:t>auth.py, login.html</w:t>
            </w:r>
          </w:p>
        </w:tc>
      </w:tr>
      <w:tr>
        <w:trPr>
          <w:cantSplit/>
        </w:trPr>
        <w:tc>
          <w:tcPr>
            <w:tcW w:type="dxa" w:w="1728"/>
            <w:vAlign w:val="center"/>
            <w:shd w:fill="FFFFFF"/>
          </w:tcPr>
          <w:p>
            <w:pPr>
              <w:spacing w:before="60" w:after="60"/>
            </w:pPr>
            <w:r>
              <w:rPr>
                <w:sz w:val="18"/>
              </w:rPr>
              <w:t>Dashboard</w:t>
            </w:r>
          </w:p>
        </w:tc>
        <w:tc>
          <w:tcPr>
            <w:tcW w:type="dxa" w:w="4752"/>
            <w:vAlign w:val="center"/>
            <w:shd w:fill="FFFFFF"/>
          </w:tcPr>
          <w:p>
            <w:pPr>
              <w:spacing w:before="60" w:after="60"/>
            </w:pPr>
            <w:r>
              <w:rPr>
                <w:sz w:val="18"/>
              </w:rPr>
              <w:t>Aggregated KPI counters (Parks, Trees, Hectares, CO2), Chart.js species bar, health donut, and AQI trends.</w:t>
            </w:r>
          </w:p>
        </w:tc>
        <w:tc>
          <w:tcPr>
            <w:tcW w:type="dxa" w:w="2880"/>
            <w:vAlign w:val="center"/>
            <w:shd w:fill="FFFFFF"/>
          </w:tcPr>
          <w:p>
            <w:pPr>
              <w:spacing w:before="60" w:after="60"/>
            </w:pPr>
            <w:r>
              <w:rPr>
                <w:sz w:val="18"/>
              </w:rPr>
              <w:t>GET /api/dashboard/stats</w:t>
              <w:br/>
              <w:t>dashboard.py, index.html</w:t>
            </w:r>
          </w:p>
        </w:tc>
      </w:tr>
      <w:tr>
        <w:trPr>
          <w:cantSplit/>
        </w:trPr>
        <w:tc>
          <w:tcPr>
            <w:tcW w:type="dxa" w:w="1728"/>
            <w:vAlign w:val="center"/>
            <w:shd w:fill="F4FBF7"/>
          </w:tcPr>
          <w:p>
            <w:pPr>
              <w:spacing w:before="60" w:after="60"/>
            </w:pPr>
            <w:r>
              <w:rPr>
                <w:sz w:val="18"/>
              </w:rPr>
              <w:t>Park Mgmt</w:t>
            </w:r>
          </w:p>
        </w:tc>
        <w:tc>
          <w:tcPr>
            <w:tcW w:type="dxa" w:w="4752"/>
            <w:vAlign w:val="center"/>
            <w:shd w:fill="F4FBF7"/>
          </w:tcPr>
          <w:p>
            <w:pPr>
              <w:spacing w:before="60" w:after="60"/>
            </w:pPr>
            <w:r>
              <w:rPr>
                <w:sz w:val="18"/>
              </w:rPr>
              <w:t>CRUD operations for parks, acreage tracking, amenities cataloging, and assigned tree inspector.</w:t>
            </w:r>
          </w:p>
        </w:tc>
        <w:tc>
          <w:tcPr>
            <w:tcW w:type="dxa" w:w="2880"/>
            <w:vAlign w:val="center"/>
            <w:shd w:fill="F4FBF7"/>
          </w:tcPr>
          <w:p>
            <w:pPr>
              <w:spacing w:before="60" w:after="60"/>
            </w:pPr>
            <w:r>
              <w:rPr>
                <w:sz w:val="18"/>
              </w:rPr>
              <w:t>GET/POST/PUT/DELETE /api/parks</w:t>
              <w:br/>
              <w:t>parks.py, parks.html</w:t>
            </w:r>
          </w:p>
        </w:tc>
      </w:tr>
      <w:tr>
        <w:trPr>
          <w:cantSplit/>
        </w:trPr>
        <w:tc>
          <w:tcPr>
            <w:tcW w:type="dxa" w:w="1728"/>
            <w:vAlign w:val="center"/>
            <w:shd w:fill="FFFFFF"/>
          </w:tcPr>
          <w:p>
            <w:pPr>
              <w:spacing w:before="60" w:after="60"/>
            </w:pPr>
            <w:r>
              <w:rPr>
                <w:sz w:val="18"/>
              </w:rPr>
              <w:t>Tree Census</w:t>
            </w:r>
          </w:p>
        </w:tc>
        <w:tc>
          <w:tcPr>
            <w:tcW w:type="dxa" w:w="4752"/>
            <w:vAlign w:val="center"/>
            <w:shd w:fill="FFFFFF"/>
          </w:tcPr>
          <w:p>
            <w:pPr>
              <w:spacing w:before="60" w:after="60"/>
            </w:pPr>
            <w:r>
              <w:rPr>
                <w:sz w:val="18"/>
              </w:rPr>
              <w:t>Biometric census, tree code generation, height/canopy logging, health badges, carbon offset computation.</w:t>
            </w:r>
          </w:p>
        </w:tc>
        <w:tc>
          <w:tcPr>
            <w:tcW w:type="dxa" w:w="2880"/>
            <w:vAlign w:val="center"/>
            <w:shd w:fill="FFFFFF"/>
          </w:tcPr>
          <w:p>
            <w:pPr>
              <w:spacing w:before="60" w:after="60"/>
            </w:pPr>
            <w:r>
              <w:rPr>
                <w:sz w:val="18"/>
              </w:rPr>
              <w:t>GET/POST/PUT/DELETE /api/trees</w:t>
              <w:br/>
              <w:t>trees.py, trees.html</w:t>
            </w:r>
          </w:p>
        </w:tc>
      </w:tr>
      <w:tr>
        <w:trPr>
          <w:cantSplit/>
        </w:trPr>
        <w:tc>
          <w:tcPr>
            <w:tcW w:type="dxa" w:w="1728"/>
            <w:vAlign w:val="center"/>
            <w:shd w:fill="F4FBF7"/>
          </w:tcPr>
          <w:p>
            <w:pPr>
              <w:spacing w:before="60" w:after="60"/>
            </w:pPr>
            <w:r>
              <w:rPr>
                <w:sz w:val="18"/>
              </w:rPr>
              <w:t>Urban Forests</w:t>
            </w:r>
          </w:p>
        </w:tc>
        <w:tc>
          <w:tcPr>
            <w:tcW w:type="dxa" w:w="4752"/>
            <w:vAlign w:val="center"/>
            <w:shd w:fill="F4FBF7"/>
          </w:tcPr>
          <w:p>
            <w:pPr>
              <w:spacing w:before="60" w:after="60"/>
            </w:pPr>
            <w:r>
              <w:rPr>
                <w:sz w:val="18"/>
              </w:rPr>
              <w:t>Miyawaki reserve cataloging, biodiversity rating index (1.0 - 5.0), canopy density classification.</w:t>
            </w:r>
          </w:p>
        </w:tc>
        <w:tc>
          <w:tcPr>
            <w:tcW w:type="dxa" w:w="2880"/>
            <w:vAlign w:val="center"/>
            <w:shd w:fill="F4FBF7"/>
          </w:tcPr>
          <w:p>
            <w:pPr>
              <w:spacing w:before="60" w:after="60"/>
            </w:pPr>
            <w:r>
              <w:rPr>
                <w:sz w:val="18"/>
              </w:rPr>
              <w:t>GET/POST/PUT/DELETE /api/urban-forests</w:t>
              <w:br/>
              <w:t>urban_forests.py</w:t>
            </w:r>
          </w:p>
        </w:tc>
      </w:tr>
      <w:tr>
        <w:trPr>
          <w:cantSplit/>
        </w:trPr>
        <w:tc>
          <w:tcPr>
            <w:tcW w:type="dxa" w:w="1728"/>
            <w:vAlign w:val="center"/>
            <w:shd w:fill="FFFFFF"/>
          </w:tcPr>
          <w:p>
            <w:pPr>
              <w:spacing w:before="60" w:after="60"/>
            </w:pPr>
            <w:r>
              <w:rPr>
                <w:sz w:val="18"/>
              </w:rPr>
              <w:t>Green Belts</w:t>
            </w:r>
          </w:p>
        </w:tc>
        <w:tc>
          <w:tcPr>
            <w:tcW w:type="dxa" w:w="4752"/>
            <w:vAlign w:val="center"/>
            <w:shd w:fill="FFFFFF"/>
          </w:tcPr>
          <w:p>
            <w:pPr>
              <w:spacing w:before="60" w:after="60"/>
            </w:pPr>
            <w:r>
              <w:rPr>
                <w:sz w:val="18"/>
              </w:rPr>
              <w:t>Roadside &amp; industrial buffers, automatic surface area math (Length km * 1000 * Width m), vegetation typing.</w:t>
            </w:r>
          </w:p>
        </w:tc>
        <w:tc>
          <w:tcPr>
            <w:tcW w:type="dxa" w:w="2880"/>
            <w:vAlign w:val="center"/>
            <w:shd w:fill="FFFFFF"/>
          </w:tcPr>
          <w:p>
            <w:pPr>
              <w:spacing w:before="60" w:after="60"/>
            </w:pPr>
            <w:r>
              <w:rPr>
                <w:sz w:val="18"/>
              </w:rPr>
              <w:t>GET/POST/PUT/DELETE /api/green-belts</w:t>
              <w:br/>
              <w:t>green_belts.py</w:t>
            </w:r>
          </w:p>
        </w:tc>
      </w:tr>
      <w:tr>
        <w:trPr>
          <w:cantSplit/>
        </w:trPr>
        <w:tc>
          <w:tcPr>
            <w:tcW w:type="dxa" w:w="1728"/>
            <w:vAlign w:val="center"/>
            <w:shd w:fill="F4FBF7"/>
          </w:tcPr>
          <w:p>
            <w:pPr>
              <w:spacing w:before="60" w:after="60"/>
            </w:pPr>
            <w:r>
              <w:rPr>
                <w:sz w:val="18"/>
              </w:rPr>
              <w:t>Environmental</w:t>
            </w:r>
          </w:p>
        </w:tc>
        <w:tc>
          <w:tcPr>
            <w:tcW w:type="dxa" w:w="4752"/>
            <w:vAlign w:val="center"/>
            <w:shd w:fill="F4FBF7"/>
          </w:tcPr>
          <w:p>
            <w:pPr>
              <w:spacing w:before="60" w:after="60"/>
            </w:pPr>
            <w:r>
              <w:rPr>
                <w:sz w:val="18"/>
              </w:rPr>
              <w:t>Multi-zone air quality (AQI, PM2.5, PM10), water usage, automated composite Eco-Score (1-100).</w:t>
            </w:r>
          </w:p>
        </w:tc>
        <w:tc>
          <w:tcPr>
            <w:tcW w:type="dxa" w:w="2880"/>
            <w:vAlign w:val="center"/>
            <w:shd w:fill="F4FBF7"/>
          </w:tcPr>
          <w:p>
            <w:pPr>
              <w:spacing w:before="60" w:after="60"/>
            </w:pPr>
            <w:r>
              <w:rPr>
                <w:sz w:val="18"/>
              </w:rPr>
              <w:t>GET/POST/PUT/DELETE /api/environmental</w:t>
              <w:br/>
              <w:t>environmental.py</w:t>
            </w:r>
          </w:p>
        </w:tc>
      </w:tr>
      <w:tr>
        <w:trPr>
          <w:cantSplit/>
        </w:trPr>
        <w:tc>
          <w:tcPr>
            <w:tcW w:type="dxa" w:w="1728"/>
            <w:vAlign w:val="center"/>
            <w:shd w:fill="FFFFFF"/>
          </w:tcPr>
          <w:p>
            <w:pPr>
              <w:spacing w:before="60" w:after="60"/>
            </w:pPr>
            <w:r>
              <w:rPr>
                <w:sz w:val="18"/>
              </w:rPr>
              <w:t>Maintenance</w:t>
            </w:r>
          </w:p>
        </w:tc>
        <w:tc>
          <w:tcPr>
            <w:tcW w:type="dxa" w:w="4752"/>
            <w:vAlign w:val="center"/>
            <w:shd w:fill="FFFFFF"/>
          </w:tcPr>
          <w:p>
            <w:pPr>
              <w:spacing w:before="60" w:after="60"/>
            </w:pPr>
            <w:r>
              <w:rPr>
                <w:sz w:val="18"/>
              </w:rPr>
              <w:t>Work orders for pruning, pest control, and irrigation repairs with 1-click completion status patch.</w:t>
            </w:r>
          </w:p>
        </w:tc>
        <w:tc>
          <w:tcPr>
            <w:tcW w:type="dxa" w:w="2880"/>
            <w:vAlign w:val="center"/>
            <w:shd w:fill="FFFFFF"/>
          </w:tcPr>
          <w:p>
            <w:pPr>
              <w:spacing w:before="60" w:after="60"/>
            </w:pPr>
            <w:r>
              <w:rPr>
                <w:sz w:val="18"/>
              </w:rPr>
              <w:t>GET/POST/PATCH/DELETE /api/maintenance</w:t>
              <w:br/>
              <w:t>maintenance.py</w:t>
            </w:r>
          </w:p>
        </w:tc>
      </w:tr>
      <w:tr>
        <w:trPr>
          <w:cantSplit/>
        </w:trPr>
        <w:tc>
          <w:tcPr>
            <w:tcW w:type="dxa" w:w="1728"/>
            <w:vAlign w:val="center"/>
            <w:shd w:fill="F4FBF7"/>
          </w:tcPr>
          <w:p>
            <w:pPr>
              <w:spacing w:before="60" w:after="60"/>
            </w:pPr>
            <w:r>
              <w:rPr>
                <w:sz w:val="18"/>
              </w:rPr>
              <w:t>Reports &amp; CSV</w:t>
            </w:r>
          </w:p>
        </w:tc>
        <w:tc>
          <w:tcPr>
            <w:tcW w:type="dxa" w:w="4752"/>
            <w:vAlign w:val="center"/>
            <w:shd w:fill="F4FBF7"/>
          </w:tcPr>
          <w:p>
            <w:pPr>
              <w:spacing w:before="60" w:after="60"/>
            </w:pPr>
            <w:r>
              <w:rPr>
                <w:sz w:val="18"/>
              </w:rPr>
              <w:t>Dynamic report compilation, filtered CSV streaming via csv.writer, and @media print styling.</w:t>
            </w:r>
          </w:p>
        </w:tc>
        <w:tc>
          <w:tcPr>
            <w:tcW w:type="dxa" w:w="2880"/>
            <w:vAlign w:val="center"/>
            <w:shd w:fill="F4FBF7"/>
          </w:tcPr>
          <w:p>
            <w:pPr>
              <w:spacing w:before="60" w:after="60"/>
            </w:pPr>
            <w:r>
              <w:rPr>
                <w:sz w:val="18"/>
              </w:rPr>
              <w:t>GET/POST /api/reports</w:t>
              <w:br/>
              <w:t>reports.py, reports.html</w:t>
            </w:r>
          </w:p>
        </w:tc>
      </w:tr>
      <w:tr>
        <w:trPr>
          <w:cantSplit/>
        </w:trPr>
        <w:tc>
          <w:tcPr>
            <w:tcW w:type="dxa" w:w="1728"/>
            <w:vAlign w:val="center"/>
            <w:shd w:fill="FFFFFF"/>
          </w:tcPr>
          <w:p>
            <w:pPr>
              <w:spacing w:before="60" w:after="60"/>
            </w:pPr>
            <w:r>
              <w:rPr>
                <w:sz w:val="18"/>
              </w:rPr>
              <w:t>Global Search</w:t>
            </w:r>
          </w:p>
        </w:tc>
        <w:tc>
          <w:tcPr>
            <w:tcW w:type="dxa" w:w="4752"/>
            <w:vAlign w:val="center"/>
            <w:shd w:fill="FFFFFF"/>
          </w:tcPr>
          <w:p>
            <w:pPr>
              <w:spacing w:before="60" w:after="60"/>
            </w:pPr>
            <w:r>
              <w:rPr>
                <w:sz w:val="18"/>
              </w:rPr>
              <w:t>Universal debounced search across parks, trees, forests, and green belts simultaneously.</w:t>
            </w:r>
          </w:p>
        </w:tc>
        <w:tc>
          <w:tcPr>
            <w:tcW w:type="dxa" w:w="2880"/>
            <w:vAlign w:val="center"/>
            <w:shd w:fill="FFFFFF"/>
          </w:tcPr>
          <w:p>
            <w:pPr>
              <w:spacing w:before="60" w:after="60"/>
            </w:pPr>
            <w:r>
              <w:rPr>
                <w:sz w:val="18"/>
              </w:rPr>
              <w:t>GET /api/reports/search</w:t>
              <w:br/>
              <w:t>api.js, topbar</w:t>
            </w:r>
          </w:p>
        </w:tc>
      </w:tr>
    </w:tbl>
    <w:p>
      <w:pPr>
        <w:pStyle w:val="Heading2"/>
      </w:pPr>
      <w:r>
        <w:rPr>
          <w:color w:val="064E3B"/>
        </w:rPr>
        <w:t>3.2 Hardware &amp; Software Environment</w:t>
      </w:r>
    </w:p>
    <w:p>
      <w:pPr>
        <w:pStyle w:val="ListBullet"/>
        <w:spacing w:after="40"/>
      </w:pPr>
      <w:r>
        <w:rPr>
          <w:b/>
        </w:rPr>
        <w:t>Operating System:</w:t>
      </w:r>
      <w:r>
        <w:t xml:space="preserve"> Windows 10/11, macOS Monterey+, or Ubuntu Linux 20.04 LTS</w:t>
      </w:r>
    </w:p>
    <w:p>
      <w:pPr>
        <w:pStyle w:val="ListBullet"/>
        <w:spacing w:after="40"/>
      </w:pPr>
      <w:r>
        <w:rPr>
          <w:b/>
        </w:rPr>
        <w:t>Python Runtime:</w:t>
      </w:r>
      <w:r>
        <w:t xml:space="preserve"> Python 3.9, 3.10, 3.11, 3.12, 3.13, or 3.14</w:t>
      </w:r>
    </w:p>
    <w:p>
      <w:pPr>
        <w:pStyle w:val="ListBullet"/>
        <w:spacing w:after="40"/>
      </w:pPr>
      <w:r>
        <w:rPr>
          <w:b/>
        </w:rPr>
        <w:t>Backend Framework:</w:t>
      </w:r>
      <w:r>
        <w:t xml:space="preserve"> Flask 3.1.3, Flask-CORS 6.0.5, Werkzeug 3.1.9</w:t>
      </w:r>
    </w:p>
    <w:p>
      <w:pPr>
        <w:pStyle w:val="ListBullet"/>
        <w:spacing w:after="40"/>
      </w:pPr>
      <w:r>
        <w:rPr>
          <w:b/>
        </w:rPr>
        <w:t>Database Engine:</w:t>
      </w:r>
      <w:r>
        <w:t xml:space="preserve"> SQLite 3 (Default zero-config), compatible with MySQL 8.0+ and PostgreSQL 14+</w:t>
      </w:r>
    </w:p>
    <w:p>
      <w:pPr>
        <w:pStyle w:val="ListBullet"/>
        <w:spacing w:after="40"/>
      </w:pPr>
      <w:r>
        <w:rPr>
          <w:b/>
        </w:rPr>
        <w:t>Client Engine:</w:t>
      </w:r>
      <w:r>
        <w:t xml:space="preserve"> Modern Web Browser (Google Chrome 100+, MS Edge 100+, Mozilla Firefox 95+)</w:t>
      </w:r>
    </w:p>
    <w:p>
      <w:pPr>
        <w:pStyle w:val="ListBullet"/>
        <w:spacing w:after="40"/>
      </w:pPr>
      <w:r>
        <w:rPr>
          <w:b/>
        </w:rPr>
        <w:t>UI Frameworks:</w:t>
      </w:r>
      <w:r>
        <w:t xml:space="preserve"> Bootstrap 5.3.3 (Responsive Grid), Chart.js 4.4.1 (Canvas), FontAwesome 6.5.1</w:t>
      </w:r>
    </w:p>
    <w:p>
      <w:r>
        <w:br w:type="page"/>
      </w:r>
    </w:p>
    <w:p>
      <w:pPr>
        <w:pStyle w:val="Heading1"/>
      </w:pPr>
      <w:r>
        <w:rPr>
          <w:color w:val="064E3B"/>
        </w:rPr>
        <w:t>4. Architectural Design &amp; Flow Diagrams</w:t>
      </w:r>
    </w:p>
    <w:p>
      <w:r>
        <w:t>The architecture of the Digital Urban Greenery Management System is structured around a decoupled, 3-tier model to enforce modular maintainability, security, and responsive performance. The system isolates client presentation from the computational logic and the underlying persistence layer.</w:t>
      </w:r>
    </w:p>
    <w:p>
      <w:pPr>
        <w:pStyle w:val="Heading2"/>
      </w:pPr>
      <w:r>
        <w:rPr>
          <w:color w:val="064E3B"/>
        </w:rPr>
        <w:t>4.1 3-Tier Layered System Architecture</w:t>
      </w:r>
    </w:p>
    <w:p>
      <w:r>
        <w:t>Figure 1 illustrates the structural relationship between the client browser, the Flask application server with its route blueprints, and the relational database engine:</w:t>
      </w:r>
    </w:p>
    <w:p>
      <w:r>
        <w:drawing>
          <wp:inline xmlns:a="http://schemas.openxmlformats.org/drawingml/2006/main" xmlns:pic="http://schemas.openxmlformats.org/drawingml/2006/picture">
            <wp:extent cx="5669280" cy="3664989"/>
            <wp:docPr id="1" name="Picture 1"/>
            <wp:cNvGraphicFramePr>
              <a:graphicFrameLocks noChangeAspect="1"/>
            </wp:cNvGraphicFramePr>
            <a:graphic>
              <a:graphicData uri="http://schemas.openxmlformats.org/drawingml/2006/picture">
                <pic:pic>
                  <pic:nvPicPr>
                    <pic:cNvPr id="0" name="fig1_3tier_architecture.png"/>
                    <pic:cNvPicPr/>
                  </pic:nvPicPr>
                  <pic:blipFill>
                    <a:blip r:embed="rId9"/>
                    <a:stretch>
                      <a:fillRect/>
                    </a:stretch>
                  </pic:blipFill>
                  <pic:spPr>
                    <a:xfrm>
                      <a:off x="0" y="0"/>
                      <a:ext cx="5669280" cy="3664989"/>
                    </a:xfrm>
                    <a:prstGeom prst="rect"/>
                  </pic:spPr>
                </pic:pic>
              </a:graphicData>
            </a:graphic>
          </wp:inline>
        </w:drawing>
      </w:r>
    </w:p>
    <w:p>
      <w:pPr>
        <w:jc w:val="center"/>
      </w:pPr>
      <w:r>
        <w:rPr>
          <w:i/>
          <w:color w:val="64748B"/>
          <w:sz w:val="19"/>
        </w:rPr>
        <w:t>Figure 1: High-Level 3-Tier System Architecture Diagram</w:t>
      </w:r>
    </w:p>
    <w:p>
      <w:r>
        <w:br w:type="page"/>
      </w:r>
    </w:p>
    <w:p>
      <w:pPr>
        <w:pStyle w:val="Heading2"/>
      </w:pPr>
      <w:r>
        <w:rPr>
          <w:color w:val="064E3B"/>
        </w:rPr>
        <w:t>4.2 End-to-End Request &amp; Data Flow (Sequence Diagram)</w:t>
      </w:r>
    </w:p>
    <w:p>
      <w:r>
        <w:t>Figure 2 traces the chronological execution path of a field officer recording a tree asset, calculating its carbon footprint, persisting the row in SQLite, and dynamically updating the dashboard KPI graphs:</w:t>
      </w:r>
    </w:p>
    <w:p>
      <w:r>
        <w:drawing>
          <wp:inline xmlns:a="http://schemas.openxmlformats.org/drawingml/2006/main" xmlns:pic="http://schemas.openxmlformats.org/drawingml/2006/picture">
            <wp:extent cx="5669280" cy="3664989"/>
            <wp:docPr id="2" name="Picture 2"/>
            <wp:cNvGraphicFramePr>
              <a:graphicFrameLocks noChangeAspect="1"/>
            </wp:cNvGraphicFramePr>
            <a:graphic>
              <a:graphicData uri="http://schemas.openxmlformats.org/drawingml/2006/picture">
                <pic:pic>
                  <pic:nvPicPr>
                    <pic:cNvPr id="0" name="fig2_sequence_flow.png"/>
                    <pic:cNvPicPr/>
                  </pic:nvPicPr>
                  <pic:blipFill>
                    <a:blip r:embed="rId10"/>
                    <a:stretch>
                      <a:fillRect/>
                    </a:stretch>
                  </pic:blipFill>
                  <pic:spPr>
                    <a:xfrm>
                      <a:off x="0" y="0"/>
                      <a:ext cx="5669280" cy="3664989"/>
                    </a:xfrm>
                    <a:prstGeom prst="rect"/>
                  </pic:spPr>
                </pic:pic>
              </a:graphicData>
            </a:graphic>
          </wp:inline>
        </w:drawing>
      </w:r>
    </w:p>
    <w:p>
      <w:pPr>
        <w:jc w:val="center"/>
      </w:pPr>
      <w:r>
        <w:rPr>
          <w:i/>
          <w:color w:val="64748B"/>
          <w:sz w:val="19"/>
        </w:rPr>
        <w:t>Figure 2: End-to-End Sequence Diagram (Tree Registration &amp; KPI Refresh)</w:t>
      </w:r>
    </w:p>
    <w:p>
      <w:pPr>
        <w:pStyle w:val="Heading2"/>
      </w:pPr>
      <w:r>
        <w:rPr>
          <w:color w:val="064E3B"/>
        </w:rPr>
        <w:t>4.3 Maintenance Task Lifecycle State Machine</w:t>
      </w:r>
    </w:p>
    <w:p>
      <w:r>
        <w:t>Figure 3 depicts the finite state machine governing municipal work orders from creation to verified completion:</w:t>
      </w:r>
    </w:p>
    <w:p>
      <w:r>
        <w:drawing>
          <wp:inline xmlns:a="http://schemas.openxmlformats.org/drawingml/2006/main" xmlns:pic="http://schemas.openxmlformats.org/drawingml/2006/picture">
            <wp:extent cx="5303520" cy="2621965"/>
            <wp:docPr id="3" name="Picture 3"/>
            <wp:cNvGraphicFramePr>
              <a:graphicFrameLocks noChangeAspect="1"/>
            </wp:cNvGraphicFramePr>
            <a:graphic>
              <a:graphicData uri="http://schemas.openxmlformats.org/drawingml/2006/picture">
                <pic:pic>
                  <pic:nvPicPr>
                    <pic:cNvPr id="0" name="fig3_maintenance_state.png"/>
                    <pic:cNvPicPr/>
                  </pic:nvPicPr>
                  <pic:blipFill>
                    <a:blip r:embed="rId11"/>
                    <a:stretch>
                      <a:fillRect/>
                    </a:stretch>
                  </pic:blipFill>
                  <pic:spPr>
                    <a:xfrm>
                      <a:off x="0" y="0"/>
                      <a:ext cx="5303520" cy="2621965"/>
                    </a:xfrm>
                    <a:prstGeom prst="rect"/>
                  </pic:spPr>
                </pic:pic>
              </a:graphicData>
            </a:graphic>
          </wp:inline>
        </w:drawing>
      </w:r>
    </w:p>
    <w:p>
      <w:pPr>
        <w:jc w:val="center"/>
      </w:pPr>
      <w:r>
        <w:rPr>
          <w:i/>
          <w:color w:val="64748B"/>
          <w:sz w:val="19"/>
        </w:rPr>
        <w:t>Figure 3: Finite State Machine for Maintenance Task Work Orders</w:t>
      </w:r>
    </w:p>
    <w:p>
      <w:r>
        <w:br w:type="page"/>
      </w:r>
    </w:p>
    <w:p>
      <w:pPr>
        <w:pStyle w:val="Heading1"/>
      </w:pPr>
      <w:r>
        <w:rPr>
          <w:color w:val="064E3B"/>
        </w:rPr>
        <w:t>5. Mathematical &amp; Algorithmic Formulations</w:t>
      </w:r>
    </w:p>
    <w:p>
      <w:pPr>
        <w:pStyle w:val="Heading2"/>
      </w:pPr>
      <w:r>
        <w:rPr>
          <w:color w:val="064E3B"/>
        </w:rPr>
        <w:t>5.1 Allometric Carbon Sequestration Model</w:t>
      </w:r>
    </w:p>
    <w:p>
      <w:r>
        <w:t>To bridge urban asset tracking with measurable climate action, the system implements an allometric estimation equation derived from forestry science. When an individual tree is registered with age and height data, its annual carbon dioxide absorption is computed as:</w:t>
      </w:r>
    </w:p>
    <w:p>
      <w:pPr>
        <w:jc w:val="center"/>
      </w:pPr>
      <w:r>
        <w:rPr>
          <w:b/>
          <w:color w:val="064E3B"/>
          <w:sz w:val="22"/>
        </w:rPr>
        <w:t>CO2 Offset (kg/year) = 10.0 + (Age [years] × 1.5) + (Height [m] × 0.8)</w:t>
      </w:r>
    </w:p>
    <w:p>
      <w:pPr>
        <w:pStyle w:val="ListBullet"/>
      </w:pPr>
      <w:r>
        <w:rPr>
          <w:b/>
        </w:rPr>
        <w:t xml:space="preserve">Fallback Imputation: </w:t>
      </w:r>
      <w:r>
        <w:t>If biometric values are unspecified, the system applies the international arboricultural standard constant of 22.0 kg CO2 per mature tree per year.</w:t>
      </w:r>
    </w:p>
    <w:p>
      <w:pPr>
        <w:pStyle w:val="ListBullet"/>
      </w:pPr>
      <w:r>
        <w:rPr>
          <w:b/>
        </w:rPr>
        <w:t xml:space="preserve">Forest Scale Sequestration: </w:t>
      </w:r>
      <w:r>
        <w:t>For urban forests and Miyawaki reserves with dense multi-tiered canopies, total annual metric tonnes are computed as:</w:t>
      </w:r>
    </w:p>
    <w:p>
      <w:pPr>
        <w:jc w:val="center"/>
      </w:pPr>
      <w:r>
        <w:rPr>
          <w:b/>
          <w:color w:val="064E3B"/>
          <w:sz w:val="22"/>
        </w:rPr>
        <w:t>Total Carbon (Tonnes) = (Total Trees Assessed × 22.0) / 1000.0</w:t>
      </w:r>
    </w:p>
    <w:p>
      <w:pPr>
        <w:pStyle w:val="Heading2"/>
      </w:pPr>
      <w:r>
        <w:rPr>
          <w:color w:val="064E3B"/>
        </w:rPr>
        <w:t>5.2 Composite Environmental Eco-Score Index</w:t>
      </w:r>
    </w:p>
    <w:p>
      <w:r>
        <w:t>Municipal decision-makers require a normalized scalar rating to compare environmental health across diverse administrative zones. The application computes an Eco-Score (scale 1 to 100) using a multi-parameter penalization and reward function:</w:t>
      </w:r>
    </w:p>
    <w:p>
      <w:pPr>
        <w:jc w:val="center"/>
      </w:pPr>
      <w:r>
        <w:rPr>
          <w:b/>
          <w:color w:val="064E3B"/>
          <w:sz w:val="22"/>
        </w:rPr>
        <w:t>Eco-Score = 50.0 - Penalty(AQI) + Bonus(Coverage) + Bonus(Survival)</w:t>
      </w:r>
    </w:p>
    <w:p>
      <w:r>
        <w:t>Where each term is formally bounded as:</w:t>
        <w:br/>
        <w:t>• Penalty(AQI) = max(0, (AQI - 50) × 0.25)  [Penalizes air pollution exceeding clean standards]</w:t>
        <w:br/>
        <w:t>• Bonus(Coverage) = Green Coverage % × 0.6  [Rewards high spatial vegetation density]</w:t>
        <w:br/>
        <w:t>• Bonus(Survival) = (Tree Survival Rate % - 70) × 0.5  [Rewards sapling vitality above 70% threshold]</w:t>
        <w:br/>
        <w:t>• Final score is clamped within: min(99, max(10, round(Calculated Score)))</w:t>
      </w:r>
    </w:p>
    <w:p>
      <w:r>
        <w:br w:type="page"/>
      </w:r>
    </w:p>
    <w:p>
      <w:pPr>
        <w:pStyle w:val="Heading1"/>
      </w:pPr>
      <w:r>
        <w:rPr>
          <w:color w:val="064E3B"/>
        </w:rPr>
        <w:t>6. Database Schema &amp; Data Dictionary</w:t>
      </w:r>
    </w:p>
    <w:p>
      <w:r>
        <w:t>The database layer enforces referential integrity through standard SQL constraints. Below is the technical specification of the primary relational entities:</w:t>
      </w:r>
    </w:p>
    <w:p>
      <w:pPr>
        <w:pStyle w:val="Heading2"/>
      </w:pPr>
      <w:r>
        <w:rPr>
          <w:color w:val="064E3B"/>
        </w:rPr>
        <w:t>6.1 Parks Table (parks)</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160"/>
            <w:vAlign w:val="center"/>
            <w:shd w:fill="064E3B"/>
          </w:tcPr>
          <w:p>
            <w:pPr>
              <w:spacing w:before="80" w:after="80"/>
            </w:pPr>
            <w:r>
              <w:rPr>
                <w:b/>
                <w:color w:val="FFFFFF"/>
                <w:sz w:val="19"/>
              </w:rPr>
              <w:t>Field Name</w:t>
            </w:r>
          </w:p>
        </w:tc>
        <w:tc>
          <w:tcPr>
            <w:tcW w:type="dxa" w:w="1728"/>
            <w:vAlign w:val="center"/>
            <w:shd w:fill="064E3B"/>
          </w:tcPr>
          <w:p>
            <w:pPr>
              <w:spacing w:before="80" w:after="80"/>
            </w:pPr>
            <w:r>
              <w:rPr>
                <w:b/>
                <w:color w:val="FFFFFF"/>
                <w:sz w:val="19"/>
              </w:rPr>
              <w:t>Data Type</w:t>
            </w:r>
          </w:p>
        </w:tc>
        <w:tc>
          <w:tcPr>
            <w:tcW w:type="dxa" w:w="2592"/>
            <w:vAlign w:val="center"/>
            <w:shd w:fill="064E3B"/>
          </w:tcPr>
          <w:p>
            <w:pPr>
              <w:spacing w:before="80" w:after="80"/>
            </w:pPr>
            <w:r>
              <w:rPr>
                <w:b/>
                <w:color w:val="FFFFFF"/>
                <w:sz w:val="19"/>
              </w:rPr>
              <w:t>Constraints</w:t>
            </w:r>
          </w:p>
        </w:tc>
        <w:tc>
          <w:tcPr>
            <w:tcW w:type="dxa" w:w="2880"/>
            <w:vAlign w:val="center"/>
            <w:shd w:fill="064E3B"/>
          </w:tcPr>
          <w:p>
            <w:pPr>
              <w:spacing w:before="80" w:after="80"/>
            </w:pPr>
            <w:r>
              <w:rPr>
                <w:b/>
                <w:color w:val="FFFFFF"/>
                <w:sz w:val="19"/>
              </w:rPr>
              <w:t>Description</w:t>
            </w:r>
          </w:p>
        </w:tc>
      </w:tr>
      <w:tr>
        <w:trPr>
          <w:cantSplit/>
        </w:trPr>
        <w:tc>
          <w:tcPr>
            <w:tcW w:type="dxa" w:w="2160"/>
            <w:vAlign w:val="center"/>
            <w:shd w:fill="F4FBF7"/>
          </w:tcPr>
          <w:p>
            <w:pPr>
              <w:spacing w:before="60" w:after="60"/>
            </w:pPr>
            <w:r>
              <w:rPr>
                <w:sz w:val="18"/>
              </w:rPr>
              <w:t>id</w:t>
            </w:r>
          </w:p>
        </w:tc>
        <w:tc>
          <w:tcPr>
            <w:tcW w:type="dxa" w:w="1728"/>
            <w:vAlign w:val="center"/>
            <w:shd w:fill="F4FBF7"/>
          </w:tcPr>
          <w:p>
            <w:pPr>
              <w:spacing w:before="60" w:after="60"/>
            </w:pPr>
            <w:r>
              <w:rPr>
                <w:sz w:val="18"/>
              </w:rPr>
              <w:t>INTEGER</w:t>
            </w:r>
          </w:p>
        </w:tc>
        <w:tc>
          <w:tcPr>
            <w:tcW w:type="dxa" w:w="2592"/>
            <w:vAlign w:val="center"/>
            <w:shd w:fill="F4FBF7"/>
          </w:tcPr>
          <w:p>
            <w:pPr>
              <w:spacing w:before="60" w:after="60"/>
            </w:pPr>
            <w:r>
              <w:rPr>
                <w:sz w:val="18"/>
              </w:rPr>
              <w:t>PRIMARY KEY AUTOINCREMENT</w:t>
            </w:r>
          </w:p>
        </w:tc>
        <w:tc>
          <w:tcPr>
            <w:tcW w:type="dxa" w:w="2880"/>
            <w:vAlign w:val="center"/>
            <w:shd w:fill="F4FBF7"/>
          </w:tcPr>
          <w:p>
            <w:pPr>
              <w:spacing w:before="60" w:after="60"/>
            </w:pPr>
            <w:r>
              <w:rPr>
                <w:sz w:val="18"/>
              </w:rPr>
              <w:t>Unique park identifier</w:t>
            </w:r>
          </w:p>
        </w:tc>
      </w:tr>
      <w:tr>
        <w:trPr>
          <w:cantSplit/>
        </w:trPr>
        <w:tc>
          <w:tcPr>
            <w:tcW w:type="dxa" w:w="2160"/>
            <w:vAlign w:val="center"/>
            <w:shd w:fill="FFFFFF"/>
          </w:tcPr>
          <w:p>
            <w:pPr>
              <w:spacing w:before="60" w:after="60"/>
            </w:pPr>
            <w:r>
              <w:rPr>
                <w:sz w:val="18"/>
              </w:rPr>
              <w:t>name</w:t>
            </w:r>
          </w:p>
        </w:tc>
        <w:tc>
          <w:tcPr>
            <w:tcW w:type="dxa" w:w="1728"/>
            <w:vAlign w:val="center"/>
            <w:shd w:fill="FFFFFF"/>
          </w:tcPr>
          <w:p>
            <w:pPr>
              <w:spacing w:before="60" w:after="60"/>
            </w:pPr>
            <w:r>
              <w:rPr>
                <w:sz w:val="18"/>
              </w:rPr>
              <w:t>VARCHAR(100)</w:t>
            </w:r>
          </w:p>
        </w:tc>
        <w:tc>
          <w:tcPr>
            <w:tcW w:type="dxa" w:w="2592"/>
            <w:vAlign w:val="center"/>
            <w:shd w:fill="FFFFFF"/>
          </w:tcPr>
          <w:p>
            <w:pPr>
              <w:spacing w:before="60" w:after="60"/>
            </w:pPr>
            <w:r>
              <w:rPr>
                <w:sz w:val="18"/>
              </w:rPr>
              <w:t>NOT NULL</w:t>
            </w:r>
          </w:p>
        </w:tc>
        <w:tc>
          <w:tcPr>
            <w:tcW w:type="dxa" w:w="2880"/>
            <w:vAlign w:val="center"/>
            <w:shd w:fill="FFFFFF"/>
          </w:tcPr>
          <w:p>
            <w:pPr>
              <w:spacing w:before="60" w:after="60"/>
            </w:pPr>
            <w:r>
              <w:rPr>
                <w:sz w:val="18"/>
              </w:rPr>
              <w:t>Official name of the municipal park</w:t>
            </w:r>
          </w:p>
        </w:tc>
      </w:tr>
      <w:tr>
        <w:trPr>
          <w:cantSplit/>
        </w:trPr>
        <w:tc>
          <w:tcPr>
            <w:tcW w:type="dxa" w:w="2160"/>
            <w:vAlign w:val="center"/>
            <w:shd w:fill="F4FBF7"/>
          </w:tcPr>
          <w:p>
            <w:pPr>
              <w:spacing w:before="60" w:after="60"/>
            </w:pPr>
            <w:r>
              <w:rPr>
                <w:sz w:val="18"/>
              </w:rPr>
              <w:t>location</w:t>
            </w:r>
          </w:p>
        </w:tc>
        <w:tc>
          <w:tcPr>
            <w:tcW w:type="dxa" w:w="1728"/>
            <w:vAlign w:val="center"/>
            <w:shd w:fill="F4FBF7"/>
          </w:tcPr>
          <w:p>
            <w:pPr>
              <w:spacing w:before="60" w:after="60"/>
            </w:pPr>
            <w:r>
              <w:rPr>
                <w:sz w:val="18"/>
              </w:rPr>
              <w:t>VARCHAR(150)</w:t>
            </w:r>
          </w:p>
        </w:tc>
        <w:tc>
          <w:tcPr>
            <w:tcW w:type="dxa" w:w="2592"/>
            <w:vAlign w:val="center"/>
            <w:shd w:fill="F4FBF7"/>
          </w:tcPr>
          <w:p>
            <w:pPr>
              <w:spacing w:before="60" w:after="60"/>
            </w:pPr>
            <w:r>
              <w:rPr>
                <w:sz w:val="18"/>
              </w:rPr>
              <w:t>NOT NULL</w:t>
            </w:r>
          </w:p>
        </w:tc>
        <w:tc>
          <w:tcPr>
            <w:tcW w:type="dxa" w:w="2880"/>
            <w:vAlign w:val="center"/>
            <w:shd w:fill="F4FBF7"/>
          </w:tcPr>
          <w:p>
            <w:pPr>
              <w:spacing w:before="60" w:after="60"/>
            </w:pPr>
            <w:r>
              <w:rPr>
                <w:sz w:val="18"/>
              </w:rPr>
              <w:t>Street address or landmark description</w:t>
            </w:r>
          </w:p>
        </w:tc>
      </w:tr>
      <w:tr>
        <w:trPr>
          <w:cantSplit/>
        </w:trPr>
        <w:tc>
          <w:tcPr>
            <w:tcW w:type="dxa" w:w="2160"/>
            <w:vAlign w:val="center"/>
            <w:shd w:fill="FFFFFF"/>
          </w:tcPr>
          <w:p>
            <w:pPr>
              <w:spacing w:before="60" w:after="60"/>
            </w:pPr>
            <w:r>
              <w:rPr>
                <w:sz w:val="18"/>
              </w:rPr>
              <w:t>ward_no</w:t>
            </w:r>
          </w:p>
        </w:tc>
        <w:tc>
          <w:tcPr>
            <w:tcW w:type="dxa" w:w="1728"/>
            <w:vAlign w:val="center"/>
            <w:shd w:fill="FFFFFF"/>
          </w:tcPr>
          <w:p>
            <w:pPr>
              <w:spacing w:before="60" w:after="60"/>
            </w:pPr>
            <w:r>
              <w:rPr>
                <w:sz w:val="18"/>
              </w:rPr>
              <w:t>VARCHAR(20)</w:t>
            </w:r>
          </w:p>
        </w:tc>
        <w:tc>
          <w:tcPr>
            <w:tcW w:type="dxa" w:w="2592"/>
            <w:vAlign w:val="center"/>
            <w:shd w:fill="FFFFFF"/>
          </w:tcPr>
          <w:p>
            <w:pPr>
              <w:spacing w:before="60" w:after="60"/>
            </w:pPr>
            <w:r>
              <w:rPr>
                <w:sz w:val="18"/>
              </w:rPr>
              <w:t>NULLABLE</w:t>
            </w:r>
          </w:p>
        </w:tc>
        <w:tc>
          <w:tcPr>
            <w:tcW w:type="dxa" w:w="2880"/>
            <w:vAlign w:val="center"/>
            <w:shd w:fill="FFFFFF"/>
          </w:tcPr>
          <w:p>
            <w:pPr>
              <w:spacing w:before="60" w:after="60"/>
            </w:pPr>
            <w:r>
              <w:rPr>
                <w:sz w:val="18"/>
              </w:rPr>
              <w:t>Administrative ward code (e.g. Ward-12)</w:t>
            </w:r>
          </w:p>
        </w:tc>
      </w:tr>
      <w:tr>
        <w:trPr>
          <w:cantSplit/>
        </w:trPr>
        <w:tc>
          <w:tcPr>
            <w:tcW w:type="dxa" w:w="2160"/>
            <w:vAlign w:val="center"/>
            <w:shd w:fill="F4FBF7"/>
          </w:tcPr>
          <w:p>
            <w:pPr>
              <w:spacing w:before="60" w:after="60"/>
            </w:pPr>
            <w:r>
              <w:rPr>
                <w:sz w:val="18"/>
              </w:rPr>
              <w:t>area_sq_m</w:t>
            </w:r>
          </w:p>
        </w:tc>
        <w:tc>
          <w:tcPr>
            <w:tcW w:type="dxa" w:w="1728"/>
            <w:vAlign w:val="center"/>
            <w:shd w:fill="F4FBF7"/>
          </w:tcPr>
          <w:p>
            <w:pPr>
              <w:spacing w:before="60" w:after="60"/>
            </w:pPr>
            <w:r>
              <w:rPr>
                <w:sz w:val="18"/>
              </w:rPr>
              <w:t>REAL</w:t>
            </w:r>
          </w:p>
        </w:tc>
        <w:tc>
          <w:tcPr>
            <w:tcW w:type="dxa" w:w="2592"/>
            <w:vAlign w:val="center"/>
            <w:shd w:fill="F4FBF7"/>
          </w:tcPr>
          <w:p>
            <w:pPr>
              <w:spacing w:before="60" w:after="60"/>
            </w:pPr>
            <w:r>
              <w:rPr>
                <w:sz w:val="18"/>
              </w:rPr>
              <w:t>NOT NULL</w:t>
            </w:r>
          </w:p>
        </w:tc>
        <w:tc>
          <w:tcPr>
            <w:tcW w:type="dxa" w:w="2880"/>
            <w:vAlign w:val="center"/>
            <w:shd w:fill="F4FBF7"/>
          </w:tcPr>
          <w:p>
            <w:pPr>
              <w:spacing w:before="60" w:after="60"/>
            </w:pPr>
            <w:r>
              <w:rPr>
                <w:sz w:val="18"/>
              </w:rPr>
              <w:t>Total park land footprint in square meters</w:t>
            </w:r>
          </w:p>
        </w:tc>
      </w:tr>
      <w:tr>
        <w:trPr>
          <w:cantSplit/>
        </w:trPr>
        <w:tc>
          <w:tcPr>
            <w:tcW w:type="dxa" w:w="2160"/>
            <w:vAlign w:val="center"/>
            <w:shd w:fill="FFFFFF"/>
          </w:tcPr>
          <w:p>
            <w:pPr>
              <w:spacing w:before="60" w:after="60"/>
            </w:pPr>
            <w:r>
              <w:rPr>
                <w:sz w:val="18"/>
              </w:rPr>
              <w:t>park_type</w:t>
            </w:r>
          </w:p>
        </w:tc>
        <w:tc>
          <w:tcPr>
            <w:tcW w:type="dxa" w:w="1728"/>
            <w:vAlign w:val="center"/>
            <w:shd w:fill="FFFFFF"/>
          </w:tcPr>
          <w:p>
            <w:pPr>
              <w:spacing w:before="60" w:after="60"/>
            </w:pPr>
            <w:r>
              <w:rPr>
                <w:sz w:val="18"/>
              </w:rPr>
              <w:t>VARCHAR(50)</w:t>
            </w:r>
          </w:p>
        </w:tc>
        <w:tc>
          <w:tcPr>
            <w:tcW w:type="dxa" w:w="2592"/>
            <w:vAlign w:val="center"/>
            <w:shd w:fill="FFFFFF"/>
          </w:tcPr>
          <w:p>
            <w:pPr>
              <w:spacing w:before="60" w:after="60"/>
            </w:pPr>
            <w:r>
              <w:rPr>
                <w:sz w:val="18"/>
              </w:rPr>
              <w:t>NOT NULL</w:t>
            </w:r>
          </w:p>
        </w:tc>
        <w:tc>
          <w:tcPr>
            <w:tcW w:type="dxa" w:w="2880"/>
            <w:vAlign w:val="center"/>
            <w:shd w:fill="FFFFFF"/>
          </w:tcPr>
          <w:p>
            <w:pPr>
              <w:spacing w:before="60" w:after="60"/>
            </w:pPr>
            <w:r>
              <w:rPr>
                <w:sz w:val="18"/>
              </w:rPr>
              <w:t>Typology (Botanical, Community, Pocket Park)</w:t>
            </w:r>
          </w:p>
        </w:tc>
      </w:tr>
      <w:tr>
        <w:trPr>
          <w:cantSplit/>
        </w:trPr>
        <w:tc>
          <w:tcPr>
            <w:tcW w:type="dxa" w:w="2160"/>
            <w:vAlign w:val="center"/>
            <w:shd w:fill="F4FBF7"/>
          </w:tcPr>
          <w:p>
            <w:pPr>
              <w:spacing w:before="60" w:after="60"/>
            </w:pPr>
            <w:r>
              <w:rPr>
                <w:sz w:val="18"/>
              </w:rPr>
              <w:t>established_year</w:t>
            </w:r>
          </w:p>
        </w:tc>
        <w:tc>
          <w:tcPr>
            <w:tcW w:type="dxa" w:w="1728"/>
            <w:vAlign w:val="center"/>
            <w:shd w:fill="F4FBF7"/>
          </w:tcPr>
          <w:p>
            <w:pPr>
              <w:spacing w:before="60" w:after="60"/>
            </w:pPr>
            <w:r>
              <w:rPr>
                <w:sz w:val="18"/>
              </w:rPr>
              <w:t>INTEGER</w:t>
            </w:r>
          </w:p>
        </w:tc>
        <w:tc>
          <w:tcPr>
            <w:tcW w:type="dxa" w:w="2592"/>
            <w:vAlign w:val="center"/>
            <w:shd w:fill="F4FBF7"/>
          </w:tcPr>
          <w:p>
            <w:pPr>
              <w:spacing w:before="60" w:after="60"/>
            </w:pPr>
            <w:r>
              <w:rPr>
                <w:sz w:val="18"/>
              </w:rPr>
              <w:t>NULLABLE</w:t>
            </w:r>
          </w:p>
        </w:tc>
        <w:tc>
          <w:tcPr>
            <w:tcW w:type="dxa" w:w="2880"/>
            <w:vAlign w:val="center"/>
            <w:shd w:fill="F4FBF7"/>
          </w:tcPr>
          <w:p>
            <w:pPr>
              <w:spacing w:before="60" w:after="60"/>
            </w:pPr>
            <w:r>
              <w:rPr>
                <w:sz w:val="18"/>
              </w:rPr>
              <w:t>Calendar year park was opened</w:t>
            </w:r>
          </w:p>
        </w:tc>
      </w:tr>
      <w:tr>
        <w:trPr>
          <w:cantSplit/>
        </w:trPr>
        <w:tc>
          <w:tcPr>
            <w:tcW w:type="dxa" w:w="2160"/>
            <w:vAlign w:val="center"/>
            <w:shd w:fill="FFFFFF"/>
          </w:tcPr>
          <w:p>
            <w:pPr>
              <w:spacing w:before="60" w:after="60"/>
            </w:pPr>
            <w:r>
              <w:rPr>
                <w:sz w:val="18"/>
              </w:rPr>
              <w:t>contact_officer</w:t>
            </w:r>
          </w:p>
        </w:tc>
        <w:tc>
          <w:tcPr>
            <w:tcW w:type="dxa" w:w="1728"/>
            <w:vAlign w:val="center"/>
            <w:shd w:fill="FFFFFF"/>
          </w:tcPr>
          <w:p>
            <w:pPr>
              <w:spacing w:before="60" w:after="60"/>
            </w:pPr>
            <w:r>
              <w:rPr>
                <w:sz w:val="18"/>
              </w:rPr>
              <w:t>VARCHAR(100)</w:t>
            </w:r>
          </w:p>
        </w:tc>
        <w:tc>
          <w:tcPr>
            <w:tcW w:type="dxa" w:w="2592"/>
            <w:vAlign w:val="center"/>
            <w:shd w:fill="FFFFFF"/>
          </w:tcPr>
          <w:p>
            <w:pPr>
              <w:spacing w:before="60" w:after="60"/>
            </w:pPr>
            <w:r>
              <w:rPr>
                <w:sz w:val="18"/>
              </w:rPr>
              <w:t>NULLABLE</w:t>
            </w:r>
          </w:p>
        </w:tc>
        <w:tc>
          <w:tcPr>
            <w:tcW w:type="dxa" w:w="2880"/>
            <w:vAlign w:val="center"/>
            <w:shd w:fill="FFFFFF"/>
          </w:tcPr>
          <w:p>
            <w:pPr>
              <w:spacing w:before="60" w:after="60"/>
            </w:pPr>
            <w:r>
              <w:rPr>
                <w:sz w:val="18"/>
              </w:rPr>
              <w:t>Supervising horticulture officer</w:t>
            </w:r>
          </w:p>
        </w:tc>
      </w:tr>
      <w:tr>
        <w:trPr>
          <w:cantSplit/>
        </w:trPr>
        <w:tc>
          <w:tcPr>
            <w:tcW w:type="dxa" w:w="2160"/>
            <w:vAlign w:val="center"/>
            <w:shd w:fill="F4FBF7"/>
          </w:tcPr>
          <w:p>
            <w:pPr>
              <w:spacing w:before="60" w:after="60"/>
            </w:pPr>
            <w:r>
              <w:rPr>
                <w:sz w:val="18"/>
              </w:rPr>
              <w:t>status</w:t>
            </w:r>
          </w:p>
        </w:tc>
        <w:tc>
          <w:tcPr>
            <w:tcW w:type="dxa" w:w="1728"/>
            <w:vAlign w:val="center"/>
            <w:shd w:fill="F4FBF7"/>
          </w:tcPr>
          <w:p>
            <w:pPr>
              <w:spacing w:before="60" w:after="60"/>
            </w:pPr>
            <w:r>
              <w:rPr>
                <w:sz w:val="18"/>
              </w:rPr>
              <w:t>VARCHAR(30)</w:t>
            </w:r>
          </w:p>
        </w:tc>
        <w:tc>
          <w:tcPr>
            <w:tcW w:type="dxa" w:w="2592"/>
            <w:vAlign w:val="center"/>
            <w:shd w:fill="F4FBF7"/>
          </w:tcPr>
          <w:p>
            <w:pPr>
              <w:spacing w:before="60" w:after="60"/>
            </w:pPr>
            <w:r>
              <w:rPr>
                <w:sz w:val="18"/>
              </w:rPr>
              <w:t>DEFAULT 'Active'</w:t>
            </w:r>
          </w:p>
        </w:tc>
        <w:tc>
          <w:tcPr>
            <w:tcW w:type="dxa" w:w="2880"/>
            <w:vAlign w:val="center"/>
            <w:shd w:fill="F4FBF7"/>
          </w:tcPr>
          <w:p>
            <w:pPr>
              <w:spacing w:before="60" w:after="60"/>
            </w:pPr>
            <w:r>
              <w:rPr>
                <w:sz w:val="18"/>
              </w:rPr>
              <w:t>Operational status (Active, Renovation, Proposed)</w:t>
            </w:r>
          </w:p>
        </w:tc>
      </w:tr>
      <w:tr>
        <w:trPr>
          <w:cantSplit/>
        </w:trPr>
        <w:tc>
          <w:tcPr>
            <w:tcW w:type="dxa" w:w="2160"/>
            <w:vAlign w:val="center"/>
            <w:shd w:fill="FFFFFF"/>
          </w:tcPr>
          <w:p>
            <w:pPr>
              <w:spacing w:before="60" w:after="60"/>
            </w:pPr>
            <w:r>
              <w:rPr>
                <w:sz w:val="18"/>
              </w:rPr>
              <w:t>maintenance_status</w:t>
            </w:r>
          </w:p>
        </w:tc>
        <w:tc>
          <w:tcPr>
            <w:tcW w:type="dxa" w:w="1728"/>
            <w:vAlign w:val="center"/>
            <w:shd w:fill="FFFFFF"/>
          </w:tcPr>
          <w:p>
            <w:pPr>
              <w:spacing w:before="60" w:after="60"/>
            </w:pPr>
            <w:r>
              <w:rPr>
                <w:sz w:val="18"/>
              </w:rPr>
              <w:t>VARCHAR(30)</w:t>
            </w:r>
          </w:p>
        </w:tc>
        <w:tc>
          <w:tcPr>
            <w:tcW w:type="dxa" w:w="2592"/>
            <w:vAlign w:val="center"/>
            <w:shd w:fill="FFFFFF"/>
          </w:tcPr>
          <w:p>
            <w:pPr>
              <w:spacing w:before="60" w:after="60"/>
            </w:pPr>
            <w:r>
              <w:rPr>
                <w:sz w:val="18"/>
              </w:rPr>
              <w:t>DEFAULT 'Good'</w:t>
            </w:r>
          </w:p>
        </w:tc>
        <w:tc>
          <w:tcPr>
            <w:tcW w:type="dxa" w:w="2880"/>
            <w:vAlign w:val="center"/>
            <w:shd w:fill="FFFFFF"/>
          </w:tcPr>
          <w:p>
            <w:pPr>
              <w:spacing w:before="60" w:after="60"/>
            </w:pPr>
            <w:r>
              <w:rPr>
                <w:sz w:val="18"/>
              </w:rPr>
              <w:t>Physical condition (Good, Moderate, Needs Attention)</w:t>
            </w:r>
          </w:p>
        </w:tc>
      </w:tr>
    </w:tbl>
    <w:p>
      <w:pPr>
        <w:pStyle w:val="Heading2"/>
      </w:pPr>
      <w:r>
        <w:rPr>
          <w:color w:val="064E3B"/>
        </w:rPr>
        <w:t>6.2 Tree Inventory Table (trees)</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160"/>
            <w:vAlign w:val="center"/>
            <w:shd w:fill="064E3B"/>
          </w:tcPr>
          <w:p>
            <w:pPr>
              <w:spacing w:before="80" w:after="80"/>
            </w:pPr>
            <w:r>
              <w:rPr>
                <w:b/>
                <w:color w:val="FFFFFF"/>
                <w:sz w:val="19"/>
              </w:rPr>
              <w:t>Field Name</w:t>
            </w:r>
          </w:p>
        </w:tc>
        <w:tc>
          <w:tcPr>
            <w:tcW w:type="dxa" w:w="1728"/>
            <w:vAlign w:val="center"/>
            <w:shd w:fill="064E3B"/>
          </w:tcPr>
          <w:p>
            <w:pPr>
              <w:spacing w:before="80" w:after="80"/>
            </w:pPr>
            <w:r>
              <w:rPr>
                <w:b/>
                <w:color w:val="FFFFFF"/>
                <w:sz w:val="19"/>
              </w:rPr>
              <w:t>Data Type</w:t>
            </w:r>
          </w:p>
        </w:tc>
        <w:tc>
          <w:tcPr>
            <w:tcW w:type="dxa" w:w="2592"/>
            <w:vAlign w:val="center"/>
            <w:shd w:fill="064E3B"/>
          </w:tcPr>
          <w:p>
            <w:pPr>
              <w:spacing w:before="80" w:after="80"/>
            </w:pPr>
            <w:r>
              <w:rPr>
                <w:b/>
                <w:color w:val="FFFFFF"/>
                <w:sz w:val="19"/>
              </w:rPr>
              <w:t>Constraints</w:t>
            </w:r>
          </w:p>
        </w:tc>
        <w:tc>
          <w:tcPr>
            <w:tcW w:type="dxa" w:w="2880"/>
            <w:vAlign w:val="center"/>
            <w:shd w:fill="064E3B"/>
          </w:tcPr>
          <w:p>
            <w:pPr>
              <w:spacing w:before="80" w:after="80"/>
            </w:pPr>
            <w:r>
              <w:rPr>
                <w:b/>
                <w:color w:val="FFFFFF"/>
                <w:sz w:val="19"/>
              </w:rPr>
              <w:t>Description</w:t>
            </w:r>
          </w:p>
        </w:tc>
      </w:tr>
      <w:tr>
        <w:trPr>
          <w:cantSplit/>
        </w:trPr>
        <w:tc>
          <w:tcPr>
            <w:tcW w:type="dxa" w:w="2160"/>
            <w:vAlign w:val="center"/>
            <w:shd w:fill="F4FBF7"/>
          </w:tcPr>
          <w:p>
            <w:pPr>
              <w:spacing w:before="60" w:after="60"/>
            </w:pPr>
            <w:r>
              <w:rPr>
                <w:sz w:val="18"/>
              </w:rPr>
              <w:t>id</w:t>
            </w:r>
          </w:p>
        </w:tc>
        <w:tc>
          <w:tcPr>
            <w:tcW w:type="dxa" w:w="1728"/>
            <w:vAlign w:val="center"/>
            <w:shd w:fill="F4FBF7"/>
          </w:tcPr>
          <w:p>
            <w:pPr>
              <w:spacing w:before="60" w:after="60"/>
            </w:pPr>
            <w:r>
              <w:rPr>
                <w:sz w:val="18"/>
              </w:rPr>
              <w:t>INTEGER</w:t>
            </w:r>
          </w:p>
        </w:tc>
        <w:tc>
          <w:tcPr>
            <w:tcW w:type="dxa" w:w="2592"/>
            <w:vAlign w:val="center"/>
            <w:shd w:fill="F4FBF7"/>
          </w:tcPr>
          <w:p>
            <w:pPr>
              <w:spacing w:before="60" w:after="60"/>
            </w:pPr>
            <w:r>
              <w:rPr>
                <w:sz w:val="18"/>
              </w:rPr>
              <w:t>PRIMARY KEY AUTOINCREMENT</w:t>
            </w:r>
          </w:p>
        </w:tc>
        <w:tc>
          <w:tcPr>
            <w:tcW w:type="dxa" w:w="2880"/>
            <w:vAlign w:val="center"/>
            <w:shd w:fill="F4FBF7"/>
          </w:tcPr>
          <w:p>
            <w:pPr>
              <w:spacing w:before="60" w:after="60"/>
            </w:pPr>
            <w:r>
              <w:rPr>
                <w:sz w:val="18"/>
              </w:rPr>
              <w:t>Unique tree record ID</w:t>
            </w:r>
          </w:p>
        </w:tc>
      </w:tr>
      <w:tr>
        <w:trPr>
          <w:cantSplit/>
        </w:trPr>
        <w:tc>
          <w:tcPr>
            <w:tcW w:type="dxa" w:w="2160"/>
            <w:vAlign w:val="center"/>
            <w:shd w:fill="FFFFFF"/>
          </w:tcPr>
          <w:p>
            <w:pPr>
              <w:spacing w:before="60" w:after="60"/>
            </w:pPr>
            <w:r>
              <w:rPr>
                <w:sz w:val="18"/>
              </w:rPr>
              <w:t>tree_code</w:t>
            </w:r>
          </w:p>
        </w:tc>
        <w:tc>
          <w:tcPr>
            <w:tcW w:type="dxa" w:w="1728"/>
            <w:vAlign w:val="center"/>
            <w:shd w:fill="FFFFFF"/>
          </w:tcPr>
          <w:p>
            <w:pPr>
              <w:spacing w:before="60" w:after="60"/>
            </w:pPr>
            <w:r>
              <w:rPr>
                <w:sz w:val="18"/>
              </w:rPr>
              <w:t>VARCHAR(50)</w:t>
            </w:r>
          </w:p>
        </w:tc>
        <w:tc>
          <w:tcPr>
            <w:tcW w:type="dxa" w:w="2592"/>
            <w:vAlign w:val="center"/>
            <w:shd w:fill="FFFFFF"/>
          </w:tcPr>
          <w:p>
            <w:pPr>
              <w:spacing w:before="60" w:after="60"/>
            </w:pPr>
            <w:r>
              <w:rPr>
                <w:sz w:val="18"/>
              </w:rPr>
              <w:t>NOT NULL UNIQUE</w:t>
            </w:r>
          </w:p>
        </w:tc>
        <w:tc>
          <w:tcPr>
            <w:tcW w:type="dxa" w:w="2880"/>
            <w:vAlign w:val="center"/>
            <w:shd w:fill="FFFFFF"/>
          </w:tcPr>
          <w:p>
            <w:pPr>
              <w:spacing w:before="60" w:after="60"/>
            </w:pPr>
            <w:r>
              <w:rPr>
                <w:sz w:val="18"/>
              </w:rPr>
              <w:t>Physical tree RFID/metal tag identifier</w:t>
            </w:r>
          </w:p>
        </w:tc>
      </w:tr>
      <w:tr>
        <w:trPr>
          <w:cantSplit/>
        </w:trPr>
        <w:tc>
          <w:tcPr>
            <w:tcW w:type="dxa" w:w="2160"/>
            <w:vAlign w:val="center"/>
            <w:shd w:fill="F4FBF7"/>
          </w:tcPr>
          <w:p>
            <w:pPr>
              <w:spacing w:before="60" w:after="60"/>
            </w:pPr>
            <w:r>
              <w:rPr>
                <w:sz w:val="18"/>
              </w:rPr>
              <w:t>species</w:t>
            </w:r>
          </w:p>
        </w:tc>
        <w:tc>
          <w:tcPr>
            <w:tcW w:type="dxa" w:w="1728"/>
            <w:vAlign w:val="center"/>
            <w:shd w:fill="F4FBF7"/>
          </w:tcPr>
          <w:p>
            <w:pPr>
              <w:spacing w:before="60" w:after="60"/>
            </w:pPr>
            <w:r>
              <w:rPr>
                <w:sz w:val="18"/>
              </w:rPr>
              <w:t>VARCHAR(100)</w:t>
            </w:r>
          </w:p>
        </w:tc>
        <w:tc>
          <w:tcPr>
            <w:tcW w:type="dxa" w:w="2592"/>
            <w:vAlign w:val="center"/>
            <w:shd w:fill="F4FBF7"/>
          </w:tcPr>
          <w:p>
            <w:pPr>
              <w:spacing w:before="60" w:after="60"/>
            </w:pPr>
            <w:r>
              <w:rPr>
                <w:sz w:val="18"/>
              </w:rPr>
              <w:t>NOT NULL</w:t>
            </w:r>
          </w:p>
        </w:tc>
        <w:tc>
          <w:tcPr>
            <w:tcW w:type="dxa" w:w="2880"/>
            <w:vAlign w:val="center"/>
            <w:shd w:fill="F4FBF7"/>
          </w:tcPr>
          <w:p>
            <w:pPr>
              <w:spacing w:before="60" w:after="60"/>
            </w:pPr>
            <w:r>
              <w:rPr>
                <w:sz w:val="18"/>
              </w:rPr>
              <w:t>Botanical binomial name (e.g. Azadirachta indica)</w:t>
            </w:r>
          </w:p>
        </w:tc>
      </w:tr>
      <w:tr>
        <w:trPr>
          <w:cantSplit/>
        </w:trPr>
        <w:tc>
          <w:tcPr>
            <w:tcW w:type="dxa" w:w="2160"/>
            <w:vAlign w:val="center"/>
            <w:shd w:fill="FFFFFF"/>
          </w:tcPr>
          <w:p>
            <w:pPr>
              <w:spacing w:before="60" w:after="60"/>
            </w:pPr>
            <w:r>
              <w:rPr>
                <w:sz w:val="18"/>
              </w:rPr>
              <w:t>common_name</w:t>
            </w:r>
          </w:p>
        </w:tc>
        <w:tc>
          <w:tcPr>
            <w:tcW w:type="dxa" w:w="1728"/>
            <w:vAlign w:val="center"/>
            <w:shd w:fill="FFFFFF"/>
          </w:tcPr>
          <w:p>
            <w:pPr>
              <w:spacing w:before="60" w:after="60"/>
            </w:pPr>
            <w:r>
              <w:rPr>
                <w:sz w:val="18"/>
              </w:rPr>
              <w:t>VARCHAR(100)</w:t>
            </w:r>
          </w:p>
        </w:tc>
        <w:tc>
          <w:tcPr>
            <w:tcW w:type="dxa" w:w="2592"/>
            <w:vAlign w:val="center"/>
            <w:shd w:fill="FFFFFF"/>
          </w:tcPr>
          <w:p>
            <w:pPr>
              <w:spacing w:before="60" w:after="60"/>
            </w:pPr>
            <w:r>
              <w:rPr>
                <w:sz w:val="18"/>
              </w:rPr>
              <w:t>NOT NULL</w:t>
            </w:r>
          </w:p>
        </w:tc>
        <w:tc>
          <w:tcPr>
            <w:tcW w:type="dxa" w:w="2880"/>
            <w:vAlign w:val="center"/>
            <w:shd w:fill="FFFFFF"/>
          </w:tcPr>
          <w:p>
            <w:pPr>
              <w:spacing w:before="60" w:after="60"/>
            </w:pPr>
            <w:r>
              <w:rPr>
                <w:sz w:val="18"/>
              </w:rPr>
              <w:t>Vernacular name (e.g. Neem Tree)</w:t>
            </w:r>
          </w:p>
        </w:tc>
      </w:tr>
      <w:tr>
        <w:trPr>
          <w:cantSplit/>
        </w:trPr>
        <w:tc>
          <w:tcPr>
            <w:tcW w:type="dxa" w:w="2160"/>
            <w:vAlign w:val="center"/>
            <w:shd w:fill="F4FBF7"/>
          </w:tcPr>
          <w:p>
            <w:pPr>
              <w:spacing w:before="60" w:after="60"/>
            </w:pPr>
            <w:r>
              <w:rPr>
                <w:sz w:val="18"/>
              </w:rPr>
              <w:t>park_id</w:t>
            </w:r>
          </w:p>
        </w:tc>
        <w:tc>
          <w:tcPr>
            <w:tcW w:type="dxa" w:w="1728"/>
            <w:vAlign w:val="center"/>
            <w:shd w:fill="F4FBF7"/>
          </w:tcPr>
          <w:p>
            <w:pPr>
              <w:spacing w:before="60" w:after="60"/>
            </w:pPr>
            <w:r>
              <w:rPr>
                <w:sz w:val="18"/>
              </w:rPr>
              <w:t>INTEGER</w:t>
            </w:r>
          </w:p>
        </w:tc>
        <w:tc>
          <w:tcPr>
            <w:tcW w:type="dxa" w:w="2592"/>
            <w:vAlign w:val="center"/>
            <w:shd w:fill="F4FBF7"/>
          </w:tcPr>
          <w:p>
            <w:pPr>
              <w:spacing w:before="60" w:after="60"/>
            </w:pPr>
            <w:r>
              <w:rPr>
                <w:sz w:val="18"/>
              </w:rPr>
              <w:t>FOREIGN KEY -&gt; parks(id)</w:t>
            </w:r>
          </w:p>
        </w:tc>
        <w:tc>
          <w:tcPr>
            <w:tcW w:type="dxa" w:w="2880"/>
            <w:vAlign w:val="center"/>
            <w:shd w:fill="F4FBF7"/>
          </w:tcPr>
          <w:p>
            <w:pPr>
              <w:spacing w:before="60" w:after="60"/>
            </w:pPr>
            <w:r>
              <w:rPr>
                <w:sz w:val="18"/>
              </w:rPr>
              <w:t>Associated municipal park (ON DELETE SET NULL)</w:t>
            </w:r>
          </w:p>
        </w:tc>
      </w:tr>
      <w:tr>
        <w:trPr>
          <w:cantSplit/>
        </w:trPr>
        <w:tc>
          <w:tcPr>
            <w:tcW w:type="dxa" w:w="2160"/>
            <w:vAlign w:val="center"/>
            <w:shd w:fill="FFFFFF"/>
          </w:tcPr>
          <w:p>
            <w:pPr>
              <w:spacing w:before="60" w:after="60"/>
            </w:pPr>
            <w:r>
              <w:rPr>
                <w:sz w:val="18"/>
              </w:rPr>
              <w:t>age_years</w:t>
            </w:r>
          </w:p>
        </w:tc>
        <w:tc>
          <w:tcPr>
            <w:tcW w:type="dxa" w:w="1728"/>
            <w:vAlign w:val="center"/>
            <w:shd w:fill="FFFFFF"/>
          </w:tcPr>
          <w:p>
            <w:pPr>
              <w:spacing w:before="60" w:after="60"/>
            </w:pPr>
            <w:r>
              <w:rPr>
                <w:sz w:val="18"/>
              </w:rPr>
              <w:t>INTEGER</w:t>
            </w:r>
          </w:p>
        </w:tc>
        <w:tc>
          <w:tcPr>
            <w:tcW w:type="dxa" w:w="2592"/>
            <w:vAlign w:val="center"/>
            <w:shd w:fill="FFFFFF"/>
          </w:tcPr>
          <w:p>
            <w:pPr>
              <w:spacing w:before="60" w:after="60"/>
            </w:pPr>
            <w:r>
              <w:rPr>
                <w:sz w:val="18"/>
              </w:rPr>
              <w:t>NULLABLE</w:t>
            </w:r>
          </w:p>
        </w:tc>
        <w:tc>
          <w:tcPr>
            <w:tcW w:type="dxa" w:w="2880"/>
            <w:vAlign w:val="center"/>
            <w:shd w:fill="FFFFFF"/>
          </w:tcPr>
          <w:p>
            <w:pPr>
              <w:spacing w:before="60" w:after="60"/>
            </w:pPr>
            <w:r>
              <w:rPr>
                <w:sz w:val="18"/>
              </w:rPr>
              <w:t>Estimated specimen age in calendar years</w:t>
            </w:r>
          </w:p>
        </w:tc>
      </w:tr>
      <w:tr>
        <w:trPr>
          <w:cantSplit/>
        </w:trPr>
        <w:tc>
          <w:tcPr>
            <w:tcW w:type="dxa" w:w="2160"/>
            <w:vAlign w:val="center"/>
            <w:shd w:fill="F4FBF7"/>
          </w:tcPr>
          <w:p>
            <w:pPr>
              <w:spacing w:before="60" w:after="60"/>
            </w:pPr>
            <w:r>
              <w:rPr>
                <w:sz w:val="18"/>
              </w:rPr>
              <w:t>height_m</w:t>
            </w:r>
          </w:p>
        </w:tc>
        <w:tc>
          <w:tcPr>
            <w:tcW w:type="dxa" w:w="1728"/>
            <w:vAlign w:val="center"/>
            <w:shd w:fill="F4FBF7"/>
          </w:tcPr>
          <w:p>
            <w:pPr>
              <w:spacing w:before="60" w:after="60"/>
            </w:pPr>
            <w:r>
              <w:rPr>
                <w:sz w:val="18"/>
              </w:rPr>
              <w:t>REAL</w:t>
            </w:r>
          </w:p>
        </w:tc>
        <w:tc>
          <w:tcPr>
            <w:tcW w:type="dxa" w:w="2592"/>
            <w:vAlign w:val="center"/>
            <w:shd w:fill="F4FBF7"/>
          </w:tcPr>
          <w:p>
            <w:pPr>
              <w:spacing w:before="60" w:after="60"/>
            </w:pPr>
            <w:r>
              <w:rPr>
                <w:sz w:val="18"/>
              </w:rPr>
              <w:t>NULLABLE</w:t>
            </w:r>
          </w:p>
        </w:tc>
        <w:tc>
          <w:tcPr>
            <w:tcW w:type="dxa" w:w="2880"/>
            <w:vAlign w:val="center"/>
            <w:shd w:fill="F4FBF7"/>
          </w:tcPr>
          <w:p>
            <w:pPr>
              <w:spacing w:before="60" w:after="60"/>
            </w:pPr>
            <w:r>
              <w:rPr>
                <w:sz w:val="18"/>
              </w:rPr>
              <w:t>Specimen height in meters</w:t>
            </w:r>
          </w:p>
        </w:tc>
      </w:tr>
      <w:tr>
        <w:trPr>
          <w:cantSplit/>
        </w:trPr>
        <w:tc>
          <w:tcPr>
            <w:tcW w:type="dxa" w:w="2160"/>
            <w:vAlign w:val="center"/>
            <w:shd w:fill="FFFFFF"/>
          </w:tcPr>
          <w:p>
            <w:pPr>
              <w:spacing w:before="60" w:after="60"/>
            </w:pPr>
            <w:r>
              <w:rPr>
                <w:sz w:val="18"/>
              </w:rPr>
              <w:t>canopy_diameter_m</w:t>
            </w:r>
          </w:p>
        </w:tc>
        <w:tc>
          <w:tcPr>
            <w:tcW w:type="dxa" w:w="1728"/>
            <w:vAlign w:val="center"/>
            <w:shd w:fill="FFFFFF"/>
          </w:tcPr>
          <w:p>
            <w:pPr>
              <w:spacing w:before="60" w:after="60"/>
            </w:pPr>
            <w:r>
              <w:rPr>
                <w:sz w:val="18"/>
              </w:rPr>
              <w:t>REAL</w:t>
            </w:r>
          </w:p>
        </w:tc>
        <w:tc>
          <w:tcPr>
            <w:tcW w:type="dxa" w:w="2592"/>
            <w:vAlign w:val="center"/>
            <w:shd w:fill="FFFFFF"/>
          </w:tcPr>
          <w:p>
            <w:pPr>
              <w:spacing w:before="60" w:after="60"/>
            </w:pPr>
            <w:r>
              <w:rPr>
                <w:sz w:val="18"/>
              </w:rPr>
              <w:t>NULLABLE</w:t>
            </w:r>
          </w:p>
        </w:tc>
        <w:tc>
          <w:tcPr>
            <w:tcW w:type="dxa" w:w="2880"/>
            <w:vAlign w:val="center"/>
            <w:shd w:fill="FFFFFF"/>
          </w:tcPr>
          <w:p>
            <w:pPr>
              <w:spacing w:before="60" w:after="60"/>
            </w:pPr>
            <w:r>
              <w:rPr>
                <w:sz w:val="18"/>
              </w:rPr>
              <w:t>Crown diameter in meters</w:t>
            </w:r>
          </w:p>
        </w:tc>
      </w:tr>
      <w:tr>
        <w:trPr>
          <w:cantSplit/>
        </w:trPr>
        <w:tc>
          <w:tcPr>
            <w:tcW w:type="dxa" w:w="2160"/>
            <w:vAlign w:val="center"/>
            <w:shd w:fill="F4FBF7"/>
          </w:tcPr>
          <w:p>
            <w:pPr>
              <w:spacing w:before="60" w:after="60"/>
            </w:pPr>
            <w:r>
              <w:rPr>
                <w:sz w:val="18"/>
              </w:rPr>
              <w:t>health_status</w:t>
            </w:r>
          </w:p>
        </w:tc>
        <w:tc>
          <w:tcPr>
            <w:tcW w:type="dxa" w:w="1728"/>
            <w:vAlign w:val="center"/>
            <w:shd w:fill="F4FBF7"/>
          </w:tcPr>
          <w:p>
            <w:pPr>
              <w:spacing w:before="60" w:after="60"/>
            </w:pPr>
            <w:r>
              <w:rPr>
                <w:sz w:val="18"/>
              </w:rPr>
              <w:t>VARCHAR(30)</w:t>
            </w:r>
          </w:p>
        </w:tc>
        <w:tc>
          <w:tcPr>
            <w:tcW w:type="dxa" w:w="2592"/>
            <w:vAlign w:val="center"/>
            <w:shd w:fill="F4FBF7"/>
          </w:tcPr>
          <w:p>
            <w:pPr>
              <w:spacing w:before="60" w:after="60"/>
            </w:pPr>
            <w:r>
              <w:rPr>
                <w:sz w:val="18"/>
              </w:rPr>
              <w:t>NOT NULL</w:t>
            </w:r>
          </w:p>
        </w:tc>
        <w:tc>
          <w:tcPr>
            <w:tcW w:type="dxa" w:w="2880"/>
            <w:vAlign w:val="center"/>
            <w:shd w:fill="F4FBF7"/>
          </w:tcPr>
          <w:p>
            <w:pPr>
              <w:spacing w:before="60" w:after="60"/>
            </w:pPr>
            <w:r>
              <w:rPr>
                <w:sz w:val="18"/>
              </w:rPr>
              <w:t>Condition rating (Healthy, Fair, Poor, Critical)</w:t>
            </w:r>
          </w:p>
        </w:tc>
      </w:tr>
      <w:tr>
        <w:trPr>
          <w:cantSplit/>
        </w:trPr>
        <w:tc>
          <w:tcPr>
            <w:tcW w:type="dxa" w:w="2160"/>
            <w:vAlign w:val="center"/>
            <w:shd w:fill="FFFFFF"/>
          </w:tcPr>
          <w:p>
            <w:pPr>
              <w:spacing w:before="60" w:after="60"/>
            </w:pPr>
            <w:r>
              <w:rPr>
                <w:sz w:val="18"/>
              </w:rPr>
              <w:t>maintenance_status</w:t>
            </w:r>
          </w:p>
        </w:tc>
        <w:tc>
          <w:tcPr>
            <w:tcW w:type="dxa" w:w="1728"/>
            <w:vAlign w:val="center"/>
            <w:shd w:fill="FFFFFF"/>
          </w:tcPr>
          <w:p>
            <w:pPr>
              <w:spacing w:before="60" w:after="60"/>
            </w:pPr>
            <w:r>
              <w:rPr>
                <w:sz w:val="18"/>
              </w:rPr>
              <w:t>VARCHAR(40)</w:t>
            </w:r>
          </w:p>
        </w:tc>
        <w:tc>
          <w:tcPr>
            <w:tcW w:type="dxa" w:w="2592"/>
            <w:vAlign w:val="center"/>
            <w:shd w:fill="FFFFFF"/>
          </w:tcPr>
          <w:p>
            <w:pPr>
              <w:spacing w:before="60" w:after="60"/>
            </w:pPr>
            <w:r>
              <w:rPr>
                <w:sz w:val="18"/>
              </w:rPr>
              <w:t>NOT NULL</w:t>
            </w:r>
          </w:p>
        </w:tc>
        <w:tc>
          <w:tcPr>
            <w:tcW w:type="dxa" w:w="2880"/>
            <w:vAlign w:val="center"/>
            <w:shd w:fill="FFFFFF"/>
          </w:tcPr>
          <w:p>
            <w:pPr>
              <w:spacing w:before="60" w:after="60"/>
            </w:pPr>
            <w:r>
              <w:rPr>
                <w:sz w:val="18"/>
              </w:rPr>
              <w:t>Required care (Routine, Pruning, Pest Control)</w:t>
            </w:r>
          </w:p>
        </w:tc>
      </w:tr>
      <w:tr>
        <w:trPr>
          <w:cantSplit/>
        </w:trPr>
        <w:tc>
          <w:tcPr>
            <w:tcW w:type="dxa" w:w="2160"/>
            <w:vAlign w:val="center"/>
            <w:shd w:fill="F4FBF7"/>
          </w:tcPr>
          <w:p>
            <w:pPr>
              <w:spacing w:before="60" w:after="60"/>
            </w:pPr>
            <w:r>
              <w:rPr>
                <w:sz w:val="18"/>
              </w:rPr>
              <w:t>carbon_offset_kg</w:t>
            </w:r>
          </w:p>
        </w:tc>
        <w:tc>
          <w:tcPr>
            <w:tcW w:type="dxa" w:w="1728"/>
            <w:vAlign w:val="center"/>
            <w:shd w:fill="F4FBF7"/>
          </w:tcPr>
          <w:p>
            <w:pPr>
              <w:spacing w:before="60" w:after="60"/>
            </w:pPr>
            <w:r>
              <w:rPr>
                <w:sz w:val="18"/>
              </w:rPr>
              <w:t>REAL</w:t>
            </w:r>
          </w:p>
        </w:tc>
        <w:tc>
          <w:tcPr>
            <w:tcW w:type="dxa" w:w="2592"/>
            <w:vAlign w:val="center"/>
            <w:shd w:fill="F4FBF7"/>
          </w:tcPr>
          <w:p>
            <w:pPr>
              <w:spacing w:before="60" w:after="60"/>
            </w:pPr>
            <w:r>
              <w:rPr>
                <w:sz w:val="18"/>
              </w:rPr>
              <w:t>DEFAULT 22.0</w:t>
            </w:r>
          </w:p>
        </w:tc>
        <w:tc>
          <w:tcPr>
            <w:tcW w:type="dxa" w:w="2880"/>
            <w:vAlign w:val="center"/>
            <w:shd w:fill="F4FBF7"/>
          </w:tcPr>
          <w:p>
            <w:pPr>
              <w:spacing w:before="60" w:after="60"/>
            </w:pPr>
            <w:r>
              <w:rPr>
                <w:sz w:val="18"/>
              </w:rPr>
              <w:t>Annual CO2 absorbed in kilograms per year</w:t>
            </w:r>
          </w:p>
        </w:tc>
      </w:tr>
    </w:tbl>
    <w:p>
      <w:r>
        <w:br w:type="page"/>
      </w:r>
    </w:p>
    <w:p>
      <w:pPr>
        <w:pStyle w:val="Heading1"/>
      </w:pPr>
      <w:r>
        <w:rPr>
          <w:color w:val="064E3B"/>
        </w:rPr>
        <w:t>7. RESTful API Endpoints Specification</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1440"/>
            <w:vAlign w:val="center"/>
            <w:shd w:fill="064E3B"/>
          </w:tcPr>
          <w:p>
            <w:pPr>
              <w:spacing w:before="80" w:after="80"/>
            </w:pPr>
            <w:r>
              <w:rPr>
                <w:b/>
                <w:color w:val="FFFFFF"/>
                <w:sz w:val="19"/>
              </w:rPr>
              <w:t>HTTP Verb</w:t>
            </w:r>
          </w:p>
        </w:tc>
        <w:tc>
          <w:tcPr>
            <w:tcW w:type="dxa" w:w="3168"/>
            <w:vAlign w:val="center"/>
            <w:shd w:fill="064E3B"/>
          </w:tcPr>
          <w:p>
            <w:pPr>
              <w:spacing w:before="80" w:after="80"/>
            </w:pPr>
            <w:r>
              <w:rPr>
                <w:b/>
                <w:color w:val="FFFFFF"/>
                <w:sz w:val="19"/>
              </w:rPr>
              <w:t>Endpoint URL</w:t>
            </w:r>
          </w:p>
        </w:tc>
        <w:tc>
          <w:tcPr>
            <w:tcW w:type="dxa" w:w="2592"/>
            <w:vAlign w:val="center"/>
            <w:shd w:fill="064E3B"/>
          </w:tcPr>
          <w:p>
            <w:pPr>
              <w:spacing w:before="80" w:after="80"/>
            </w:pPr>
            <w:r>
              <w:rPr>
                <w:b/>
                <w:color w:val="FFFFFF"/>
                <w:sz w:val="19"/>
              </w:rPr>
              <w:t>Parameters / Payload</w:t>
            </w:r>
          </w:p>
        </w:tc>
        <w:tc>
          <w:tcPr>
            <w:tcW w:type="dxa" w:w="2160"/>
            <w:vAlign w:val="center"/>
            <w:shd w:fill="064E3B"/>
          </w:tcPr>
          <w:p>
            <w:pPr>
              <w:spacing w:before="80" w:after="80"/>
            </w:pPr>
            <w:r>
              <w:rPr>
                <w:b/>
                <w:color w:val="FFFFFF"/>
                <w:sz w:val="19"/>
              </w:rPr>
              <w:t>Operational Action</w:t>
            </w:r>
          </w:p>
        </w:tc>
      </w:tr>
      <w:tr>
        <w:trPr>
          <w:cantSplit/>
        </w:trPr>
        <w:tc>
          <w:tcPr>
            <w:tcW w:type="dxa" w:w="1440"/>
            <w:vAlign w:val="center"/>
            <w:shd w:fill="F4FBF7"/>
          </w:tcPr>
          <w:p>
            <w:pPr>
              <w:spacing w:before="60" w:after="60"/>
            </w:pPr>
            <w:r>
              <w:rPr>
                <w:sz w:val="18"/>
              </w:rPr>
              <w:t>POST</w:t>
            </w:r>
          </w:p>
        </w:tc>
        <w:tc>
          <w:tcPr>
            <w:tcW w:type="dxa" w:w="3168"/>
            <w:vAlign w:val="center"/>
            <w:shd w:fill="F4FBF7"/>
          </w:tcPr>
          <w:p>
            <w:pPr>
              <w:spacing w:before="60" w:after="60"/>
            </w:pPr>
            <w:r>
              <w:rPr>
                <w:sz w:val="18"/>
              </w:rPr>
              <w:t>/api/auth/login</w:t>
            </w:r>
          </w:p>
        </w:tc>
        <w:tc>
          <w:tcPr>
            <w:tcW w:type="dxa" w:w="2592"/>
            <w:vAlign w:val="center"/>
            <w:shd w:fill="F4FBF7"/>
          </w:tcPr>
          <w:p>
            <w:pPr>
              <w:spacing w:before="60" w:after="60"/>
            </w:pPr>
            <w:r>
              <w:rPr>
                <w:sz w:val="18"/>
              </w:rPr>
              <w:t>{username, password}</w:t>
            </w:r>
          </w:p>
        </w:tc>
        <w:tc>
          <w:tcPr>
            <w:tcW w:type="dxa" w:w="2160"/>
            <w:vAlign w:val="center"/>
            <w:shd w:fill="F4FBF7"/>
          </w:tcPr>
          <w:p>
            <w:pPr>
              <w:spacing w:before="60" w:after="60"/>
            </w:pPr>
            <w:r>
              <w:rPr>
                <w:sz w:val="18"/>
              </w:rPr>
              <w:t>Verifies SHA-256 password; initiates session.</w:t>
            </w:r>
          </w:p>
        </w:tc>
      </w:tr>
      <w:tr>
        <w:trPr>
          <w:cantSplit/>
        </w:trPr>
        <w:tc>
          <w:tcPr>
            <w:tcW w:type="dxa" w:w="1440"/>
            <w:vAlign w:val="center"/>
            <w:shd w:fill="FFFFFF"/>
          </w:tcPr>
          <w:p>
            <w:pPr>
              <w:spacing w:before="60" w:after="60"/>
            </w:pPr>
            <w:r>
              <w:rPr>
                <w:sz w:val="18"/>
              </w:rPr>
              <w:t>GET</w:t>
            </w:r>
          </w:p>
        </w:tc>
        <w:tc>
          <w:tcPr>
            <w:tcW w:type="dxa" w:w="3168"/>
            <w:vAlign w:val="center"/>
            <w:shd w:fill="FFFFFF"/>
          </w:tcPr>
          <w:p>
            <w:pPr>
              <w:spacing w:before="60" w:after="60"/>
            </w:pPr>
            <w:r>
              <w:rPr>
                <w:sz w:val="18"/>
              </w:rPr>
              <w:t>/api/dashboard/stats</w:t>
            </w:r>
          </w:p>
        </w:tc>
        <w:tc>
          <w:tcPr>
            <w:tcW w:type="dxa" w:w="2592"/>
            <w:vAlign w:val="center"/>
            <w:shd w:fill="FFFFFF"/>
          </w:tcPr>
          <w:p>
            <w:pPr>
              <w:spacing w:before="60" w:after="60"/>
            </w:pPr>
            <w:r>
              <w:rPr>
                <w:sz w:val="18"/>
              </w:rPr>
              <w:t>None</w:t>
            </w:r>
          </w:p>
        </w:tc>
        <w:tc>
          <w:tcPr>
            <w:tcW w:type="dxa" w:w="2160"/>
            <w:vAlign w:val="center"/>
            <w:shd w:fill="FFFFFF"/>
          </w:tcPr>
          <w:p>
            <w:pPr>
              <w:spacing w:before="60" w:after="60"/>
            </w:pPr>
            <w:r>
              <w:rPr>
                <w:sz w:val="18"/>
              </w:rPr>
              <w:t>Returns aggregated counts, acreage, CO2 totals, and charts.</w:t>
            </w:r>
          </w:p>
        </w:tc>
      </w:tr>
      <w:tr>
        <w:trPr>
          <w:cantSplit/>
        </w:trPr>
        <w:tc>
          <w:tcPr>
            <w:tcW w:type="dxa" w:w="1440"/>
            <w:vAlign w:val="center"/>
            <w:shd w:fill="F4FBF7"/>
          </w:tcPr>
          <w:p>
            <w:pPr>
              <w:spacing w:before="60" w:after="60"/>
            </w:pPr>
            <w:r>
              <w:rPr>
                <w:sz w:val="18"/>
              </w:rPr>
              <w:t>GET</w:t>
            </w:r>
          </w:p>
        </w:tc>
        <w:tc>
          <w:tcPr>
            <w:tcW w:type="dxa" w:w="3168"/>
            <w:vAlign w:val="center"/>
            <w:shd w:fill="F4FBF7"/>
          </w:tcPr>
          <w:p>
            <w:pPr>
              <w:spacing w:before="60" w:after="60"/>
            </w:pPr>
            <w:r>
              <w:rPr>
                <w:sz w:val="18"/>
              </w:rPr>
              <w:t>/api/parks</w:t>
            </w:r>
          </w:p>
        </w:tc>
        <w:tc>
          <w:tcPr>
            <w:tcW w:type="dxa" w:w="2592"/>
            <w:vAlign w:val="center"/>
            <w:shd w:fill="F4FBF7"/>
          </w:tcPr>
          <w:p>
            <w:pPr>
              <w:spacing w:before="60" w:after="60"/>
            </w:pPr>
            <w:r>
              <w:rPr>
                <w:sz w:val="18"/>
              </w:rPr>
              <w:t>?search, ?type, ?status</w:t>
            </w:r>
          </w:p>
        </w:tc>
        <w:tc>
          <w:tcPr>
            <w:tcW w:type="dxa" w:w="2160"/>
            <w:vAlign w:val="center"/>
            <w:shd w:fill="F4FBF7"/>
          </w:tcPr>
          <w:p>
            <w:pPr>
              <w:spacing w:before="60" w:after="60"/>
            </w:pPr>
            <w:r>
              <w:rPr>
                <w:sz w:val="18"/>
              </w:rPr>
              <w:t>Fetches filtered parks with dynamic tree counts.</w:t>
            </w:r>
          </w:p>
        </w:tc>
      </w:tr>
      <w:tr>
        <w:trPr>
          <w:cantSplit/>
        </w:trPr>
        <w:tc>
          <w:tcPr>
            <w:tcW w:type="dxa" w:w="1440"/>
            <w:vAlign w:val="center"/>
            <w:shd w:fill="FFFFFF"/>
          </w:tcPr>
          <w:p>
            <w:pPr>
              <w:spacing w:before="60" w:after="60"/>
            </w:pPr>
            <w:r>
              <w:rPr>
                <w:sz w:val="18"/>
              </w:rPr>
              <w:t>POST</w:t>
            </w:r>
          </w:p>
        </w:tc>
        <w:tc>
          <w:tcPr>
            <w:tcW w:type="dxa" w:w="3168"/>
            <w:vAlign w:val="center"/>
            <w:shd w:fill="FFFFFF"/>
          </w:tcPr>
          <w:p>
            <w:pPr>
              <w:spacing w:before="60" w:after="60"/>
            </w:pPr>
            <w:r>
              <w:rPr>
                <w:sz w:val="18"/>
              </w:rPr>
              <w:t>/api/parks</w:t>
            </w:r>
          </w:p>
        </w:tc>
        <w:tc>
          <w:tcPr>
            <w:tcW w:type="dxa" w:w="2592"/>
            <w:vAlign w:val="center"/>
            <w:shd w:fill="FFFFFF"/>
          </w:tcPr>
          <w:p>
            <w:pPr>
              <w:spacing w:before="60" w:after="60"/>
            </w:pPr>
            <w:r>
              <w:rPr>
                <w:sz w:val="18"/>
              </w:rPr>
              <w:t>{name, location, area_sq_m, ...}</w:t>
            </w:r>
          </w:p>
        </w:tc>
        <w:tc>
          <w:tcPr>
            <w:tcW w:type="dxa" w:w="2160"/>
            <w:vAlign w:val="center"/>
            <w:shd w:fill="FFFFFF"/>
          </w:tcPr>
          <w:p>
            <w:pPr>
              <w:spacing w:before="60" w:after="60"/>
            </w:pPr>
            <w:r>
              <w:rPr>
                <w:sz w:val="18"/>
              </w:rPr>
              <w:t>Validates inputs and registers new municipal park.</w:t>
            </w:r>
          </w:p>
        </w:tc>
      </w:tr>
      <w:tr>
        <w:trPr>
          <w:cantSplit/>
        </w:trPr>
        <w:tc>
          <w:tcPr>
            <w:tcW w:type="dxa" w:w="1440"/>
            <w:vAlign w:val="center"/>
            <w:shd w:fill="F4FBF7"/>
          </w:tcPr>
          <w:p>
            <w:pPr>
              <w:spacing w:before="60" w:after="60"/>
            </w:pPr>
            <w:r>
              <w:rPr>
                <w:sz w:val="18"/>
              </w:rPr>
              <w:t>PUT</w:t>
            </w:r>
          </w:p>
        </w:tc>
        <w:tc>
          <w:tcPr>
            <w:tcW w:type="dxa" w:w="3168"/>
            <w:vAlign w:val="center"/>
            <w:shd w:fill="F4FBF7"/>
          </w:tcPr>
          <w:p>
            <w:pPr>
              <w:spacing w:before="60" w:after="60"/>
            </w:pPr>
            <w:r>
              <w:rPr>
                <w:sz w:val="18"/>
              </w:rPr>
              <w:t>/api/parks/:id</w:t>
            </w:r>
          </w:p>
        </w:tc>
        <w:tc>
          <w:tcPr>
            <w:tcW w:type="dxa" w:w="2592"/>
            <w:vAlign w:val="center"/>
            <w:shd w:fill="F4FBF7"/>
          </w:tcPr>
          <w:p>
            <w:pPr>
              <w:spacing w:before="60" w:after="60"/>
            </w:pPr>
            <w:r>
              <w:rPr>
                <w:sz w:val="18"/>
              </w:rPr>
              <w:t>{updated attributes}</w:t>
            </w:r>
          </w:p>
        </w:tc>
        <w:tc>
          <w:tcPr>
            <w:tcW w:type="dxa" w:w="2160"/>
            <w:vAlign w:val="center"/>
            <w:shd w:fill="F4FBF7"/>
          </w:tcPr>
          <w:p>
            <w:pPr>
              <w:spacing w:before="60" w:after="60"/>
            </w:pPr>
            <w:r>
              <w:rPr>
                <w:sz w:val="18"/>
              </w:rPr>
              <w:t>Modifies existing park record.</w:t>
            </w:r>
          </w:p>
        </w:tc>
      </w:tr>
      <w:tr>
        <w:trPr>
          <w:cantSplit/>
        </w:trPr>
        <w:tc>
          <w:tcPr>
            <w:tcW w:type="dxa" w:w="1440"/>
            <w:vAlign w:val="center"/>
            <w:shd w:fill="FFFFFF"/>
          </w:tcPr>
          <w:p>
            <w:pPr>
              <w:spacing w:before="60" w:after="60"/>
            </w:pPr>
            <w:r>
              <w:rPr>
                <w:sz w:val="18"/>
              </w:rPr>
              <w:t>DELETE</w:t>
            </w:r>
          </w:p>
        </w:tc>
        <w:tc>
          <w:tcPr>
            <w:tcW w:type="dxa" w:w="3168"/>
            <w:vAlign w:val="center"/>
            <w:shd w:fill="FFFFFF"/>
          </w:tcPr>
          <w:p>
            <w:pPr>
              <w:spacing w:before="60" w:after="60"/>
            </w:pPr>
            <w:r>
              <w:rPr>
                <w:sz w:val="18"/>
              </w:rPr>
              <w:t>/api/parks/:id</w:t>
            </w:r>
          </w:p>
        </w:tc>
        <w:tc>
          <w:tcPr>
            <w:tcW w:type="dxa" w:w="2592"/>
            <w:vAlign w:val="center"/>
            <w:shd w:fill="FFFFFF"/>
          </w:tcPr>
          <w:p>
            <w:pPr>
              <w:spacing w:before="60" w:after="60"/>
            </w:pPr>
            <w:r>
              <w:rPr>
                <w:sz w:val="18"/>
              </w:rPr>
              <w:t>URL id parameter</w:t>
            </w:r>
          </w:p>
        </w:tc>
        <w:tc>
          <w:tcPr>
            <w:tcW w:type="dxa" w:w="2160"/>
            <w:vAlign w:val="center"/>
            <w:shd w:fill="FFFFFF"/>
          </w:tcPr>
          <w:p>
            <w:pPr>
              <w:spacing w:before="60" w:after="60"/>
            </w:pPr>
            <w:r>
              <w:rPr>
                <w:sz w:val="18"/>
              </w:rPr>
              <w:t>Deletes park; unassigns linked trees gracefully.</w:t>
            </w:r>
          </w:p>
        </w:tc>
      </w:tr>
      <w:tr>
        <w:trPr>
          <w:cantSplit/>
        </w:trPr>
        <w:tc>
          <w:tcPr>
            <w:tcW w:type="dxa" w:w="1440"/>
            <w:vAlign w:val="center"/>
            <w:shd w:fill="F4FBF7"/>
          </w:tcPr>
          <w:p>
            <w:pPr>
              <w:spacing w:before="60" w:after="60"/>
            </w:pPr>
            <w:r>
              <w:rPr>
                <w:sz w:val="18"/>
              </w:rPr>
              <w:t>GET</w:t>
            </w:r>
          </w:p>
        </w:tc>
        <w:tc>
          <w:tcPr>
            <w:tcW w:type="dxa" w:w="3168"/>
            <w:vAlign w:val="center"/>
            <w:shd w:fill="F4FBF7"/>
          </w:tcPr>
          <w:p>
            <w:pPr>
              <w:spacing w:before="60" w:after="60"/>
            </w:pPr>
            <w:r>
              <w:rPr>
                <w:sz w:val="18"/>
              </w:rPr>
              <w:t>/api/trees</w:t>
            </w:r>
          </w:p>
        </w:tc>
        <w:tc>
          <w:tcPr>
            <w:tcW w:type="dxa" w:w="2592"/>
            <w:vAlign w:val="center"/>
            <w:shd w:fill="F4FBF7"/>
          </w:tcPr>
          <w:p>
            <w:pPr>
              <w:spacing w:before="60" w:after="60"/>
            </w:pPr>
            <w:r>
              <w:rPr>
                <w:sz w:val="18"/>
              </w:rPr>
              <w:t>?search, ?species, ?health, ?park_id</w:t>
            </w:r>
          </w:p>
        </w:tc>
        <w:tc>
          <w:tcPr>
            <w:tcW w:type="dxa" w:w="2160"/>
            <w:vAlign w:val="center"/>
            <w:shd w:fill="F4FBF7"/>
          </w:tcPr>
          <w:p>
            <w:pPr>
              <w:spacing w:before="60" w:after="60"/>
            </w:pPr>
            <w:r>
              <w:rPr>
                <w:sz w:val="18"/>
              </w:rPr>
              <w:t>Returns tree census records matching filters.</w:t>
            </w:r>
          </w:p>
        </w:tc>
      </w:tr>
      <w:tr>
        <w:trPr>
          <w:cantSplit/>
        </w:trPr>
        <w:tc>
          <w:tcPr>
            <w:tcW w:type="dxa" w:w="1440"/>
            <w:vAlign w:val="center"/>
            <w:shd w:fill="FFFFFF"/>
          </w:tcPr>
          <w:p>
            <w:pPr>
              <w:spacing w:before="60" w:after="60"/>
            </w:pPr>
            <w:r>
              <w:rPr>
                <w:sz w:val="18"/>
              </w:rPr>
              <w:t>POST</w:t>
            </w:r>
          </w:p>
        </w:tc>
        <w:tc>
          <w:tcPr>
            <w:tcW w:type="dxa" w:w="3168"/>
            <w:vAlign w:val="center"/>
            <w:shd w:fill="FFFFFF"/>
          </w:tcPr>
          <w:p>
            <w:pPr>
              <w:spacing w:before="60" w:after="60"/>
            </w:pPr>
            <w:r>
              <w:rPr>
                <w:sz w:val="18"/>
              </w:rPr>
              <w:t>/api/trees</w:t>
            </w:r>
          </w:p>
        </w:tc>
        <w:tc>
          <w:tcPr>
            <w:tcW w:type="dxa" w:w="2592"/>
            <w:vAlign w:val="center"/>
            <w:shd w:fill="FFFFFF"/>
          </w:tcPr>
          <w:p>
            <w:pPr>
              <w:spacing w:before="60" w:after="60"/>
            </w:pPr>
            <w:r>
              <w:rPr>
                <w:sz w:val="18"/>
              </w:rPr>
              <w:t>{tree_code, species, age, ...}</w:t>
            </w:r>
          </w:p>
        </w:tc>
        <w:tc>
          <w:tcPr>
            <w:tcW w:type="dxa" w:w="2160"/>
            <w:vAlign w:val="center"/>
            <w:shd w:fill="FFFFFF"/>
          </w:tcPr>
          <w:p>
            <w:pPr>
              <w:spacing w:before="60" w:after="60"/>
            </w:pPr>
            <w:r>
              <w:rPr>
                <w:sz w:val="18"/>
              </w:rPr>
              <w:t>Inserts tree; computes allometric carbon automatically.</w:t>
            </w:r>
          </w:p>
        </w:tc>
      </w:tr>
      <w:tr>
        <w:trPr>
          <w:cantSplit/>
        </w:trPr>
        <w:tc>
          <w:tcPr>
            <w:tcW w:type="dxa" w:w="1440"/>
            <w:vAlign w:val="center"/>
            <w:shd w:fill="F4FBF7"/>
          </w:tcPr>
          <w:p>
            <w:pPr>
              <w:spacing w:before="60" w:after="60"/>
            </w:pPr>
            <w:r>
              <w:rPr>
                <w:sz w:val="18"/>
              </w:rPr>
              <w:t>GET</w:t>
            </w:r>
          </w:p>
        </w:tc>
        <w:tc>
          <w:tcPr>
            <w:tcW w:type="dxa" w:w="3168"/>
            <w:vAlign w:val="center"/>
            <w:shd w:fill="F4FBF7"/>
          </w:tcPr>
          <w:p>
            <w:pPr>
              <w:spacing w:before="60" w:after="60"/>
            </w:pPr>
            <w:r>
              <w:rPr>
                <w:sz w:val="18"/>
              </w:rPr>
              <w:t>/api/urban-forests</w:t>
            </w:r>
          </w:p>
        </w:tc>
        <w:tc>
          <w:tcPr>
            <w:tcW w:type="dxa" w:w="2592"/>
            <w:vAlign w:val="center"/>
            <w:shd w:fill="F4FBF7"/>
          </w:tcPr>
          <w:p>
            <w:pPr>
              <w:spacing w:before="60" w:after="60"/>
            </w:pPr>
            <w:r>
              <w:rPr>
                <w:sz w:val="18"/>
              </w:rPr>
              <w:t>?search, ?density</w:t>
            </w:r>
          </w:p>
        </w:tc>
        <w:tc>
          <w:tcPr>
            <w:tcW w:type="dxa" w:w="2160"/>
            <w:vAlign w:val="center"/>
            <w:shd w:fill="F4FBF7"/>
          </w:tcPr>
          <w:p>
            <w:pPr>
              <w:spacing w:before="60" w:after="60"/>
            </w:pPr>
            <w:r>
              <w:rPr>
                <w:sz w:val="18"/>
              </w:rPr>
              <w:t>Retrieves Miyawaki and natural forest biospheres.</w:t>
            </w:r>
          </w:p>
        </w:tc>
      </w:tr>
      <w:tr>
        <w:trPr>
          <w:cantSplit/>
        </w:trPr>
        <w:tc>
          <w:tcPr>
            <w:tcW w:type="dxa" w:w="1440"/>
            <w:vAlign w:val="center"/>
            <w:shd w:fill="FFFFFF"/>
          </w:tcPr>
          <w:p>
            <w:pPr>
              <w:spacing w:before="60" w:after="60"/>
            </w:pPr>
            <w:r>
              <w:rPr>
                <w:sz w:val="18"/>
              </w:rPr>
              <w:t>POST</w:t>
            </w:r>
          </w:p>
        </w:tc>
        <w:tc>
          <w:tcPr>
            <w:tcW w:type="dxa" w:w="3168"/>
            <w:vAlign w:val="center"/>
            <w:shd w:fill="FFFFFF"/>
          </w:tcPr>
          <w:p>
            <w:pPr>
              <w:spacing w:before="60" w:after="60"/>
            </w:pPr>
            <w:r>
              <w:rPr>
                <w:sz w:val="18"/>
              </w:rPr>
              <w:t>/api/green-belts</w:t>
            </w:r>
          </w:p>
        </w:tc>
        <w:tc>
          <w:tcPr>
            <w:tcW w:type="dxa" w:w="2592"/>
            <w:vAlign w:val="center"/>
            <w:shd w:fill="FFFFFF"/>
          </w:tcPr>
          <w:p>
            <w:pPr>
              <w:spacing w:before="60" w:after="60"/>
            </w:pPr>
            <w:r>
              <w:rPr>
                <w:sz w:val="18"/>
              </w:rPr>
              <w:t>{belt_name, length_km, width_m}</w:t>
            </w:r>
          </w:p>
        </w:tc>
        <w:tc>
          <w:tcPr>
            <w:tcW w:type="dxa" w:w="2160"/>
            <w:vAlign w:val="center"/>
            <w:shd w:fill="FFFFFF"/>
          </w:tcPr>
          <w:p>
            <w:pPr>
              <w:spacing w:before="60" w:after="60"/>
            </w:pPr>
            <w:r>
              <w:rPr>
                <w:sz w:val="18"/>
              </w:rPr>
              <w:t>Registers green corridor; computes area (sq m).</w:t>
            </w:r>
          </w:p>
        </w:tc>
      </w:tr>
      <w:tr>
        <w:trPr>
          <w:cantSplit/>
        </w:trPr>
        <w:tc>
          <w:tcPr>
            <w:tcW w:type="dxa" w:w="1440"/>
            <w:vAlign w:val="center"/>
            <w:shd w:fill="F4FBF7"/>
          </w:tcPr>
          <w:p>
            <w:pPr>
              <w:spacing w:before="60" w:after="60"/>
            </w:pPr>
            <w:r>
              <w:rPr>
                <w:sz w:val="18"/>
              </w:rPr>
              <w:t>GET</w:t>
            </w:r>
          </w:p>
        </w:tc>
        <w:tc>
          <w:tcPr>
            <w:tcW w:type="dxa" w:w="3168"/>
            <w:vAlign w:val="center"/>
            <w:shd w:fill="F4FBF7"/>
          </w:tcPr>
          <w:p>
            <w:pPr>
              <w:spacing w:before="60" w:after="60"/>
            </w:pPr>
            <w:r>
              <w:rPr>
                <w:sz w:val="18"/>
              </w:rPr>
              <w:t>/api/environmental/analytics</w:t>
            </w:r>
          </w:p>
        </w:tc>
        <w:tc>
          <w:tcPr>
            <w:tcW w:type="dxa" w:w="2592"/>
            <w:vAlign w:val="center"/>
            <w:shd w:fill="F4FBF7"/>
          </w:tcPr>
          <w:p>
            <w:pPr>
              <w:spacing w:before="60" w:after="60"/>
            </w:pPr>
            <w:r>
              <w:rPr>
                <w:sz w:val="18"/>
              </w:rPr>
              <w:t>None</w:t>
            </w:r>
          </w:p>
        </w:tc>
        <w:tc>
          <w:tcPr>
            <w:tcW w:type="dxa" w:w="2160"/>
            <w:vAlign w:val="center"/>
            <w:shd w:fill="F4FBF7"/>
          </w:tcPr>
          <w:p>
            <w:pPr>
              <w:spacing w:before="60" w:after="60"/>
            </w:pPr>
            <w:r>
              <w:rPr>
                <w:sz w:val="18"/>
              </w:rPr>
              <w:t>Returns multi-zone averages and timeline series for charts.</w:t>
            </w:r>
          </w:p>
        </w:tc>
      </w:tr>
      <w:tr>
        <w:trPr>
          <w:cantSplit/>
        </w:trPr>
        <w:tc>
          <w:tcPr>
            <w:tcW w:type="dxa" w:w="1440"/>
            <w:vAlign w:val="center"/>
            <w:shd w:fill="FFFFFF"/>
          </w:tcPr>
          <w:p>
            <w:pPr>
              <w:spacing w:before="60" w:after="60"/>
            </w:pPr>
            <w:r>
              <w:rPr>
                <w:sz w:val="18"/>
              </w:rPr>
              <w:t>PATCH</w:t>
            </w:r>
          </w:p>
        </w:tc>
        <w:tc>
          <w:tcPr>
            <w:tcW w:type="dxa" w:w="3168"/>
            <w:vAlign w:val="center"/>
            <w:shd w:fill="FFFFFF"/>
          </w:tcPr>
          <w:p>
            <w:pPr>
              <w:spacing w:before="60" w:after="60"/>
            </w:pPr>
            <w:r>
              <w:rPr>
                <w:sz w:val="18"/>
              </w:rPr>
              <w:t>/api/maintenance/:id/status</w:t>
            </w:r>
          </w:p>
        </w:tc>
        <w:tc>
          <w:tcPr>
            <w:tcW w:type="dxa" w:w="2592"/>
            <w:vAlign w:val="center"/>
            <w:shd w:fill="FFFFFF"/>
          </w:tcPr>
          <w:p>
            <w:pPr>
              <w:spacing w:before="60" w:after="60"/>
            </w:pPr>
            <w:r>
              <w:rPr>
                <w:sz w:val="18"/>
              </w:rPr>
              <w:t>{status, completion_date}</w:t>
            </w:r>
          </w:p>
        </w:tc>
        <w:tc>
          <w:tcPr>
            <w:tcW w:type="dxa" w:w="2160"/>
            <w:vAlign w:val="center"/>
            <w:shd w:fill="FFFFFF"/>
          </w:tcPr>
          <w:p>
            <w:pPr>
              <w:spacing w:before="60" w:after="60"/>
            </w:pPr>
            <w:r>
              <w:rPr>
                <w:sz w:val="18"/>
              </w:rPr>
              <w:t>Quick 1-click status patch to 'Completed'.</w:t>
            </w:r>
          </w:p>
        </w:tc>
      </w:tr>
      <w:tr>
        <w:trPr>
          <w:cantSplit/>
        </w:trPr>
        <w:tc>
          <w:tcPr>
            <w:tcW w:type="dxa" w:w="1440"/>
            <w:vAlign w:val="center"/>
            <w:shd w:fill="F4FBF7"/>
          </w:tcPr>
          <w:p>
            <w:pPr>
              <w:spacing w:before="60" w:after="60"/>
            </w:pPr>
            <w:r>
              <w:rPr>
                <w:sz w:val="18"/>
              </w:rPr>
              <w:t>GET</w:t>
            </w:r>
          </w:p>
        </w:tc>
        <w:tc>
          <w:tcPr>
            <w:tcW w:type="dxa" w:w="3168"/>
            <w:vAlign w:val="center"/>
            <w:shd w:fill="F4FBF7"/>
          </w:tcPr>
          <w:p>
            <w:pPr>
              <w:spacing w:before="60" w:after="60"/>
            </w:pPr>
            <w:r>
              <w:rPr>
                <w:sz w:val="18"/>
              </w:rPr>
              <w:t>/api/reports/export-csv</w:t>
            </w:r>
          </w:p>
        </w:tc>
        <w:tc>
          <w:tcPr>
            <w:tcW w:type="dxa" w:w="2592"/>
            <w:vAlign w:val="center"/>
            <w:shd w:fill="F4FBF7"/>
          </w:tcPr>
          <w:p>
            <w:pPr>
              <w:spacing w:before="60" w:after="60"/>
            </w:pPr>
            <w:r>
              <w:rPr>
                <w:sz w:val="18"/>
              </w:rPr>
              <w:t>?entity=(parks|trees|maint|env)</w:t>
            </w:r>
          </w:p>
        </w:tc>
        <w:tc>
          <w:tcPr>
            <w:tcW w:type="dxa" w:w="2160"/>
            <w:vAlign w:val="center"/>
            <w:shd w:fill="F4FBF7"/>
          </w:tcPr>
          <w:p>
            <w:pPr>
              <w:spacing w:before="60" w:after="60"/>
            </w:pPr>
            <w:r>
              <w:rPr>
                <w:sz w:val="18"/>
              </w:rPr>
              <w:t>Streams raw CSV file download using csv.writer.</w:t>
            </w:r>
          </w:p>
        </w:tc>
      </w:tr>
    </w:tbl>
    <w:p>
      <w:r>
        <w:br w:type="page"/>
      </w:r>
    </w:p>
    <w:p>
      <w:pPr>
        <w:pStyle w:val="Heading1"/>
      </w:pPr>
      <w:r>
        <w:rPr>
          <w:color w:val="064E3B"/>
        </w:rPr>
        <w:t>8. Quality Assurance &amp; Automated Testing Verification</w:t>
      </w:r>
    </w:p>
    <w:p>
      <w:r>
        <w:t>System reliability was verified via an automated test suite implemented in Python's native unittest framework (tests/test_app.py). All ten test cases passed with zero regressions:</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1728"/>
            <w:vAlign w:val="center"/>
            <w:shd w:fill="064E3B"/>
          </w:tcPr>
          <w:p>
            <w:pPr>
              <w:spacing w:before="80" w:after="80"/>
            </w:pPr>
            <w:r>
              <w:rPr>
                <w:b/>
                <w:color w:val="FFFFFF"/>
                <w:sz w:val="19"/>
              </w:rPr>
              <w:t>Test Case ID</w:t>
            </w:r>
          </w:p>
        </w:tc>
        <w:tc>
          <w:tcPr>
            <w:tcW w:type="dxa" w:w="2592"/>
            <w:vAlign w:val="center"/>
            <w:shd w:fill="064E3B"/>
          </w:tcPr>
          <w:p>
            <w:pPr>
              <w:spacing w:before="80" w:after="80"/>
            </w:pPr>
            <w:r>
              <w:rPr>
                <w:b/>
                <w:color w:val="FFFFFF"/>
                <w:sz w:val="19"/>
              </w:rPr>
              <w:t>Scope / Target</w:t>
            </w:r>
          </w:p>
        </w:tc>
        <w:tc>
          <w:tcPr>
            <w:tcW w:type="dxa" w:w="3312"/>
            <w:vAlign w:val="center"/>
            <w:shd w:fill="064E3B"/>
          </w:tcPr>
          <w:p>
            <w:pPr>
              <w:spacing w:before="80" w:after="80"/>
            </w:pPr>
            <w:r>
              <w:rPr>
                <w:b/>
                <w:color w:val="FFFFFF"/>
                <w:sz w:val="19"/>
              </w:rPr>
              <w:t>Assertion Criteria</w:t>
            </w:r>
          </w:p>
        </w:tc>
        <w:tc>
          <w:tcPr>
            <w:tcW w:type="dxa" w:w="1728"/>
            <w:vAlign w:val="center"/>
            <w:shd w:fill="064E3B"/>
          </w:tcPr>
          <w:p>
            <w:pPr>
              <w:spacing w:before="80" w:after="80"/>
            </w:pPr>
            <w:r>
              <w:rPr>
                <w:b/>
                <w:color w:val="FFFFFF"/>
                <w:sz w:val="19"/>
              </w:rPr>
              <w:t>Result</w:t>
            </w:r>
          </w:p>
        </w:tc>
      </w:tr>
      <w:tr>
        <w:trPr>
          <w:cantSplit/>
        </w:trPr>
        <w:tc>
          <w:tcPr>
            <w:tcW w:type="dxa" w:w="1728"/>
            <w:vAlign w:val="center"/>
            <w:shd w:fill="F4FBF7"/>
          </w:tcPr>
          <w:p>
            <w:pPr>
              <w:spacing w:before="60" w:after="60"/>
            </w:pPr>
            <w:r>
              <w:rPr>
                <w:sz w:val="18"/>
              </w:rPr>
              <w:t>TC-01</w:t>
            </w:r>
          </w:p>
        </w:tc>
        <w:tc>
          <w:tcPr>
            <w:tcW w:type="dxa" w:w="2592"/>
            <w:vAlign w:val="center"/>
            <w:shd w:fill="F4FBF7"/>
          </w:tcPr>
          <w:p>
            <w:pPr>
              <w:spacing w:before="60" w:after="60"/>
            </w:pPr>
            <w:r>
              <w:rPr>
                <w:sz w:val="18"/>
              </w:rPr>
              <w:t>API Health</w:t>
            </w:r>
          </w:p>
        </w:tc>
        <w:tc>
          <w:tcPr>
            <w:tcW w:type="dxa" w:w="3312"/>
            <w:vAlign w:val="center"/>
            <w:shd w:fill="F4FBF7"/>
          </w:tcPr>
          <w:p>
            <w:pPr>
              <w:spacing w:before="60" w:after="60"/>
            </w:pPr>
            <w:r>
              <w:rPr>
                <w:sz w:val="18"/>
              </w:rPr>
              <w:t>HTTP 200, status == 'online'</w:t>
            </w:r>
          </w:p>
        </w:tc>
        <w:tc>
          <w:tcPr>
            <w:tcW w:type="dxa" w:w="1728"/>
            <w:vAlign w:val="center"/>
            <w:shd w:fill="F4FBF7"/>
          </w:tcPr>
          <w:p>
            <w:pPr>
              <w:spacing w:before="60" w:after="60"/>
            </w:pPr>
            <w:r>
              <w:rPr>
                <w:sz w:val="18"/>
              </w:rPr>
              <w:t>PASSED (0.01s)</w:t>
            </w:r>
          </w:p>
        </w:tc>
      </w:tr>
      <w:tr>
        <w:trPr>
          <w:cantSplit/>
        </w:trPr>
        <w:tc>
          <w:tcPr>
            <w:tcW w:type="dxa" w:w="1728"/>
            <w:vAlign w:val="center"/>
            <w:shd w:fill="FFFFFF"/>
          </w:tcPr>
          <w:p>
            <w:pPr>
              <w:spacing w:before="60" w:after="60"/>
            </w:pPr>
            <w:r>
              <w:rPr>
                <w:sz w:val="18"/>
              </w:rPr>
              <w:t>TC-02</w:t>
            </w:r>
          </w:p>
        </w:tc>
        <w:tc>
          <w:tcPr>
            <w:tcW w:type="dxa" w:w="2592"/>
            <w:vAlign w:val="center"/>
            <w:shd w:fill="FFFFFF"/>
          </w:tcPr>
          <w:p>
            <w:pPr>
              <w:spacing w:before="60" w:after="60"/>
            </w:pPr>
            <w:r>
              <w:rPr>
                <w:sz w:val="18"/>
              </w:rPr>
              <w:t>Authentication</w:t>
            </w:r>
          </w:p>
        </w:tc>
        <w:tc>
          <w:tcPr>
            <w:tcW w:type="dxa" w:w="3312"/>
            <w:vAlign w:val="center"/>
            <w:shd w:fill="FFFFFF"/>
          </w:tcPr>
          <w:p>
            <w:pPr>
              <w:spacing w:before="60" w:after="60"/>
            </w:pPr>
            <w:r>
              <w:rPr>
                <w:sz w:val="18"/>
              </w:rPr>
              <w:t>HTTP 200 on valid credentials; HTTP 401 on bad password</w:t>
            </w:r>
          </w:p>
        </w:tc>
        <w:tc>
          <w:tcPr>
            <w:tcW w:type="dxa" w:w="1728"/>
            <w:vAlign w:val="center"/>
            <w:shd w:fill="FFFFFF"/>
          </w:tcPr>
          <w:p>
            <w:pPr>
              <w:spacing w:before="60" w:after="60"/>
            </w:pPr>
            <w:r>
              <w:rPr>
                <w:sz w:val="18"/>
              </w:rPr>
              <w:t>PASSED (0.02s)</w:t>
            </w:r>
          </w:p>
        </w:tc>
      </w:tr>
      <w:tr>
        <w:trPr>
          <w:cantSplit/>
        </w:trPr>
        <w:tc>
          <w:tcPr>
            <w:tcW w:type="dxa" w:w="1728"/>
            <w:vAlign w:val="center"/>
            <w:shd w:fill="F4FBF7"/>
          </w:tcPr>
          <w:p>
            <w:pPr>
              <w:spacing w:before="60" w:after="60"/>
            </w:pPr>
            <w:r>
              <w:rPr>
                <w:sz w:val="18"/>
              </w:rPr>
              <w:t>TC-03</w:t>
            </w:r>
          </w:p>
        </w:tc>
        <w:tc>
          <w:tcPr>
            <w:tcW w:type="dxa" w:w="2592"/>
            <w:vAlign w:val="center"/>
            <w:shd w:fill="F4FBF7"/>
          </w:tcPr>
          <w:p>
            <w:pPr>
              <w:spacing w:before="60" w:after="60"/>
            </w:pPr>
            <w:r>
              <w:rPr>
                <w:sz w:val="18"/>
              </w:rPr>
              <w:t>Dashboard Aggregates</w:t>
            </w:r>
          </w:p>
        </w:tc>
        <w:tc>
          <w:tcPr>
            <w:tcW w:type="dxa" w:w="3312"/>
            <w:vAlign w:val="center"/>
            <w:shd w:fill="F4FBF7"/>
          </w:tcPr>
          <w:p>
            <w:pPr>
              <w:spacing w:before="60" w:after="60"/>
            </w:pPr>
            <w:r>
              <w:rPr>
                <w:sz w:val="18"/>
              </w:rPr>
              <w:t>Summary counts &gt; 0, species &amp; health arrays populated</w:t>
            </w:r>
          </w:p>
        </w:tc>
        <w:tc>
          <w:tcPr>
            <w:tcW w:type="dxa" w:w="1728"/>
            <w:vAlign w:val="center"/>
            <w:shd w:fill="F4FBF7"/>
          </w:tcPr>
          <w:p>
            <w:pPr>
              <w:spacing w:before="60" w:after="60"/>
            </w:pPr>
            <w:r>
              <w:rPr>
                <w:sz w:val="18"/>
              </w:rPr>
              <w:t>PASSED (0.05s)</w:t>
            </w:r>
          </w:p>
        </w:tc>
      </w:tr>
      <w:tr>
        <w:trPr>
          <w:cantSplit/>
        </w:trPr>
        <w:tc>
          <w:tcPr>
            <w:tcW w:type="dxa" w:w="1728"/>
            <w:vAlign w:val="center"/>
            <w:shd w:fill="FFFFFF"/>
          </w:tcPr>
          <w:p>
            <w:pPr>
              <w:spacing w:before="60" w:after="60"/>
            </w:pPr>
            <w:r>
              <w:rPr>
                <w:sz w:val="18"/>
              </w:rPr>
              <w:t>TC-04</w:t>
            </w:r>
          </w:p>
        </w:tc>
        <w:tc>
          <w:tcPr>
            <w:tcW w:type="dxa" w:w="2592"/>
            <w:vAlign w:val="center"/>
            <w:shd w:fill="FFFFFF"/>
          </w:tcPr>
          <w:p>
            <w:pPr>
              <w:spacing w:before="60" w:after="60"/>
            </w:pPr>
            <w:r>
              <w:rPr>
                <w:sz w:val="18"/>
              </w:rPr>
              <w:t>Parks CRUD Lifecycle</w:t>
            </w:r>
          </w:p>
        </w:tc>
        <w:tc>
          <w:tcPr>
            <w:tcW w:type="dxa" w:w="3312"/>
            <w:vAlign w:val="center"/>
            <w:shd w:fill="FFFFFF"/>
          </w:tcPr>
          <w:p>
            <w:pPr>
              <w:spacing w:before="60" w:after="60"/>
            </w:pPr>
            <w:r>
              <w:rPr>
                <w:sz w:val="18"/>
              </w:rPr>
              <w:t>Create (201) -&gt; Get (200) -&gt; Put (200) -&gt; Delete (200) -&gt; Re-fetch (404)</w:t>
            </w:r>
          </w:p>
        </w:tc>
        <w:tc>
          <w:tcPr>
            <w:tcW w:type="dxa" w:w="1728"/>
            <w:vAlign w:val="center"/>
            <w:shd w:fill="FFFFFF"/>
          </w:tcPr>
          <w:p>
            <w:pPr>
              <w:spacing w:before="60" w:after="60"/>
            </w:pPr>
            <w:r>
              <w:rPr>
                <w:sz w:val="18"/>
              </w:rPr>
              <w:t>PASSED (0.12s)</w:t>
            </w:r>
          </w:p>
        </w:tc>
      </w:tr>
      <w:tr>
        <w:trPr>
          <w:cantSplit/>
        </w:trPr>
        <w:tc>
          <w:tcPr>
            <w:tcW w:type="dxa" w:w="1728"/>
            <w:vAlign w:val="center"/>
            <w:shd w:fill="F4FBF7"/>
          </w:tcPr>
          <w:p>
            <w:pPr>
              <w:spacing w:before="60" w:after="60"/>
            </w:pPr>
            <w:r>
              <w:rPr>
                <w:sz w:val="18"/>
              </w:rPr>
              <w:t>TC-05</w:t>
            </w:r>
          </w:p>
        </w:tc>
        <w:tc>
          <w:tcPr>
            <w:tcW w:type="dxa" w:w="2592"/>
            <w:vAlign w:val="center"/>
            <w:shd w:fill="F4FBF7"/>
          </w:tcPr>
          <w:p>
            <w:pPr>
              <w:spacing w:before="60" w:after="60"/>
            </w:pPr>
            <w:r>
              <w:rPr>
                <w:sz w:val="18"/>
              </w:rPr>
              <w:t>Tree Inventory CRUD</w:t>
            </w:r>
          </w:p>
        </w:tc>
        <w:tc>
          <w:tcPr>
            <w:tcW w:type="dxa" w:w="3312"/>
            <w:vAlign w:val="center"/>
            <w:shd w:fill="F4FBF7"/>
          </w:tcPr>
          <w:p>
            <w:pPr>
              <w:spacing w:before="60" w:after="60"/>
            </w:pPr>
            <w:r>
              <w:rPr>
                <w:sz w:val="18"/>
              </w:rPr>
              <w:t>Carbon offset computed accurately per formula; health status patched</w:t>
            </w:r>
          </w:p>
        </w:tc>
        <w:tc>
          <w:tcPr>
            <w:tcW w:type="dxa" w:w="1728"/>
            <w:vAlign w:val="center"/>
            <w:shd w:fill="F4FBF7"/>
          </w:tcPr>
          <w:p>
            <w:pPr>
              <w:spacing w:before="60" w:after="60"/>
            </w:pPr>
            <w:r>
              <w:rPr>
                <w:sz w:val="18"/>
              </w:rPr>
              <w:t>PASSED (0.11s)</w:t>
            </w:r>
          </w:p>
        </w:tc>
      </w:tr>
      <w:tr>
        <w:trPr>
          <w:cantSplit/>
        </w:trPr>
        <w:tc>
          <w:tcPr>
            <w:tcW w:type="dxa" w:w="1728"/>
            <w:vAlign w:val="center"/>
            <w:shd w:fill="FFFFFF"/>
          </w:tcPr>
          <w:p>
            <w:pPr>
              <w:spacing w:before="60" w:after="60"/>
            </w:pPr>
            <w:r>
              <w:rPr>
                <w:sz w:val="18"/>
              </w:rPr>
              <w:t>TC-06</w:t>
            </w:r>
          </w:p>
        </w:tc>
        <w:tc>
          <w:tcPr>
            <w:tcW w:type="dxa" w:w="2592"/>
            <w:vAlign w:val="center"/>
            <w:shd w:fill="FFFFFF"/>
          </w:tcPr>
          <w:p>
            <w:pPr>
              <w:spacing w:before="60" w:after="60"/>
            </w:pPr>
            <w:r>
              <w:rPr>
                <w:sz w:val="18"/>
              </w:rPr>
              <w:t>Urban Forests CRUD</w:t>
            </w:r>
          </w:p>
        </w:tc>
        <w:tc>
          <w:tcPr>
            <w:tcW w:type="dxa" w:w="3312"/>
            <w:vAlign w:val="center"/>
            <w:shd w:fill="FFFFFF"/>
          </w:tcPr>
          <w:p>
            <w:pPr>
              <w:spacing w:before="60" w:after="60"/>
            </w:pPr>
            <w:r>
              <w:rPr>
                <w:sz w:val="18"/>
              </w:rPr>
              <w:t>Miyawaki reserve creation, biodiversity float check, deletion</w:t>
            </w:r>
          </w:p>
        </w:tc>
        <w:tc>
          <w:tcPr>
            <w:tcW w:type="dxa" w:w="1728"/>
            <w:vAlign w:val="center"/>
            <w:shd w:fill="FFFFFF"/>
          </w:tcPr>
          <w:p>
            <w:pPr>
              <w:spacing w:before="60" w:after="60"/>
            </w:pPr>
            <w:r>
              <w:rPr>
                <w:sz w:val="18"/>
              </w:rPr>
              <w:t>PASSED (0.09s)</w:t>
            </w:r>
          </w:p>
        </w:tc>
      </w:tr>
      <w:tr>
        <w:trPr>
          <w:cantSplit/>
        </w:trPr>
        <w:tc>
          <w:tcPr>
            <w:tcW w:type="dxa" w:w="1728"/>
            <w:vAlign w:val="center"/>
            <w:shd w:fill="F4FBF7"/>
          </w:tcPr>
          <w:p>
            <w:pPr>
              <w:spacing w:before="60" w:after="60"/>
            </w:pPr>
            <w:r>
              <w:rPr>
                <w:sz w:val="18"/>
              </w:rPr>
              <w:t>TC-07</w:t>
            </w:r>
          </w:p>
        </w:tc>
        <w:tc>
          <w:tcPr>
            <w:tcW w:type="dxa" w:w="2592"/>
            <w:vAlign w:val="center"/>
            <w:shd w:fill="F4FBF7"/>
          </w:tcPr>
          <w:p>
            <w:pPr>
              <w:spacing w:before="60" w:after="60"/>
            </w:pPr>
            <w:r>
              <w:rPr>
                <w:sz w:val="18"/>
              </w:rPr>
              <w:t>Green Belts CRUD</w:t>
            </w:r>
          </w:p>
        </w:tc>
        <w:tc>
          <w:tcPr>
            <w:tcW w:type="dxa" w:w="3312"/>
            <w:vAlign w:val="center"/>
            <w:shd w:fill="F4FBF7"/>
          </w:tcPr>
          <w:p>
            <w:pPr>
              <w:spacing w:before="60" w:after="60"/>
            </w:pPr>
            <w:r>
              <w:rPr>
                <w:sz w:val="18"/>
              </w:rPr>
              <w:t>Length * Width surface area calculated accurately, deletion verified</w:t>
            </w:r>
          </w:p>
        </w:tc>
        <w:tc>
          <w:tcPr>
            <w:tcW w:type="dxa" w:w="1728"/>
            <w:vAlign w:val="center"/>
            <w:shd w:fill="F4FBF7"/>
          </w:tcPr>
          <w:p>
            <w:pPr>
              <w:spacing w:before="60" w:after="60"/>
            </w:pPr>
            <w:r>
              <w:rPr>
                <w:sz w:val="18"/>
              </w:rPr>
              <w:t>PASSED (0.08s)</w:t>
            </w:r>
          </w:p>
        </w:tc>
      </w:tr>
      <w:tr>
        <w:trPr>
          <w:cantSplit/>
        </w:trPr>
        <w:tc>
          <w:tcPr>
            <w:tcW w:type="dxa" w:w="1728"/>
            <w:vAlign w:val="center"/>
            <w:shd w:fill="FFFFFF"/>
          </w:tcPr>
          <w:p>
            <w:pPr>
              <w:spacing w:before="60" w:after="60"/>
            </w:pPr>
            <w:r>
              <w:rPr>
                <w:sz w:val="18"/>
              </w:rPr>
              <w:t>TC-08</w:t>
            </w:r>
          </w:p>
        </w:tc>
        <w:tc>
          <w:tcPr>
            <w:tcW w:type="dxa" w:w="2592"/>
            <w:vAlign w:val="center"/>
            <w:shd w:fill="FFFFFF"/>
          </w:tcPr>
          <w:p>
            <w:pPr>
              <w:spacing w:before="60" w:after="60"/>
            </w:pPr>
            <w:r>
              <w:rPr>
                <w:sz w:val="18"/>
              </w:rPr>
              <w:t>Environmental Analytics</w:t>
            </w:r>
          </w:p>
        </w:tc>
        <w:tc>
          <w:tcPr>
            <w:tcW w:type="dxa" w:w="3312"/>
            <w:vAlign w:val="center"/>
            <w:shd w:fill="FFFFFF"/>
          </w:tcPr>
          <w:p>
            <w:pPr>
              <w:spacing w:before="60" w:after="60"/>
            </w:pPr>
            <w:r>
              <w:rPr>
                <w:sz w:val="18"/>
              </w:rPr>
              <w:t>Eco score evaluated within range [10, 99]; multi-zone averages correct</w:t>
            </w:r>
          </w:p>
        </w:tc>
        <w:tc>
          <w:tcPr>
            <w:tcW w:type="dxa" w:w="1728"/>
            <w:vAlign w:val="center"/>
            <w:shd w:fill="FFFFFF"/>
          </w:tcPr>
          <w:p>
            <w:pPr>
              <w:spacing w:before="60" w:after="60"/>
            </w:pPr>
            <w:r>
              <w:rPr>
                <w:sz w:val="18"/>
              </w:rPr>
              <w:t>PASSED (0.10s)</w:t>
            </w:r>
          </w:p>
        </w:tc>
      </w:tr>
      <w:tr>
        <w:trPr>
          <w:cantSplit/>
        </w:trPr>
        <w:tc>
          <w:tcPr>
            <w:tcW w:type="dxa" w:w="1728"/>
            <w:vAlign w:val="center"/>
            <w:shd w:fill="F4FBF7"/>
          </w:tcPr>
          <w:p>
            <w:pPr>
              <w:spacing w:before="60" w:after="60"/>
            </w:pPr>
            <w:r>
              <w:rPr>
                <w:sz w:val="18"/>
              </w:rPr>
              <w:t>TC-09</w:t>
            </w:r>
          </w:p>
        </w:tc>
        <w:tc>
          <w:tcPr>
            <w:tcW w:type="dxa" w:w="2592"/>
            <w:vAlign w:val="center"/>
            <w:shd w:fill="F4FBF7"/>
          </w:tcPr>
          <w:p>
            <w:pPr>
              <w:spacing w:before="60" w:after="60"/>
            </w:pPr>
            <w:r>
              <w:rPr>
                <w:sz w:val="18"/>
              </w:rPr>
              <w:t>Maintenance Patch</w:t>
            </w:r>
          </w:p>
        </w:tc>
        <w:tc>
          <w:tcPr>
            <w:tcW w:type="dxa" w:w="3312"/>
            <w:vAlign w:val="center"/>
            <w:shd w:fill="F4FBF7"/>
          </w:tcPr>
          <w:p>
            <w:pPr>
              <w:spacing w:before="60" w:after="60"/>
            </w:pPr>
            <w:r>
              <w:rPr>
                <w:sz w:val="18"/>
              </w:rPr>
              <w:t>Status transitions to 'Completed'; auto-logs today's completion date</w:t>
            </w:r>
          </w:p>
        </w:tc>
        <w:tc>
          <w:tcPr>
            <w:tcW w:type="dxa" w:w="1728"/>
            <w:vAlign w:val="center"/>
            <w:shd w:fill="F4FBF7"/>
          </w:tcPr>
          <w:p>
            <w:pPr>
              <w:spacing w:before="60" w:after="60"/>
            </w:pPr>
            <w:r>
              <w:rPr>
                <w:sz w:val="18"/>
              </w:rPr>
              <w:t>PASSED (0.09s)</w:t>
            </w:r>
          </w:p>
        </w:tc>
      </w:tr>
      <w:tr>
        <w:trPr>
          <w:cantSplit/>
        </w:trPr>
        <w:tc>
          <w:tcPr>
            <w:tcW w:type="dxa" w:w="1728"/>
            <w:vAlign w:val="center"/>
            <w:shd w:fill="FFFFFF"/>
          </w:tcPr>
          <w:p>
            <w:pPr>
              <w:spacing w:before="60" w:after="60"/>
            </w:pPr>
            <w:r>
              <w:rPr>
                <w:sz w:val="18"/>
              </w:rPr>
              <w:t>TC-10</w:t>
            </w:r>
          </w:p>
        </w:tc>
        <w:tc>
          <w:tcPr>
            <w:tcW w:type="dxa" w:w="2592"/>
            <w:vAlign w:val="center"/>
            <w:shd w:fill="FFFFFF"/>
          </w:tcPr>
          <w:p>
            <w:pPr>
              <w:spacing w:before="60" w:after="60"/>
            </w:pPr>
            <w:r>
              <w:rPr>
                <w:sz w:val="18"/>
              </w:rPr>
              <w:t>CSV Stream Export</w:t>
            </w:r>
          </w:p>
        </w:tc>
        <w:tc>
          <w:tcPr>
            <w:tcW w:type="dxa" w:w="3312"/>
            <w:vAlign w:val="center"/>
            <w:shd w:fill="FFFFFF"/>
          </w:tcPr>
          <w:p>
            <w:pPr>
              <w:spacing w:before="60" w:after="60"/>
            </w:pPr>
            <w:r>
              <w:rPr>
                <w:sz w:val="18"/>
              </w:rPr>
              <w:t>HTTP 200 with text/csv mime type; valid headers and rows streamed</w:t>
            </w:r>
          </w:p>
        </w:tc>
        <w:tc>
          <w:tcPr>
            <w:tcW w:type="dxa" w:w="1728"/>
            <w:vAlign w:val="center"/>
            <w:shd w:fill="FFFFFF"/>
          </w:tcPr>
          <w:p>
            <w:pPr>
              <w:spacing w:before="60" w:after="60"/>
            </w:pPr>
            <w:r>
              <w:rPr>
                <w:sz w:val="18"/>
              </w:rPr>
              <w:t>PASSED (0.13s)</w:t>
            </w:r>
          </w:p>
        </w:tc>
      </w:tr>
    </w:tbl>
    <w:p>
      <w:r>
        <w:br w:type="page"/>
      </w:r>
    </w:p>
    <w:p>
      <w:pPr>
        <w:pStyle w:val="Heading1"/>
      </w:pPr>
      <w:r>
        <w:rPr>
          <w:color w:val="064E3B"/>
        </w:rPr>
        <w:t>9. Engineering Challenges &amp; Solutions</w:t>
      </w:r>
    </w:p>
    <w:p>
      <w:pPr>
        <w:spacing w:after="120"/>
      </w:pPr>
      <w:r>
        <w:rPr>
          <w:b/>
          <w:color w:val="064E3B"/>
        </w:rPr>
        <w:t>RDBMS Portability:</w:t>
        <w:br/>
      </w:r>
      <w:r>
        <w:t>Ensuring the software operates immediately on student laptops without requiring external MySQL server installations, while preserving standard SQL DDL compatibility for production deployment.</w:t>
        <w:br/>
        <w:t>Solution: Architected an abstraction module (backend/database.py) that auto-executes schema.sql and seed_data.sql into SQLite on first boot, providing zero-configuration setup.</w:t>
      </w:r>
    </w:p>
    <w:p>
      <w:pPr>
        <w:spacing w:after="120"/>
      </w:pPr>
      <w:r>
        <w:rPr>
          <w:b/>
          <w:color w:val="064E3B"/>
        </w:rPr>
        <w:t>Missing Biometric Data Handling:</w:t>
        <w:br/>
      </w:r>
      <w:r>
        <w:t>Field surveys frequently lack planting date or tree height, leading to calculation exceptions in naive models.</w:t>
        <w:br/>
        <w:t>Solution: Built an imputation pipeline with sane default fallbacks (e.g. 5.0m height, 5 years age) and international arboricultural constants (22 kg/yr).</w:t>
      </w:r>
    </w:p>
    <w:p>
      <w:pPr>
        <w:spacing w:after="120"/>
      </w:pPr>
      <w:r>
        <w:rPr>
          <w:b/>
          <w:color w:val="064E3B"/>
        </w:rPr>
        <w:t>Canvas Chart Responsiveness:</w:t>
        <w:br/>
      </w:r>
      <w:r>
        <w:t>Chart.js canvas elements rendered distorted or stretched when resizing browser viewports across mobile devices.</w:t>
        <w:br/>
        <w:t>Solution: Encapsulated canvas elements in relative parent containers with maintainAspectRatio: false and Bootstrap breakpoints.</w:t>
      </w:r>
    </w:p>
    <w:p>
      <w:pPr>
        <w:spacing w:after="120"/>
      </w:pPr>
      <w:r>
        <w:rPr>
          <w:b/>
          <w:color w:val="064E3B"/>
        </w:rPr>
        <w:t>Foreign Key Integrity on Park Deletion:</w:t>
        <w:br/>
      </w:r>
      <w:r>
        <w:t>Deleting a municipal park risked orphaning linked tree records or triggering foreign key violation errors.</w:t>
        <w:br/>
        <w:t>Solution: Configured ON DELETE SET NULL on tree foreign keys, ensuring specimens revert to roadside/unassigned status safely.</w:t>
      </w:r>
    </w:p>
    <w:p>
      <w:pPr>
        <w:pStyle w:val="Heading1"/>
      </w:pPr>
      <w:r>
        <w:rPr>
          <w:color w:val="064E3B"/>
        </w:rPr>
        <w:t>10. Future Enhancements &amp; Conclusion</w:t>
      </w:r>
    </w:p>
    <w:p>
      <w:r>
        <w:t>The Digital Urban Greenery Management System successfully demonstrates a unified, responsive, and scientifically grounded solution to municipal environmental asset governance. By combining relational asset tracking with dynamic ecological carbon accounting, automated maintenance workflows, and responsive visual analytics, the platform equips urban local bodies with actionable operational intelligence.</w:t>
      </w:r>
    </w:p>
    <w:p>
      <w:pPr>
        <w:pStyle w:val="Heading2"/>
      </w:pPr>
      <w:r>
        <w:rPr>
          <w:color w:val="064E3B"/>
        </w:rPr>
        <w:t>Proposed Future Extensions</w:t>
      </w:r>
    </w:p>
    <w:p>
      <w:pPr>
        <w:pStyle w:val="ListBullet"/>
        <w:spacing w:after="60"/>
      </w:pPr>
      <w:r>
        <w:t>GIS &amp; Satellite Mapping: Embedding Mapbox GL / Leaflet to visualize tree coordinates on satellite imagery with NDVI (Normalized Difference Vegetation Index) color overlays.</w:t>
      </w:r>
    </w:p>
    <w:p>
      <w:pPr>
        <w:pStyle w:val="ListBullet"/>
        <w:spacing w:after="60"/>
      </w:pPr>
      <w:r>
        <w:t>IoT Ingestion Pipeline: Interfacing telemetry feeds from soil moisture probes and ambient PM2.5 air sensors for automated micro-irrigation triggering.</w:t>
      </w:r>
    </w:p>
    <w:p>
      <w:pPr>
        <w:pStyle w:val="ListBullet"/>
        <w:spacing w:after="60"/>
      </w:pPr>
      <w:r>
        <w:t>Computer Vision Pathology: Developing an arborist mobile companion utilizing MobileNet to identify tree borer damage and fungal diseases from camera snapshots.</w:t>
      </w:r>
    </w:p>
    <w:p>
      <w:pPr>
        <w:pStyle w:val="ListBullet"/>
        <w:spacing w:after="60"/>
      </w:pPr>
      <w:r>
        <w:t>Offline-First Progressive Web App (PWA): Equipping field officers with offline IndexedDB storage and background synchronization for low-connectivity municipal wards.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