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the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in</w:t>
      </w:r>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has been held back by a plethora of nonidealities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nonidealities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cross-coupling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213AA6">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213AA6">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213AA6">
      <w:pPr>
        <w:pStyle w:val="Heading2"/>
        <w:numPr>
          <w:ilvl w:val="1"/>
          <w:numId w:val="5"/>
        </w:numPr>
      </w:pPr>
      <w:r>
        <w:t>Economics of Scaling</w:t>
      </w:r>
      <w:r w:rsidR="00FE05D7">
        <w:t xml:space="preserve"> and Moore’s Law</w:t>
      </w:r>
    </w:p>
    <w:p w:rsidR="00FE05D7" w:rsidRDefault="00FE05D7" w:rsidP="00213AA6">
      <w:pPr>
        <w:pStyle w:val="Heading2"/>
        <w:numPr>
          <w:ilvl w:val="1"/>
          <w:numId w:val="5"/>
        </w:numPr>
      </w:pPr>
      <w:r>
        <w:t>Beyond-CMOS Materials and Devices</w:t>
      </w:r>
    </w:p>
    <w:p w:rsidR="00000977" w:rsidRPr="00000977" w:rsidRDefault="00000977" w:rsidP="00213AA6">
      <w:pPr>
        <w:pStyle w:val="Heading2"/>
        <w:numPr>
          <w:ilvl w:val="1"/>
          <w:numId w:val="5"/>
        </w:numPr>
      </w:pPr>
      <w:r>
        <w:t>Graphene as a Beyond-CMOS Material</w:t>
      </w:r>
    </w:p>
    <w:p w:rsidR="00BA00E5" w:rsidRPr="00BA00E5" w:rsidRDefault="00BA00E5" w:rsidP="00213AA6">
      <w:pPr>
        <w:pStyle w:val="Heading2"/>
        <w:numPr>
          <w:ilvl w:val="1"/>
          <w:numId w:val="5"/>
        </w:numPr>
      </w:pPr>
      <w:r>
        <w:t>Overview of Document</w:t>
      </w:r>
    </w:p>
    <w:p w:rsidR="00B66FD9" w:rsidRDefault="00B66FD9">
      <w:r>
        <w:br w:type="page"/>
      </w:r>
    </w:p>
    <w:p w:rsidR="00D64B58" w:rsidRDefault="00D64B58" w:rsidP="00213AA6">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213AA6">
      <w:pPr>
        <w:pStyle w:val="Heading1"/>
        <w:numPr>
          <w:ilvl w:val="0"/>
          <w:numId w:val="5"/>
        </w:numPr>
      </w:pPr>
      <w:r>
        <w:lastRenderedPageBreak/>
        <w:t>The Electronic Properties of Graphene</w:t>
      </w:r>
    </w:p>
    <w:p w:rsidR="00000977" w:rsidRDefault="00000977" w:rsidP="00213AA6">
      <w:pPr>
        <w:pStyle w:val="Heading2"/>
        <w:numPr>
          <w:ilvl w:val="1"/>
          <w:numId w:val="5"/>
        </w:numPr>
      </w:pPr>
      <w:r>
        <w:t>Electronic Band Structure of Graphene</w:t>
      </w:r>
    </w:p>
    <w:p w:rsidR="00000977" w:rsidRDefault="00000977" w:rsidP="00213AA6">
      <w:pPr>
        <w:pStyle w:val="Heading2"/>
        <w:numPr>
          <w:ilvl w:val="1"/>
          <w:numId w:val="5"/>
        </w:numPr>
      </w:pPr>
      <w:r>
        <w:t>Klein-Tunneling and the Absence of Backscattering</w:t>
      </w:r>
    </w:p>
    <w:p w:rsidR="00D00DA9" w:rsidRPr="00D00DA9" w:rsidRDefault="00D00DA9" w:rsidP="00213AA6">
      <w:pPr>
        <w:pStyle w:val="Heading2"/>
        <w:numPr>
          <w:ilvl w:val="1"/>
          <w:numId w:val="5"/>
        </w:numPr>
      </w:pPr>
      <w:r>
        <w:t>The Role of the Substrate</w:t>
      </w:r>
    </w:p>
    <w:p w:rsidR="0034034B" w:rsidRDefault="0034034B" w:rsidP="00213AA6">
      <w:pPr>
        <w:pStyle w:val="Heading2"/>
        <w:numPr>
          <w:ilvl w:val="1"/>
          <w:numId w:val="5"/>
        </w:numPr>
      </w:pPr>
      <w:r>
        <w:t>Charge Transport in CVD Graphene</w:t>
      </w:r>
    </w:p>
    <w:p w:rsidR="008F62A8" w:rsidRPr="008F62A8" w:rsidRDefault="008F62A8" w:rsidP="00213AA6">
      <w:pPr>
        <w:pStyle w:val="Heading2"/>
        <w:numPr>
          <w:ilvl w:val="1"/>
          <w:numId w:val="5"/>
        </w:numPr>
      </w:pPr>
      <w:r>
        <w:t>Contact-Induced Doping</w:t>
      </w:r>
    </w:p>
    <w:p w:rsidR="0031648C" w:rsidRDefault="0031648C" w:rsidP="00213AA6">
      <w:pPr>
        <w:pStyle w:val="Heading2"/>
        <w:numPr>
          <w:ilvl w:val="1"/>
          <w:numId w:val="5"/>
        </w:numPr>
      </w:pPr>
      <w:r>
        <w:t>Characterization of Graphene</w:t>
      </w:r>
    </w:p>
    <w:p w:rsidR="0031648C" w:rsidRDefault="0031648C" w:rsidP="00213AA6">
      <w:pPr>
        <w:pStyle w:val="Heading3"/>
        <w:numPr>
          <w:ilvl w:val="2"/>
          <w:numId w:val="5"/>
        </w:numPr>
      </w:pPr>
      <w:r>
        <w:t>Raman Analysis</w:t>
      </w:r>
    </w:p>
    <w:p w:rsidR="0031648C" w:rsidRPr="0031648C" w:rsidRDefault="0031648C" w:rsidP="00213AA6">
      <w:pPr>
        <w:pStyle w:val="Heading3"/>
        <w:numPr>
          <w:ilvl w:val="2"/>
          <w:numId w:val="5"/>
        </w:numPr>
      </w:pPr>
      <w:r>
        <w:t>Constant Mobility Model</w:t>
      </w:r>
    </w:p>
    <w:p w:rsidR="00B66FD9" w:rsidRDefault="00B66FD9">
      <w:r>
        <w:br w:type="page"/>
      </w:r>
    </w:p>
    <w:p w:rsidR="00D64B58" w:rsidRDefault="00D64B58" w:rsidP="00213AA6">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213AA6">
      <w:pPr>
        <w:pStyle w:val="Heading1"/>
        <w:numPr>
          <w:ilvl w:val="0"/>
          <w:numId w:val="5"/>
        </w:numPr>
      </w:pPr>
      <w:r>
        <w:lastRenderedPageBreak/>
        <w:t>All-Graphene Neuromorphic Computing Architectures</w:t>
      </w:r>
    </w:p>
    <w:p w:rsidR="00EB2546" w:rsidRDefault="00EB2546" w:rsidP="00213AA6">
      <w:pPr>
        <w:pStyle w:val="Heading2"/>
        <w:numPr>
          <w:ilvl w:val="1"/>
          <w:numId w:val="5"/>
        </w:numPr>
      </w:pPr>
      <w:r>
        <w:t>Cellular Neural Networks (CNNs)</w:t>
      </w:r>
    </w:p>
    <w:p w:rsidR="00EB2546" w:rsidRDefault="00EB2546" w:rsidP="00213AA6">
      <w:pPr>
        <w:pStyle w:val="Heading2"/>
        <w:numPr>
          <w:ilvl w:val="1"/>
          <w:numId w:val="5"/>
        </w:numPr>
      </w:pPr>
      <w:r>
        <w:t>All-Resistance CNNs</w:t>
      </w:r>
    </w:p>
    <w:p w:rsidR="00632C08" w:rsidRDefault="00632C08" w:rsidP="00213AA6">
      <w:pPr>
        <w:pStyle w:val="Heading2"/>
        <w:numPr>
          <w:ilvl w:val="1"/>
          <w:numId w:val="5"/>
        </w:numPr>
      </w:pPr>
      <w:r>
        <w:t>Graphene Neurons and Synapses</w:t>
      </w:r>
    </w:p>
    <w:p w:rsidR="00E46C40" w:rsidRDefault="00E46C40" w:rsidP="00213AA6">
      <w:pPr>
        <w:pStyle w:val="Heading2"/>
        <w:numPr>
          <w:ilvl w:val="1"/>
          <w:numId w:val="5"/>
        </w:numPr>
      </w:pPr>
      <w:r>
        <w:t>Measurement Results</w:t>
      </w:r>
    </w:p>
    <w:p w:rsidR="00E46C40" w:rsidRPr="00E46C40" w:rsidRDefault="00E46C40" w:rsidP="00213AA6">
      <w:pPr>
        <w:pStyle w:val="Heading2"/>
        <w:numPr>
          <w:ilvl w:val="1"/>
          <w:numId w:val="5"/>
        </w:numPr>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213AA6">
      <w:pPr>
        <w:pStyle w:val="Heading1"/>
        <w:numPr>
          <w:ilvl w:val="0"/>
          <w:numId w:val="5"/>
        </w:numPr>
      </w:pPr>
      <w:r>
        <w:lastRenderedPageBreak/>
        <w:t>Graphene Low-Loss Diodes</w:t>
      </w:r>
    </w:p>
    <w:p w:rsidR="00E46C40" w:rsidRDefault="00E46C40" w:rsidP="00213AA6">
      <w:pPr>
        <w:pStyle w:val="Heading2"/>
        <w:numPr>
          <w:ilvl w:val="1"/>
          <w:numId w:val="5"/>
        </w:numPr>
      </w:pPr>
      <w:r>
        <w:t>Geometric Graphene Diodes</w:t>
      </w:r>
    </w:p>
    <w:p w:rsidR="00E46C40" w:rsidRDefault="00E46C40" w:rsidP="00213AA6">
      <w:pPr>
        <w:pStyle w:val="Heading2"/>
        <w:numPr>
          <w:ilvl w:val="1"/>
          <w:numId w:val="5"/>
        </w:numPr>
      </w:pPr>
      <w:r>
        <w:t>Oblique Incidence Diodes</w:t>
      </w:r>
    </w:p>
    <w:p w:rsidR="002D6C6B" w:rsidRDefault="00E46C40" w:rsidP="00213AA6">
      <w:pPr>
        <w:pStyle w:val="Heading2"/>
        <w:numPr>
          <w:ilvl w:val="1"/>
          <w:numId w:val="5"/>
        </w:numPr>
      </w:pPr>
      <w:r>
        <w:t>Performance Limitations</w:t>
      </w:r>
    </w:p>
    <w:p w:rsidR="00E46C40" w:rsidRDefault="002D6C6B" w:rsidP="00213AA6">
      <w:pPr>
        <w:pStyle w:val="Heading3"/>
        <w:numPr>
          <w:ilvl w:val="2"/>
          <w:numId w:val="5"/>
        </w:numPr>
      </w:pPr>
      <w:r>
        <w:t>Lead Resistance</w:t>
      </w:r>
    </w:p>
    <w:p w:rsidR="002D6C6B" w:rsidRPr="00E46C40" w:rsidRDefault="002D6C6B" w:rsidP="00213AA6">
      <w:pPr>
        <w:pStyle w:val="Heading3"/>
        <w:numPr>
          <w:ilvl w:val="2"/>
          <w:numId w:val="5"/>
        </w:numPr>
      </w:pPr>
      <w:r>
        <w:t>Momentum Distribution Smearing by Scattering</w:t>
      </w:r>
    </w:p>
    <w:p w:rsidR="00E46C40" w:rsidRDefault="00E46C40" w:rsidP="00213AA6">
      <w:pPr>
        <w:pStyle w:val="Heading2"/>
        <w:numPr>
          <w:ilvl w:val="1"/>
          <w:numId w:val="5"/>
        </w:numPr>
      </w:pPr>
      <w:r>
        <w:t>Measurement Results</w:t>
      </w:r>
    </w:p>
    <w:p w:rsidR="002D6C6B" w:rsidRPr="002D6C6B" w:rsidRDefault="002D6C6B" w:rsidP="00213AA6">
      <w:pPr>
        <w:pStyle w:val="Heading2"/>
        <w:numPr>
          <w:ilvl w:val="1"/>
          <w:numId w:val="5"/>
        </w:numPr>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213AA6">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nonidealities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213AA6">
      <w:pPr>
        <w:pStyle w:val="Heading2"/>
        <w:numPr>
          <w:ilvl w:val="1"/>
          <w:numId w:val="5"/>
        </w:numPr>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two graphene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1</w:t>
        </w:r>
      </w:fldSimple>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2</w:t>
        </w:r>
      </w:fldSimple>
      <w:bookmarkEnd w:id="0"/>
      <w:r>
        <w:t xml:space="preserve"> Cross Section of the graphene coupler with the bottom oxide only shown for clarity. The electronic energy dispersion relation for each region is shown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3</w:t>
        </w:r>
      </w:fldSimple>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is defined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CF4B11" w:rsidP="007531F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7531F9" w:rsidRDefault="007531F9" w:rsidP="006067CF">
            <w:pPr>
              <w:ind w:firstLine="0"/>
              <w:jc w:val="right"/>
              <w:rPr>
                <w:rFonts w:eastAsiaTheme="minorEastAsia"/>
              </w:rPr>
            </w:pPr>
            <w:r>
              <w:t>(</w:t>
            </w:r>
            <w:fldSimple w:instr=" STYLEREF 1 \s ">
              <w:r w:rsidR="0070485D">
                <w:rPr>
                  <w:noProof/>
                  <w:cs/>
                </w:rPr>
                <w:t>‎</w:t>
              </w:r>
              <w:r w:rsidR="0070485D">
                <w:rPr>
                  <w:noProof/>
                </w:rPr>
                <w:t>5</w:t>
              </w:r>
            </w:fldSimple>
            <w:r>
              <w:t>.</w:t>
            </w:r>
            <w:fldSimple w:instr=" SEQ Equation \* ARABIC \s 1 ">
              <w:r w:rsidR="0070485D">
                <w:rPr>
                  <w:noProof/>
                </w:rPr>
                <w:t>6</w:t>
              </w:r>
            </w:fldSimple>
            <w:r>
              <w:t>)</w:t>
            </w:r>
          </w:p>
        </w:tc>
      </w:tr>
    </w:tbl>
    <w:p w:rsidR="000C3860" w:rsidRDefault="009B3CAC" w:rsidP="00EB36E8">
      <w:pPr>
        <w:rPr>
          <w:rFonts w:eastAsiaTheme="minorEastAsia"/>
        </w:rPr>
      </w:pPr>
      <w:r>
        <w:rPr>
          <w:rFonts w:eastAsiaTheme="minorEastAsia"/>
        </w:rPr>
        <w:t xml:space="preserve">A detailed analysis of the electrical model is provided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is </w:t>
      </w:r>
      <w:r w:rsidR="00A571BC">
        <w:rPr>
          <w:rFonts w:eastAsiaTheme="minorEastAsia"/>
        </w:rPr>
        <w:t>expected due to the passive nature of the device that does not provide any buffering</w:t>
      </w:r>
      <w:r w:rsidR="00A046BC">
        <w:rPr>
          <w:rFonts w:eastAsiaTheme="minorEastAsia"/>
        </w:rPr>
        <w:t>.</w:t>
      </w:r>
      <w:r w:rsidR="00A571BC">
        <w:rPr>
          <w:rFonts w:eastAsiaTheme="minorEastAsia"/>
        </w:rPr>
        <w:t xml:space="preserve"> </w:t>
      </w:r>
    </w:p>
    <w:p w:rsidR="00EB36E8" w:rsidRPr="00EB36E8" w:rsidRDefault="00EB36E8" w:rsidP="00485B2D">
      <w:pPr>
        <w:rPr>
          <w:rFonts w:eastAsiaTheme="minorEastAsia"/>
        </w:rPr>
      </w:pPr>
      <w:r>
        <w:rPr>
          <w:rFonts w:eastAsiaTheme="minorEastAsia"/>
        </w:rPr>
        <w:t xml:space="preserve">A closer look at the </w:t>
      </w:r>
      <w:r w:rsidR="0073489E">
        <w:rPr>
          <w:rFonts w:eastAsiaTheme="minorEastAsia"/>
        </w:rPr>
        <w:t xml:space="preserve">functional form of the voltage and current equations, </w:t>
      </w:r>
      <w:r>
        <w:rPr>
          <w:rFonts w:eastAsiaTheme="minorEastAsia"/>
        </w:rPr>
        <w:t>boundary conditions and c</w:t>
      </w:r>
      <w:r w:rsidR="00485B2D">
        <w:rPr>
          <w:rFonts w:eastAsiaTheme="minorEastAsia"/>
        </w:rPr>
        <w:t xml:space="preserve">urrent conservation </w:t>
      </w:r>
      <w:r w:rsidR="0073489E">
        <w:rPr>
          <w:rFonts w:eastAsiaTheme="minorEastAsia"/>
        </w:rPr>
        <w:t xml:space="preserve">requirement </w:t>
      </w:r>
      <w:r w:rsidR="00485B2D">
        <w:rPr>
          <w:rFonts w:eastAsiaTheme="minorEastAsia"/>
        </w:rPr>
        <w:t xml:space="preserve">reveals interesting information regarding the asymptotic behavior of the coupler. </w:t>
      </w:r>
    </w:p>
    <w:p w:rsidR="00B24515" w:rsidRPr="00B24515" w:rsidRDefault="00B24515" w:rsidP="00213AA6">
      <w:pPr>
        <w:pStyle w:val="Heading3"/>
        <w:numPr>
          <w:ilvl w:val="2"/>
          <w:numId w:val="5"/>
        </w:numPr>
      </w:pPr>
      <w:bookmarkStart w:id="2" w:name="_Ref489419767"/>
      <w:r>
        <w:lastRenderedPageBreak/>
        <w:t>Estimation of the tunneling resistance</w:t>
      </w:r>
      <w:bookmarkEnd w:id="2"/>
    </w:p>
    <w:p w:rsidR="004D425E" w:rsidRDefault="004D425E" w:rsidP="00213AA6">
      <w:pPr>
        <w:pStyle w:val="Heading2"/>
        <w:numPr>
          <w:ilvl w:val="1"/>
          <w:numId w:val="5"/>
        </w:numPr>
      </w:pPr>
      <w:r>
        <w:t>Dependence Current Coupling Coefficient on Coupling Distance</w:t>
      </w:r>
    </w:p>
    <w:p w:rsidR="004D425E" w:rsidRPr="004D425E" w:rsidRDefault="004D425E" w:rsidP="00213AA6">
      <w:pPr>
        <w:pStyle w:val="Heading2"/>
        <w:numPr>
          <w:ilvl w:val="1"/>
          <w:numId w:val="5"/>
        </w:numPr>
      </w:pPr>
      <w:r>
        <w:t>Impact of Current Coupling on Deeply Scaled Interconnects</w:t>
      </w:r>
    </w:p>
    <w:p w:rsidR="004D425E" w:rsidRPr="004D425E" w:rsidRDefault="004D425E" w:rsidP="00213AA6">
      <w:pPr>
        <w:pStyle w:val="Heading2"/>
        <w:numPr>
          <w:ilvl w:val="1"/>
          <w:numId w:val="5"/>
        </w:numPr>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213AA6">
      <w:pPr>
        <w:pStyle w:val="Heading1"/>
        <w:numPr>
          <w:ilvl w:val="0"/>
          <w:numId w:val="5"/>
        </w:numPr>
      </w:pPr>
      <w:r>
        <w:lastRenderedPageBreak/>
        <w:t>Current Technological Limitations on Graphene Devices and Circuits</w:t>
      </w:r>
    </w:p>
    <w:p w:rsidR="008F62A8" w:rsidRDefault="008F62A8" w:rsidP="00213AA6">
      <w:pPr>
        <w:pStyle w:val="Heading2"/>
        <w:numPr>
          <w:ilvl w:val="1"/>
          <w:numId w:val="5"/>
        </w:numPr>
      </w:pPr>
      <w:r>
        <w:t>Contact Engineering</w:t>
      </w:r>
    </w:p>
    <w:p w:rsidR="008F62A8" w:rsidRPr="008F62A8" w:rsidRDefault="008F62A8" w:rsidP="00213AA6">
      <w:pPr>
        <w:pStyle w:val="Heading3"/>
        <w:numPr>
          <w:ilvl w:val="2"/>
          <w:numId w:val="5"/>
        </w:numPr>
      </w:pPr>
      <w:r>
        <w:t>Electrical Resistance</w:t>
      </w:r>
    </w:p>
    <w:p w:rsidR="008F62A8" w:rsidRDefault="008F62A8" w:rsidP="00213AA6">
      <w:pPr>
        <w:pStyle w:val="Heading3"/>
        <w:numPr>
          <w:ilvl w:val="2"/>
          <w:numId w:val="5"/>
        </w:numPr>
      </w:pPr>
      <w:r>
        <w:t>Thermal Interface Conductance</w:t>
      </w:r>
    </w:p>
    <w:p w:rsidR="00BC4C90" w:rsidRDefault="008F62A8" w:rsidP="00213AA6">
      <w:pPr>
        <w:pStyle w:val="Heading2"/>
        <w:numPr>
          <w:ilvl w:val="1"/>
          <w:numId w:val="5"/>
        </w:numPr>
      </w:pPr>
      <w:r>
        <w:t>Interface Roughness</w:t>
      </w:r>
    </w:p>
    <w:p w:rsidR="00BC4C90" w:rsidRDefault="00BC4C90" w:rsidP="00213AA6">
      <w:pPr>
        <w:pStyle w:val="Heading2"/>
        <w:numPr>
          <w:ilvl w:val="1"/>
          <w:numId w:val="5"/>
        </w:numPr>
      </w:pPr>
      <w:r>
        <w:t>Stress in dual-gated Graphene FETs during Processing</w:t>
      </w:r>
    </w:p>
    <w:p w:rsidR="00BC4C90" w:rsidRPr="00BC4C90" w:rsidRDefault="00BC4C90" w:rsidP="00213AA6">
      <w:pPr>
        <w:pStyle w:val="Heading2"/>
        <w:numPr>
          <w:ilvl w:val="1"/>
          <w:numId w:val="5"/>
        </w:numPr>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213AA6">
      <w:pPr>
        <w:pStyle w:val="Heading1"/>
        <w:numPr>
          <w:ilvl w:val="0"/>
          <w:numId w:val="5"/>
        </w:numPr>
      </w:pPr>
      <w:r>
        <w:lastRenderedPageBreak/>
        <w:t>Conclusion and Future Work</w:t>
      </w:r>
    </w:p>
    <w:p w:rsidR="004A4501" w:rsidRDefault="004A4501" w:rsidP="00213AA6">
      <w:pPr>
        <w:pStyle w:val="Heading2"/>
        <w:numPr>
          <w:ilvl w:val="1"/>
          <w:numId w:val="5"/>
        </w:numPr>
      </w:pPr>
      <w:r>
        <w:t>Alloyed Contacts for Optimized Thermal and Electrical Contact Resistance</w:t>
      </w:r>
    </w:p>
    <w:p w:rsidR="004A4501" w:rsidRDefault="004A4501" w:rsidP="00213AA6">
      <w:pPr>
        <w:pStyle w:val="Heading2"/>
        <w:numPr>
          <w:ilvl w:val="1"/>
          <w:numId w:val="5"/>
        </w:numPr>
      </w:pPr>
      <w:r>
        <w:t xml:space="preserve">CVD Graphene over CVD </w:t>
      </w:r>
      <w:proofErr w:type="spellStart"/>
      <w:r>
        <w:t>hBN</w:t>
      </w:r>
      <w:proofErr w:type="spellEnd"/>
    </w:p>
    <w:p w:rsidR="004A4501" w:rsidRPr="004A4501" w:rsidRDefault="004A4501" w:rsidP="00213AA6">
      <w:pPr>
        <w:pStyle w:val="Heading2"/>
        <w:numPr>
          <w:ilvl w:val="1"/>
          <w:numId w:val="5"/>
        </w:numPr>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213AA6">
      <w:pPr>
        <w:pStyle w:val="Heading2"/>
        <w:numPr>
          <w:ilvl w:val="1"/>
          <w:numId w:val="4"/>
        </w:numPr>
      </w:pPr>
      <w:r>
        <w:t>Preprocessing Anneal</w:t>
      </w:r>
    </w:p>
    <w:p w:rsidR="00795535" w:rsidRDefault="005A5660" w:rsidP="00213AA6">
      <w:pPr>
        <w:pStyle w:val="Heading2"/>
        <w:numPr>
          <w:ilvl w:val="1"/>
          <w:numId w:val="4"/>
        </w:numPr>
      </w:pPr>
      <w:r w:rsidRPr="005A5660">
        <w:t>Photolithography</w:t>
      </w:r>
    </w:p>
    <w:p w:rsidR="00795535" w:rsidRDefault="005A5660" w:rsidP="00213AA6">
      <w:pPr>
        <w:pStyle w:val="Heading2"/>
        <w:numPr>
          <w:ilvl w:val="1"/>
          <w:numId w:val="4"/>
        </w:numPr>
      </w:pPr>
      <w:r>
        <w:t>Electron-Beam Lithography</w:t>
      </w:r>
    </w:p>
    <w:p w:rsidR="00795535" w:rsidRDefault="005A5660" w:rsidP="00213AA6">
      <w:pPr>
        <w:pStyle w:val="Heading2"/>
        <w:numPr>
          <w:ilvl w:val="1"/>
          <w:numId w:val="4"/>
        </w:numPr>
      </w:pPr>
      <w:r>
        <w:t>Electron-Beam Evaporation</w:t>
      </w:r>
    </w:p>
    <w:p w:rsidR="00F47C0C" w:rsidRPr="00F47C0C" w:rsidRDefault="00CA159A" w:rsidP="00213AA6">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t>Measurement Setup for Graphene Diodes</w:t>
      </w:r>
    </w:p>
    <w:p w:rsidR="00DA61C8" w:rsidRPr="00DA61C8" w:rsidRDefault="00DA61C8" w:rsidP="00DA61C8"/>
    <w:p w:rsidR="00CB6CDE" w:rsidRPr="00CB6CDE" w:rsidRDefault="00CB6CDE" w:rsidP="0098324C">
      <w:pPr>
        <w:pStyle w:val="Heading1"/>
      </w:pPr>
      <w:bookmarkStart w:id="3" w:name="_Ref489460016"/>
      <w:r>
        <w:lastRenderedPageBreak/>
        <w:t>Der</w:t>
      </w:r>
      <w:r w:rsidR="00DA61C8">
        <w:t>i</w:t>
      </w:r>
      <w:r>
        <w:t xml:space="preserve">vation of </w:t>
      </w:r>
      <w:r w:rsidR="00DA61C8">
        <w:t>the Current Coupling Coefficient in a Diffusive-Transport Graphene Coupler</w:t>
      </w:r>
      <w:bookmarkEnd w:id="3"/>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fldSimple w:instr=" STYLEREF 1 \s ">
        <w:r>
          <w:rPr>
            <w:noProof/>
            <w:cs/>
          </w:rPr>
          <w:t>‎</w:t>
        </w:r>
        <w:r>
          <w:rPr>
            <w:noProof/>
          </w:rPr>
          <w:t>E</w:t>
        </w:r>
      </w:fldSimple>
      <w:r>
        <w:t>.</w:t>
      </w:r>
      <w:fldSimple w:instr=" SEQ Figure \* ARABIC \s 1 ">
        <w:r>
          <w:rPr>
            <w:noProof/>
          </w:rPr>
          <w:t>1</w:t>
        </w:r>
      </w:fldSimple>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We label one of the ribbons as the input ribbon, and the other as 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This can be rewritten as:</w:t>
      </w:r>
    </w:p>
    <w:p w:rsidR="009B3CAC" w:rsidRPr="00B678FB"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as </w:t>
      </w:r>
      <m:oMath>
        <m:r>
          <w:rPr>
            <w:rFonts w:ascii="Cambria Math" w:hAnsi="Cambria Math"/>
          </w:rPr>
          <m:t>dx→0</m:t>
        </m:r>
      </m:oMath>
      <w:r>
        <w:rPr>
          <w:rFonts w:eastAsiaTheme="minorEastAsia"/>
        </w:rPr>
        <w:t>, we get:</w:t>
      </w:r>
    </w:p>
    <w:p w:rsidR="009B3CAC" w:rsidRPr="009E1422"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9B3CAC" w:rsidRPr="00CD1A4A"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9B3CAC"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9B3CAC"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9B3CAC"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Pr="004B1C44" w:rsidRDefault="004B1C44" w:rsidP="004B1C44">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1</w:t>
              </w:r>
            </w:fldSimple>
            <w:r>
              <w:t>)</w:t>
            </w:r>
          </w:p>
        </w:tc>
      </w:tr>
    </w:tbl>
    <w:p w:rsidR="004B1C44" w:rsidRDefault="004B1C44" w:rsidP="009B3CAC"/>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Default="004B1C44" w:rsidP="004B1C44">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2</w:t>
              </w:r>
            </w:fldSimple>
            <w:r>
              <w:t>)</w:t>
            </w:r>
          </w:p>
        </w:tc>
      </w:tr>
    </w:tbl>
    <w:p w:rsidR="004B1C44" w:rsidRDefault="004B1C44" w:rsidP="009B3CAC"/>
    <w:p w:rsidR="009B3CAC" w:rsidRDefault="009B3CAC" w:rsidP="009B3CAC">
      <w:pPr>
        <w:rPr>
          <w:rFonts w:eastAsiaTheme="minorEastAsia"/>
        </w:rPr>
      </w:pPr>
      <w:r>
        <w:rPr>
          <w:rFonts w:eastAsiaTheme="minorEastAsia"/>
        </w:rPr>
        <w:t>The two differential equations are the same. The general solution is written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9B3CAC"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3</w:t>
              </w:r>
            </w:fldSimple>
            <w:r>
              <w:t>)</w:t>
            </w:r>
          </w:p>
        </w:tc>
      </w:tr>
    </w:tbl>
    <w:p w:rsidR="009B3CAC" w:rsidRDefault="009B3CAC" w:rsidP="009B3CAC">
      <w:pPr>
        <w:rPr>
          <w:rFonts w:eastAsiaTheme="minorEastAsia"/>
        </w:rPr>
      </w:pPr>
      <w:r>
        <w:rPr>
          <w:rFonts w:eastAsiaTheme="minorEastAsia"/>
        </w:rPr>
        <w:t xml:space="preserve">The above equation can be rewritten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9B3CAC"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4</w:t>
              </w:r>
            </w:fldSimple>
            <w:r>
              <w:t>)</w:t>
            </w:r>
          </w:p>
        </w:tc>
      </w:tr>
    </w:tbl>
    <w:p w:rsidR="009B3CAC" w:rsidRDefault="009B3CAC" w:rsidP="009B3CAC">
      <w:r>
        <w:t>KCL relates 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CF4B11">
        <w:tc>
          <w:tcPr>
            <w:tcW w:w="146" w:type="pct"/>
            <w:vAlign w:val="center"/>
          </w:tcPr>
          <w:p w:rsidR="009B3CAC" w:rsidRDefault="009B3CAC" w:rsidP="00CF4B11">
            <w:pPr>
              <w:ind w:firstLine="0"/>
              <w:jc w:val="center"/>
              <w:rPr>
                <w:rFonts w:eastAsiaTheme="minorEastAsia"/>
              </w:rPr>
            </w:pPr>
          </w:p>
        </w:tc>
        <w:tc>
          <w:tcPr>
            <w:tcW w:w="4421" w:type="pct"/>
            <w:vAlign w:val="center"/>
          </w:tcPr>
          <w:p w:rsidR="009B3CAC" w:rsidRDefault="009B3CAC" w:rsidP="00CF4B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r>
                      <w:rPr>
                        <w:rFonts w:ascii="Cambria Math" w:eastAsiaTheme="minorEastAsia"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tc>
        <w:tc>
          <w:tcPr>
            <w:tcW w:w="432" w:type="pct"/>
            <w:vAlign w:val="center"/>
          </w:tcPr>
          <w:p w:rsidR="009B3CAC" w:rsidRDefault="009B3CAC" w:rsidP="00CF4B11">
            <w:pPr>
              <w:ind w:firstLine="0"/>
              <w:jc w:val="right"/>
              <w:rPr>
                <w:rFonts w:eastAsiaTheme="minorEastAsia"/>
              </w:rPr>
            </w:pPr>
            <w:bookmarkStart w:id="4" w:name="_Ref489460143"/>
            <w:r>
              <w:t>(</w:t>
            </w:r>
            <w:fldSimple w:instr=" STYLEREF 1 \s ">
              <w:r w:rsidR="000E27C3">
                <w:rPr>
                  <w:noProof/>
                  <w:cs/>
                </w:rPr>
                <w:t>‎</w:t>
              </w:r>
              <w:r w:rsidR="000E27C3">
                <w:rPr>
                  <w:noProof/>
                </w:rPr>
                <w:t>E</w:t>
              </w:r>
            </w:fldSimple>
            <w:r>
              <w:t>.</w:t>
            </w:r>
            <w:fldSimple w:instr=" SEQ Equation \* ARABIC \s 1 ">
              <w:r w:rsidR="000E27C3">
                <w:rPr>
                  <w:noProof/>
                </w:rPr>
                <w:t>5</w:t>
              </w:r>
            </w:fldSimple>
            <w:r>
              <w:t>)</w:t>
            </w:r>
            <w:bookmarkEnd w:id="4"/>
          </w:p>
        </w:tc>
      </w:tr>
    </w:tbl>
    <w:p w:rsidR="009B3CAC" w:rsidRDefault="009B3CAC" w:rsidP="009B3CAC">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9B3CAC"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3CAC" w:rsidRDefault="009B3CAC"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6</w:t>
              </w:r>
            </w:fldSimple>
            <w:r>
              <w:t>)</w:t>
            </w:r>
          </w:p>
        </w:tc>
      </w:tr>
    </w:tbl>
    <w:p w:rsidR="009B3CAC" w:rsidRDefault="009B3CAC" w:rsidP="009B3CAC">
      <w:pPr>
        <w:rPr>
          <w:rFonts w:eastAsiaTheme="minorEastAsia"/>
        </w:rPr>
      </w:pPr>
      <w:r>
        <w:rPr>
          <w:rFonts w:eastAsiaTheme="minorEastAsia"/>
        </w:rPr>
        <w:t>In addition, 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Pr="00070314" w:rsidRDefault="009B3CAC"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9B3CAC"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7</w:t>
              </w:r>
            </w:fldSimple>
            <w:r>
              <w:t>)</w:t>
            </w:r>
          </w:p>
        </w:tc>
      </w:tr>
    </w:tbl>
    <w:p w:rsidR="009B3CAC" w:rsidRDefault="009B3CAC" w:rsidP="009B3CAC">
      <w:r>
        <w:t>The coupling coefficient between the current in the two ribbons is defined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9B3CAC" w:rsidP="00CF4B1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9B3CAC" w:rsidRDefault="009B3CAC"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8</w:t>
              </w:r>
            </w:fldSimple>
            <w:r>
              <w:t>)</w:t>
            </w:r>
          </w:p>
        </w:tc>
      </w:tr>
    </w:tbl>
    <w:p w:rsidR="009B3CAC" w:rsidRDefault="002D34A7" w:rsidP="009B3CAC">
      <w:r>
        <w:t xml:space="preserve">The </w:t>
      </w:r>
      <w:r w:rsidR="00583390">
        <w:t>right side of</w:t>
      </w:r>
      <w:r>
        <w:t xml:space="preserve"> </w:t>
      </w:r>
      <w:r w:rsidR="00425F15">
        <w:t xml:space="preserve">Equation </w:t>
      </w:r>
      <w:r w:rsidR="00425F15">
        <w:fldChar w:fldCharType="begin"/>
      </w:r>
      <w:r w:rsidR="00425F15">
        <w:instrText xml:space="preserve"> REF _Ref489460143 \h </w:instrText>
      </w:r>
      <w:r w:rsidR="00425F15">
        <w:fldChar w:fldCharType="separate"/>
      </w:r>
      <w:r w:rsidR="000E27C3">
        <w:t>(</w:t>
      </w:r>
      <w:r w:rsidR="000E27C3">
        <w:rPr>
          <w:noProof/>
          <w:cs/>
        </w:rPr>
        <w:t>‎</w:t>
      </w:r>
      <w:r w:rsidR="000E27C3">
        <w:rPr>
          <w:noProof/>
        </w:rPr>
        <w:t>E</w:t>
      </w:r>
      <w:r w:rsidR="000E27C3">
        <w:t>.</w:t>
      </w:r>
      <w:r w:rsidR="000E27C3">
        <w:rPr>
          <w:noProof/>
        </w:rPr>
        <w:t>5</w:t>
      </w:r>
      <w:r w:rsidR="000E27C3">
        <w:t>)</w:t>
      </w:r>
      <w:r w:rsidR="00425F15">
        <w:fldChar w:fldCharType="end"/>
      </w:r>
      <w:r w:rsidR="00425F15">
        <w:t xml:space="preserve"> </w:t>
      </w:r>
      <w:r>
        <w:t xml:space="preserve">can be solved for the relation between the constant </w:t>
      </w:r>
      <m:oMath>
        <m:r>
          <w:rPr>
            <w:rFonts w:ascii="Cambria Math" w:hAnsi="Cambria Math"/>
          </w:rPr>
          <m:t>A-D</m:t>
        </m:r>
      </m:oMath>
      <w:r>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CF4B11">
        <w:tc>
          <w:tcPr>
            <w:tcW w:w="544" w:type="pct"/>
            <w:vAlign w:val="center"/>
          </w:tcPr>
          <w:p w:rsidR="002D34A7" w:rsidRDefault="002D34A7" w:rsidP="00CF4B11">
            <w:pPr>
              <w:ind w:firstLine="0"/>
              <w:jc w:val="center"/>
              <w:rPr>
                <w:rFonts w:eastAsiaTheme="minorEastAsia"/>
              </w:rPr>
            </w:pPr>
          </w:p>
        </w:tc>
        <w:tc>
          <w:tcPr>
            <w:tcW w:w="3855" w:type="pct"/>
            <w:vAlign w:val="center"/>
          </w:tcPr>
          <w:p w:rsidR="002D34A7" w:rsidRDefault="000B2A86" w:rsidP="00CF4B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m:t>
                </m:r>
              </m:oMath>
            </m:oMathPara>
          </w:p>
        </w:tc>
        <w:tc>
          <w:tcPr>
            <w:tcW w:w="600" w:type="pct"/>
            <w:vAlign w:val="center"/>
          </w:tcPr>
          <w:p w:rsidR="002D34A7" w:rsidRDefault="002D34A7" w:rsidP="00CF4B11">
            <w:pPr>
              <w:ind w:firstLine="0"/>
              <w:jc w:val="right"/>
              <w:rPr>
                <w:rFonts w:eastAsiaTheme="minorEastAsia"/>
              </w:rPr>
            </w:pPr>
            <w:r>
              <w:t>(</w:t>
            </w:r>
            <w:fldSimple w:instr=" STYLEREF 1 \s ">
              <w:r w:rsidR="000E27C3">
                <w:rPr>
                  <w:noProof/>
                  <w:cs/>
                </w:rPr>
                <w:t>‎</w:t>
              </w:r>
              <w:r w:rsidR="000E27C3">
                <w:rPr>
                  <w:noProof/>
                </w:rPr>
                <w:t>E</w:t>
              </w:r>
            </w:fldSimple>
            <w:r>
              <w:t>.</w:t>
            </w:r>
            <w:fldSimple w:instr=" SEQ Equation \* ARABIC \s 1 ">
              <w:r w:rsidR="000E27C3">
                <w:rPr>
                  <w:noProof/>
                </w:rPr>
                <w:t>9</w:t>
              </w:r>
            </w:fldSimple>
            <w:r>
              <w:t>)</w:t>
            </w:r>
          </w:p>
        </w:tc>
      </w:tr>
    </w:tbl>
    <w:p w:rsidR="002D34A7" w:rsidRDefault="00583390" w:rsidP="009B3CAC">
      <w:r>
        <w:t xml:space="preserve">By letting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t xml:space="preserve">, we can write the current in each branch using the left side of Equation </w:t>
      </w:r>
      <w:r>
        <w:fldChar w:fldCharType="begin"/>
      </w:r>
      <w:r>
        <w:instrText xml:space="preserve"> REF _Ref489460143 \h </w:instrText>
      </w:r>
      <w:r>
        <w:fldChar w:fldCharType="separate"/>
      </w:r>
      <w:r>
        <w:t>(</w:t>
      </w:r>
      <w:r>
        <w:rPr>
          <w:noProof/>
          <w:cs/>
        </w:rPr>
        <w:t>‎</w:t>
      </w:r>
      <w:r>
        <w:rPr>
          <w:noProof/>
        </w:rPr>
        <w:t>E</w:t>
      </w:r>
      <w:r>
        <w:t>.</w:t>
      </w:r>
      <w:r>
        <w:rPr>
          <w:noProof/>
        </w:rPr>
        <w:t>5</w:t>
      </w:r>
      <w:r>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583390">
        <w:tc>
          <w:tcPr>
            <w:tcW w:w="544" w:type="pct"/>
            <w:vAlign w:val="center"/>
          </w:tcPr>
          <w:p w:rsidR="002D34A7" w:rsidRDefault="002D34A7" w:rsidP="00CF4B11">
            <w:pPr>
              <w:ind w:firstLine="0"/>
              <w:jc w:val="center"/>
              <w:rPr>
                <w:rFonts w:eastAsiaTheme="minorEastAsia"/>
              </w:rPr>
            </w:pPr>
          </w:p>
        </w:tc>
        <w:tc>
          <w:tcPr>
            <w:tcW w:w="3856" w:type="pct"/>
            <w:vAlign w:val="center"/>
          </w:tcPr>
          <w:p w:rsidR="00583390" w:rsidRPr="00583390" w:rsidRDefault="002D34A7"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r>
                  <w:rPr>
                    <w:rFonts w:ascii="Cambria Math" w:hAnsi="Cambria Math"/>
                  </w:rPr>
                  <m:t xml:space="preserve">, </m:t>
                </m:r>
              </m:oMath>
            </m:oMathPara>
          </w:p>
          <w:p w:rsidR="002D34A7" w:rsidRDefault="00583390"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oMath>
            </m:oMathPara>
          </w:p>
        </w:tc>
        <w:tc>
          <w:tcPr>
            <w:tcW w:w="600" w:type="pct"/>
            <w:vAlign w:val="center"/>
          </w:tcPr>
          <w:p w:rsidR="002D34A7" w:rsidRDefault="002D34A7" w:rsidP="00CF4B11">
            <w:pPr>
              <w:ind w:firstLine="0"/>
              <w:jc w:val="right"/>
              <w:rPr>
                <w:rFonts w:eastAsiaTheme="minorEastAsia"/>
              </w:rPr>
            </w:pPr>
            <w:bookmarkStart w:id="5" w:name="_Ref489461056"/>
            <w:r>
              <w:t>(</w:t>
            </w:r>
            <w:fldSimple w:instr=" STYLEREF 1 \s ">
              <w:r w:rsidR="000E27C3">
                <w:rPr>
                  <w:noProof/>
                  <w:cs/>
                </w:rPr>
                <w:t>‎</w:t>
              </w:r>
              <w:r w:rsidR="000E27C3">
                <w:rPr>
                  <w:noProof/>
                </w:rPr>
                <w:t>E</w:t>
              </w:r>
            </w:fldSimple>
            <w:r>
              <w:t>.</w:t>
            </w:r>
            <w:fldSimple w:instr=" SEQ Equation \* ARABIC \s 1 ">
              <w:r w:rsidR="000E27C3">
                <w:rPr>
                  <w:noProof/>
                </w:rPr>
                <w:t>10</w:t>
              </w:r>
            </w:fldSimple>
            <w:r>
              <w:t>)</w:t>
            </w:r>
            <w:bookmarkEnd w:id="5"/>
          </w:p>
        </w:tc>
      </w:tr>
    </w:tbl>
    <w:p w:rsidR="00CF4B11" w:rsidRDefault="00CF4B11" w:rsidP="00384A49">
      <w:r>
        <w:t>Applying KVL across each branch of the coupler, we have the KVL equations: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CF4B11" w:rsidTr="00CF4B11">
        <w:tc>
          <w:tcPr>
            <w:tcW w:w="544" w:type="pct"/>
            <w:vAlign w:val="center"/>
          </w:tcPr>
          <w:p w:rsidR="00CF4B11" w:rsidRDefault="00CF4B11" w:rsidP="00CF4B11">
            <w:pPr>
              <w:ind w:firstLine="0"/>
              <w:jc w:val="center"/>
              <w:rPr>
                <w:rFonts w:eastAsiaTheme="minorEastAsia"/>
              </w:rPr>
            </w:pPr>
          </w:p>
        </w:tc>
        <w:tc>
          <w:tcPr>
            <w:tcW w:w="3856" w:type="pct"/>
            <w:vAlign w:val="center"/>
          </w:tcPr>
          <w:p w:rsidR="00CF4B11" w:rsidRPr="00583390" w:rsidRDefault="00CF4B11" w:rsidP="00CF4B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e>
                </m:nary>
                <m:r>
                  <w:rPr>
                    <w:rFonts w:ascii="Cambria Math" w:hAnsi="Cambria Math"/>
                  </w:rPr>
                  <m:t xml:space="preserve">, </m:t>
                </m:r>
              </m:oMath>
            </m:oMathPara>
          </w:p>
          <w:p w:rsidR="00CF4B11" w:rsidRDefault="00384A49" w:rsidP="00CF4B1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e>
                </m:nary>
              </m:oMath>
            </m:oMathPara>
          </w:p>
        </w:tc>
        <w:tc>
          <w:tcPr>
            <w:tcW w:w="600" w:type="pct"/>
            <w:vAlign w:val="center"/>
          </w:tcPr>
          <w:p w:rsidR="00CF4B11" w:rsidRDefault="00CF4B11" w:rsidP="00CF4B11">
            <w:pPr>
              <w:ind w:firstLine="0"/>
              <w:jc w:val="right"/>
              <w:rPr>
                <w:rFonts w:eastAsiaTheme="minorEastAsia"/>
              </w:rPr>
            </w:pPr>
            <w:r>
              <w:t>(</w:t>
            </w:r>
            <w:fldSimple w:instr=" STYLEREF 1 \s ">
              <w:r w:rsidR="00384A49">
                <w:rPr>
                  <w:noProof/>
                  <w:cs/>
                </w:rPr>
                <w:t>‎</w:t>
              </w:r>
              <w:r w:rsidR="00384A49">
                <w:rPr>
                  <w:noProof/>
                </w:rPr>
                <w:t>E</w:t>
              </w:r>
            </w:fldSimple>
            <w:r>
              <w:t>.</w:t>
            </w:r>
            <w:fldSimple w:instr=" SEQ Equation \* ARABIC \s 1 ">
              <w:r w:rsidR="00384A49">
                <w:rPr>
                  <w:noProof/>
                </w:rPr>
                <w:t>11</w:t>
              </w:r>
            </w:fldSimple>
            <w:r>
              <w:t>)</w:t>
            </w:r>
          </w:p>
        </w:tc>
      </w:tr>
    </w:tbl>
    <w:p w:rsidR="00CF4B11" w:rsidRDefault="00384A49" w:rsidP="00384A49">
      <w:r>
        <w:t xml:space="preserve">This yields a relation between </w:t>
      </w:r>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C-D</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oMath>
      <w:r>
        <w:t xml:space="preserve">, and allows reducing </w:t>
      </w:r>
      <w:r>
        <w:fldChar w:fldCharType="begin"/>
      </w:r>
      <w:r>
        <w:instrText xml:space="preserve"> REF _Ref489461056 \h </w:instrText>
      </w:r>
      <w:r>
        <w:fldChar w:fldCharType="separate"/>
      </w:r>
      <w:r>
        <w:t>(</w:t>
      </w:r>
      <w:r>
        <w:rPr>
          <w:noProof/>
          <w:cs/>
        </w:rPr>
        <w:t>‎</w:t>
      </w:r>
      <w:r>
        <w:rPr>
          <w:noProof/>
        </w:rPr>
        <w:t>E</w:t>
      </w:r>
      <w:r>
        <w:t>.</w:t>
      </w:r>
      <w:r>
        <w:rPr>
          <w:noProof/>
        </w:rPr>
        <w:t>10</w:t>
      </w:r>
      <w:r>
        <w:t>)</w:t>
      </w:r>
      <w:r>
        <w:fldChar w:fldCharType="end"/>
      </w:r>
      <w:r>
        <w:t xml:space="preserve"> to:</w:t>
      </w:r>
    </w:p>
    <w:p w:rsidR="00384A49" w:rsidRDefault="00384A49" w:rsidP="00384A49"/>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84A49" w:rsidTr="00560F30">
        <w:tc>
          <w:tcPr>
            <w:tcW w:w="544" w:type="pct"/>
            <w:vAlign w:val="center"/>
          </w:tcPr>
          <w:p w:rsidR="00384A49" w:rsidRDefault="00384A49" w:rsidP="00560F30">
            <w:pPr>
              <w:ind w:firstLine="0"/>
              <w:jc w:val="center"/>
              <w:rPr>
                <w:rFonts w:eastAsiaTheme="minorEastAsia"/>
              </w:rPr>
            </w:pPr>
          </w:p>
        </w:tc>
        <w:tc>
          <w:tcPr>
            <w:tcW w:w="3856" w:type="pct"/>
            <w:vAlign w:val="center"/>
          </w:tcPr>
          <w:p w:rsidR="00384A49" w:rsidRPr="00583390" w:rsidRDefault="00384A49"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384A49" w:rsidRDefault="00384A49"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384A49" w:rsidRDefault="00384A49" w:rsidP="00560F30">
            <w:pPr>
              <w:ind w:firstLine="0"/>
              <w:jc w:val="right"/>
              <w:rPr>
                <w:rFonts w:eastAsiaTheme="minorEastAsia"/>
              </w:rPr>
            </w:pPr>
            <w:bookmarkStart w:id="6" w:name="_Ref489461272"/>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12</w:t>
            </w:r>
            <w:r>
              <w:rPr>
                <w:noProof/>
              </w:rPr>
              <w:fldChar w:fldCharType="end"/>
            </w:r>
            <w:r>
              <w:t>)</w:t>
            </w:r>
            <w:bookmarkEnd w:id="6"/>
          </w:p>
        </w:tc>
      </w:tr>
    </w:tbl>
    <w:p w:rsidR="00384A49" w:rsidRDefault="00EC7683" w:rsidP="00F91D64">
      <w:r>
        <w:t xml:space="preserve">Equation </w:t>
      </w:r>
      <w:r>
        <w:fldChar w:fldCharType="begin"/>
      </w:r>
      <w:r>
        <w:instrText xml:space="preserve"> REF _Ref489461272 \h </w:instrText>
      </w:r>
      <w:r>
        <w:fldChar w:fldCharType="separate"/>
      </w:r>
      <w:r>
        <w:t>(</w:t>
      </w:r>
      <w:r>
        <w:rPr>
          <w:noProof/>
          <w:cs/>
        </w:rPr>
        <w:t>‎</w:t>
      </w:r>
      <w:r>
        <w:rPr>
          <w:noProof/>
        </w:rPr>
        <w:t>E</w:t>
      </w:r>
      <w:r>
        <w:t>.</w:t>
      </w:r>
      <w:r>
        <w:rPr>
          <w:noProof/>
        </w:rPr>
        <w:t>12</w:t>
      </w:r>
      <w:r>
        <w:t>)</w:t>
      </w:r>
      <w:r>
        <w:fldChar w:fldCharType="end"/>
      </w:r>
      <w:r>
        <w:t xml:space="preserve">  is reveals the </w:t>
      </w:r>
      <w:r w:rsidR="00F91D64">
        <w:t xml:space="preserve">behavior of the current coupler: The current is initially distributed according to the ratio of the two ribbons resistance per unit length, then the current starts to change due to the coupling tunneling resistance. </w:t>
      </w:r>
      <w:r w:rsidR="00761D25">
        <w:t xml:space="preserve"> </w:t>
      </w:r>
    </w:p>
    <w:p w:rsidR="00B419E3" w:rsidRDefault="00B419E3" w:rsidP="00F91D64">
      <w:r>
        <w:t>The voltage across each ribbon is this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B419E3" w:rsidTr="00560F30">
        <w:tc>
          <w:tcPr>
            <w:tcW w:w="544" w:type="pct"/>
            <w:vAlign w:val="center"/>
          </w:tcPr>
          <w:p w:rsidR="00B419E3" w:rsidRDefault="00B419E3" w:rsidP="00560F30">
            <w:pPr>
              <w:ind w:firstLine="0"/>
              <w:jc w:val="center"/>
              <w:rPr>
                <w:rFonts w:eastAsiaTheme="minorEastAsia"/>
              </w:rPr>
            </w:pPr>
            <w:bookmarkStart w:id="7" w:name="_GoBack"/>
            <w:bookmarkEnd w:id="7"/>
          </w:p>
        </w:tc>
        <w:tc>
          <w:tcPr>
            <w:tcW w:w="3856" w:type="pct"/>
            <w:vAlign w:val="center"/>
          </w:tcPr>
          <w:p w:rsidR="00B419E3" w:rsidRPr="00583390" w:rsidRDefault="00B419E3" w:rsidP="00560F3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B419E3" w:rsidRDefault="00B419E3" w:rsidP="00560F3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B419E3" w:rsidRDefault="00B419E3"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12</w:t>
            </w:r>
            <w:r>
              <w:rPr>
                <w:noProof/>
              </w:rPr>
              <w:fldChar w:fldCharType="end"/>
            </w:r>
            <w:r>
              <w:t>)</w:t>
            </w:r>
          </w:p>
        </w:tc>
      </w:tr>
    </w:tbl>
    <w:p w:rsidR="00B419E3" w:rsidRPr="009B3CAC" w:rsidRDefault="00B419E3" w:rsidP="00F91D64">
      <w:pPr>
        <w:sectPr w:rsidR="00B419E3" w:rsidRPr="009B3CAC" w:rsidSect="008F16C4">
          <w:pgSz w:w="12240" w:h="15840"/>
          <w:pgMar w:top="1440" w:right="1440" w:bottom="1440" w:left="1440" w:header="720" w:footer="720" w:gutter="0"/>
          <w:cols w:space="720"/>
          <w:titlePg/>
          <w:docGrid w:linePitch="326"/>
        </w:sectPr>
      </w:pPr>
    </w:p>
    <w:p w:rsidR="00D64B58" w:rsidRPr="00D64B58" w:rsidRDefault="00D64B58" w:rsidP="00CF4B11">
      <w:pPr>
        <w:pStyle w:val="UnnumberedHeadings1"/>
        <w:ind w:left="0"/>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AA6" w:rsidRDefault="00213AA6" w:rsidP="0020417A">
      <w:r>
        <w:separator/>
      </w:r>
    </w:p>
  </w:endnote>
  <w:endnote w:type="continuationSeparator" w:id="0">
    <w:p w:rsidR="00213AA6" w:rsidRDefault="00213AA6"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CF4B11" w:rsidRDefault="00CF4B11">
        <w:pPr>
          <w:pStyle w:val="Footer"/>
          <w:jc w:val="center"/>
        </w:pPr>
        <w:r>
          <w:fldChar w:fldCharType="begin"/>
        </w:r>
        <w:r w:rsidRPr="001F6458">
          <w:instrText xml:space="preserve"> PAGE   \* MERGEFORMAT </w:instrText>
        </w:r>
        <w:r>
          <w:fldChar w:fldCharType="separate"/>
        </w:r>
        <w:r w:rsidR="00D81387">
          <w:rPr>
            <w:noProof/>
          </w:rPr>
          <w:t>14</w:t>
        </w:r>
        <w:r>
          <w:rPr>
            <w:noProof/>
          </w:rPr>
          <w:fldChar w:fldCharType="end"/>
        </w:r>
      </w:p>
    </w:sdtContent>
  </w:sdt>
  <w:p w:rsidR="00CF4B11" w:rsidRDefault="00CF4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1" w:rsidRDefault="00CF4B11">
    <w:pPr>
      <w:pStyle w:val="Footer"/>
      <w:jc w:val="center"/>
    </w:pPr>
  </w:p>
  <w:p w:rsidR="00CF4B11" w:rsidRDefault="00CF4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CF4B11" w:rsidRDefault="00CF4B11">
        <w:pPr>
          <w:pStyle w:val="Footer"/>
          <w:jc w:val="center"/>
        </w:pPr>
        <w:r>
          <w:fldChar w:fldCharType="begin"/>
        </w:r>
        <w:r w:rsidRPr="008D38F9">
          <w:instrText xml:space="preserve"> PAGE   \* MERGEFORMAT </w:instrText>
        </w:r>
        <w:r>
          <w:fldChar w:fldCharType="separate"/>
        </w:r>
        <w:r w:rsidR="00D81387">
          <w:rPr>
            <w:noProof/>
          </w:rPr>
          <w:t>17</w:t>
        </w:r>
        <w:r>
          <w:rPr>
            <w:noProof/>
          </w:rPr>
          <w:fldChar w:fldCharType="end"/>
        </w:r>
      </w:p>
    </w:sdtContent>
  </w:sdt>
  <w:p w:rsidR="00CF4B11" w:rsidRDefault="00CF4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AA6" w:rsidRDefault="00213AA6" w:rsidP="0020417A">
      <w:r>
        <w:separator/>
      </w:r>
    </w:p>
  </w:footnote>
  <w:footnote w:type="continuationSeparator" w:id="0">
    <w:p w:rsidR="00213AA6" w:rsidRDefault="00213AA6"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F5A45DDC"/>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31C26"/>
    <w:rsid w:val="00042F28"/>
    <w:rsid w:val="0004531A"/>
    <w:rsid w:val="00070314"/>
    <w:rsid w:val="0008289B"/>
    <w:rsid w:val="000831BB"/>
    <w:rsid w:val="000926E6"/>
    <w:rsid w:val="000A181A"/>
    <w:rsid w:val="000B2A86"/>
    <w:rsid w:val="000B4B67"/>
    <w:rsid w:val="000C3860"/>
    <w:rsid w:val="000C571B"/>
    <w:rsid w:val="000D362B"/>
    <w:rsid w:val="000E04CA"/>
    <w:rsid w:val="000E27C3"/>
    <w:rsid w:val="000E7D92"/>
    <w:rsid w:val="000F4B7F"/>
    <w:rsid w:val="001034D3"/>
    <w:rsid w:val="001179B7"/>
    <w:rsid w:val="00137E21"/>
    <w:rsid w:val="00142BC6"/>
    <w:rsid w:val="00145DB2"/>
    <w:rsid w:val="00152DBE"/>
    <w:rsid w:val="001E29F8"/>
    <w:rsid w:val="001F6458"/>
    <w:rsid w:val="001F6D22"/>
    <w:rsid w:val="0020417A"/>
    <w:rsid w:val="00213AA6"/>
    <w:rsid w:val="00226150"/>
    <w:rsid w:val="00230FC7"/>
    <w:rsid w:val="00241941"/>
    <w:rsid w:val="002549CE"/>
    <w:rsid w:val="0028320A"/>
    <w:rsid w:val="002A531E"/>
    <w:rsid w:val="002B6276"/>
    <w:rsid w:val="002C0128"/>
    <w:rsid w:val="002C77AB"/>
    <w:rsid w:val="002D17DE"/>
    <w:rsid w:val="002D34A7"/>
    <w:rsid w:val="002D6C6B"/>
    <w:rsid w:val="002F690F"/>
    <w:rsid w:val="00316265"/>
    <w:rsid w:val="0031648C"/>
    <w:rsid w:val="00324ABF"/>
    <w:rsid w:val="0032739E"/>
    <w:rsid w:val="0034034B"/>
    <w:rsid w:val="00342E43"/>
    <w:rsid w:val="0034515D"/>
    <w:rsid w:val="003776C4"/>
    <w:rsid w:val="003800CF"/>
    <w:rsid w:val="00384A49"/>
    <w:rsid w:val="003A3A96"/>
    <w:rsid w:val="003B1FAB"/>
    <w:rsid w:val="003B3057"/>
    <w:rsid w:val="003C704F"/>
    <w:rsid w:val="003D0567"/>
    <w:rsid w:val="003D69D9"/>
    <w:rsid w:val="00417028"/>
    <w:rsid w:val="00420643"/>
    <w:rsid w:val="00425DAF"/>
    <w:rsid w:val="00425F15"/>
    <w:rsid w:val="0044672E"/>
    <w:rsid w:val="004559E7"/>
    <w:rsid w:val="00466524"/>
    <w:rsid w:val="00485B2D"/>
    <w:rsid w:val="00485C9C"/>
    <w:rsid w:val="004A4501"/>
    <w:rsid w:val="004B1C44"/>
    <w:rsid w:val="004C0215"/>
    <w:rsid w:val="004D425E"/>
    <w:rsid w:val="004D7823"/>
    <w:rsid w:val="0051274F"/>
    <w:rsid w:val="00530735"/>
    <w:rsid w:val="0057340A"/>
    <w:rsid w:val="00582F29"/>
    <w:rsid w:val="00583390"/>
    <w:rsid w:val="00594D04"/>
    <w:rsid w:val="00595AD2"/>
    <w:rsid w:val="005A19B4"/>
    <w:rsid w:val="005A5660"/>
    <w:rsid w:val="005A77AB"/>
    <w:rsid w:val="005C74FB"/>
    <w:rsid w:val="005C7B00"/>
    <w:rsid w:val="005E13CE"/>
    <w:rsid w:val="005F5DBD"/>
    <w:rsid w:val="006067CF"/>
    <w:rsid w:val="00622FFA"/>
    <w:rsid w:val="00625A91"/>
    <w:rsid w:val="006319F3"/>
    <w:rsid w:val="00632C08"/>
    <w:rsid w:val="0064197A"/>
    <w:rsid w:val="00647767"/>
    <w:rsid w:val="006623AA"/>
    <w:rsid w:val="00665840"/>
    <w:rsid w:val="00665DAB"/>
    <w:rsid w:val="00667F49"/>
    <w:rsid w:val="006749AB"/>
    <w:rsid w:val="00676DE3"/>
    <w:rsid w:val="006D415C"/>
    <w:rsid w:val="006E406C"/>
    <w:rsid w:val="006E421D"/>
    <w:rsid w:val="0070373F"/>
    <w:rsid w:val="0070485D"/>
    <w:rsid w:val="0071528D"/>
    <w:rsid w:val="007322B8"/>
    <w:rsid w:val="0073489E"/>
    <w:rsid w:val="0073572B"/>
    <w:rsid w:val="00751120"/>
    <w:rsid w:val="00752EC4"/>
    <w:rsid w:val="007531F9"/>
    <w:rsid w:val="00761D25"/>
    <w:rsid w:val="00774915"/>
    <w:rsid w:val="007954A9"/>
    <w:rsid w:val="00795535"/>
    <w:rsid w:val="007A2852"/>
    <w:rsid w:val="008111A6"/>
    <w:rsid w:val="008124F4"/>
    <w:rsid w:val="008752A7"/>
    <w:rsid w:val="00887FBB"/>
    <w:rsid w:val="008A28EB"/>
    <w:rsid w:val="008B2481"/>
    <w:rsid w:val="008B2D87"/>
    <w:rsid w:val="008D38F9"/>
    <w:rsid w:val="008E53FA"/>
    <w:rsid w:val="008F16C4"/>
    <w:rsid w:val="008F62A8"/>
    <w:rsid w:val="009134F4"/>
    <w:rsid w:val="0091392D"/>
    <w:rsid w:val="00915CB2"/>
    <w:rsid w:val="00920B08"/>
    <w:rsid w:val="009233AB"/>
    <w:rsid w:val="009338CF"/>
    <w:rsid w:val="00935FF9"/>
    <w:rsid w:val="009368C8"/>
    <w:rsid w:val="009813DE"/>
    <w:rsid w:val="00982448"/>
    <w:rsid w:val="0098324C"/>
    <w:rsid w:val="009A6624"/>
    <w:rsid w:val="009A7F78"/>
    <w:rsid w:val="009B15DF"/>
    <w:rsid w:val="009B3CAC"/>
    <w:rsid w:val="009F5012"/>
    <w:rsid w:val="00A046BC"/>
    <w:rsid w:val="00A30247"/>
    <w:rsid w:val="00A4738F"/>
    <w:rsid w:val="00A571BC"/>
    <w:rsid w:val="00A76649"/>
    <w:rsid w:val="00A86CFE"/>
    <w:rsid w:val="00A90305"/>
    <w:rsid w:val="00A9101C"/>
    <w:rsid w:val="00AC0F9A"/>
    <w:rsid w:val="00B24515"/>
    <w:rsid w:val="00B419E3"/>
    <w:rsid w:val="00B46E51"/>
    <w:rsid w:val="00B60E54"/>
    <w:rsid w:val="00B66FD9"/>
    <w:rsid w:val="00BA00E5"/>
    <w:rsid w:val="00BA496B"/>
    <w:rsid w:val="00BB09BB"/>
    <w:rsid w:val="00BC4C90"/>
    <w:rsid w:val="00BF2225"/>
    <w:rsid w:val="00C1144D"/>
    <w:rsid w:val="00C2500F"/>
    <w:rsid w:val="00C40833"/>
    <w:rsid w:val="00C67AAB"/>
    <w:rsid w:val="00C826B9"/>
    <w:rsid w:val="00C905F9"/>
    <w:rsid w:val="00CA159A"/>
    <w:rsid w:val="00CA61D3"/>
    <w:rsid w:val="00CB2BA9"/>
    <w:rsid w:val="00CB4E68"/>
    <w:rsid w:val="00CB6CDE"/>
    <w:rsid w:val="00CD6801"/>
    <w:rsid w:val="00CD7E10"/>
    <w:rsid w:val="00CF439C"/>
    <w:rsid w:val="00CF4B11"/>
    <w:rsid w:val="00D00DA9"/>
    <w:rsid w:val="00D52B06"/>
    <w:rsid w:val="00D60E7D"/>
    <w:rsid w:val="00D64B58"/>
    <w:rsid w:val="00D81387"/>
    <w:rsid w:val="00DA5B12"/>
    <w:rsid w:val="00DA61C8"/>
    <w:rsid w:val="00DB7D1D"/>
    <w:rsid w:val="00DE51B2"/>
    <w:rsid w:val="00E11BE8"/>
    <w:rsid w:val="00E35426"/>
    <w:rsid w:val="00E46C40"/>
    <w:rsid w:val="00E612D2"/>
    <w:rsid w:val="00E85894"/>
    <w:rsid w:val="00E95D62"/>
    <w:rsid w:val="00EA0418"/>
    <w:rsid w:val="00EA50CD"/>
    <w:rsid w:val="00EA7D6F"/>
    <w:rsid w:val="00EB2546"/>
    <w:rsid w:val="00EB36E8"/>
    <w:rsid w:val="00EC7683"/>
    <w:rsid w:val="00EE0FD9"/>
    <w:rsid w:val="00EE3FA2"/>
    <w:rsid w:val="00EF3B9E"/>
    <w:rsid w:val="00F24C72"/>
    <w:rsid w:val="00F47C0C"/>
    <w:rsid w:val="00F66CFC"/>
    <w:rsid w:val="00F87818"/>
    <w:rsid w:val="00F91D64"/>
    <w:rsid w:val="00F929B9"/>
    <w:rsid w:val="00FB26B0"/>
    <w:rsid w:val="00FB5998"/>
    <w:rsid w:val="00FC775E"/>
    <w:rsid w:val="00FE05D7"/>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D0B3B"/>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6"/>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1F"/>
    <w:rsid w:val="001E241F"/>
    <w:rsid w:val="00A34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3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00B5-F391-4D50-8DD3-A543E503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25</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Mohamed Darwish</cp:lastModifiedBy>
  <cp:revision>176</cp:revision>
  <cp:lastPrinted>2009-06-15T17:28:00Z</cp:lastPrinted>
  <dcterms:created xsi:type="dcterms:W3CDTF">2017-07-25T04:15:00Z</dcterms:created>
  <dcterms:modified xsi:type="dcterms:W3CDTF">2017-08-02T22:27:00Z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