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E041" w14:textId="77777777" w:rsidR="006C76CF" w:rsidRDefault="006C76CF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Business Findings &amp; Strategic Insights</w:t>
      </w:r>
    </w:p>
    <w:p w14:paraId="4FD0F175" w14:textId="77777777" w:rsidR="006C76CF" w:rsidRDefault="006C76CF">
      <w:pPr>
        <w:pStyle w:val="NormalWeb"/>
      </w:pPr>
      <w:r>
        <w:t>​</w:t>
      </w:r>
      <w:r w:rsidRPr="002C0D94">
        <w:rPr>
          <w:color w:val="47D459" w:themeColor="accent3" w:themeTint="99"/>
          <w:u w:val="single"/>
        </w:rPr>
        <w:t>1. Channel Performance and Digital Adoption Concentration</w:t>
      </w:r>
    </w:p>
    <w:p w14:paraId="1DCBF929" w14:textId="77777777" w:rsidR="006C76CF" w:rsidRDefault="006C76CF" w:rsidP="006C7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Digital banking engagement is heavily skewed toward the Mobile App, while traditional or alternative channels like USSD lag significantly behind in adoption volume.</w:t>
      </w:r>
    </w:p>
    <w:p w14:paraId="352263B3" w14:textId="77777777" w:rsidR="006C76CF" w:rsidRDefault="006C76CF" w:rsidP="006C7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 xml:space="preserve">: The channel adoption share analysis reveals that the </w:t>
      </w:r>
      <w:r>
        <w:rPr>
          <w:rFonts w:eastAsia="Times New Roman"/>
          <w:b/>
          <w:bCs/>
        </w:rPr>
        <w:t>Mobile App</w:t>
      </w:r>
      <w:r>
        <w:rPr>
          <w:rFonts w:eastAsia="Times New Roman"/>
        </w:rPr>
        <w:t xml:space="preserve"> handles the highest transaction volume share at </w:t>
      </w:r>
      <w:r>
        <w:rPr>
          <w:rFonts w:eastAsia="Times New Roman"/>
          <w:b/>
          <w:bCs/>
        </w:rPr>
        <w:t>42.52\%</w:t>
      </w:r>
      <w:r>
        <w:rPr>
          <w:rFonts w:eastAsia="Times New Roman"/>
        </w:rPr>
        <w:t xml:space="preserve"> (5,102 transactions, totaling 2.40\times 10^8), whereas </w:t>
      </w:r>
      <w:r>
        <w:rPr>
          <w:rFonts w:eastAsia="Times New Roman"/>
          <w:b/>
          <w:bCs/>
        </w:rPr>
        <w:t>USSD</w:t>
      </w:r>
      <w:r>
        <w:rPr>
          <w:rFonts w:eastAsia="Times New Roman"/>
        </w:rPr>
        <w:t xml:space="preserve"> accounts for only </w:t>
      </w:r>
      <w:r>
        <w:rPr>
          <w:rFonts w:eastAsia="Times New Roman"/>
          <w:b/>
          <w:bCs/>
        </w:rPr>
        <w:t>7.41\%</w:t>
      </w:r>
      <w:r>
        <w:rPr>
          <w:rFonts w:eastAsia="Times New Roman"/>
        </w:rPr>
        <w:t xml:space="preserve"> (889 transactions) of total platform traffic. </w:t>
      </w:r>
    </w:p>
    <w:p w14:paraId="0357A0A6" w14:textId="77777777" w:rsidR="006C76CF" w:rsidRDefault="006C76CF" w:rsidP="006C7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Customers strongly prefer app-based interfaces over USSD for their financial transactions. FinTrust should prioritize product engineering, UI/UX optimization, and feature rollouts specifically on the Mobile App platform while evaluating whether marketing or infrastructure investments in USSD are yielding sufficient ROI.</w:t>
      </w:r>
    </w:p>
    <w:p w14:paraId="53BAB2E1" w14:textId="77777777" w:rsidR="006C76CF" w:rsidRDefault="006C76CF">
      <w:pPr>
        <w:pStyle w:val="NormalWeb"/>
      </w:pPr>
      <w:r>
        <w:t>​</w:t>
      </w:r>
      <w:r w:rsidRPr="002E049C">
        <w:rPr>
          <w:color w:val="47D459" w:themeColor="accent3" w:themeTint="99"/>
          <w:u w:val="single"/>
        </w:rPr>
        <w:t>2. System Reliability and Transaction Success Stability</w:t>
      </w:r>
    </w:p>
    <w:p w14:paraId="3C6D52E1" w14:textId="77777777" w:rsidR="006C76CF" w:rsidRDefault="006C76CF" w:rsidP="006C7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The overall platform maintains a healthy baseline success rate, but systemic failures still account for nearly one-tenth of all initiated customer requests.</w:t>
      </w:r>
    </w:p>
    <w:p w14:paraId="49116638" w14:textId="77777777" w:rsidR="006C76CF" w:rsidRDefault="006C76CF" w:rsidP="006C7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 xml:space="preserve">: The transaction processing engine records an aggregate </w:t>
      </w:r>
      <w:r>
        <w:rPr>
          <w:rFonts w:eastAsia="Times New Roman"/>
          <w:b/>
          <w:bCs/>
        </w:rPr>
        <w:t>Success Rate of 90.47\%</w:t>
      </w:r>
      <w:r>
        <w:rPr>
          <w:rFonts w:eastAsia="Times New Roman"/>
        </w:rPr>
        <w:t xml:space="preserve">, with 10,856 successfully completed transactions out of 12,000 total attempts. </w:t>
      </w:r>
    </w:p>
    <w:p w14:paraId="3B8B3C13" w14:textId="77777777" w:rsidR="006C76CF" w:rsidRDefault="006C76CF" w:rsidP="006C7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A nearly 10\% failure rate introduces friction, potential customer churn, and increased support ticket volumes. Engineering and backend infrastructure teams need to audit API gateway timeouts and third-party payment switch bottlenecks to push the success rate above 95\%.</w:t>
      </w:r>
    </w:p>
    <w:p w14:paraId="678C748D" w14:textId="77777777" w:rsidR="006C76CF" w:rsidRPr="002E049C" w:rsidRDefault="006C76CF">
      <w:pPr>
        <w:pStyle w:val="NormalWeb"/>
        <w:rPr>
          <w:color w:val="47D459" w:themeColor="accent3" w:themeTint="99"/>
          <w:u w:val="single"/>
        </w:rPr>
      </w:pPr>
      <w:r>
        <w:t>​</w:t>
      </w:r>
      <w:r w:rsidRPr="002E049C">
        <w:rPr>
          <w:color w:val="47D459" w:themeColor="accent3" w:themeTint="99"/>
          <w:u w:val="single"/>
        </w:rPr>
        <w:t>3. Risk Exposure and Compliance Load</w:t>
      </w:r>
    </w:p>
    <w:p w14:paraId="12602249" w14:textId="77777777" w:rsidR="006C76CF" w:rsidRDefault="006C76CF" w:rsidP="006C7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A substantial proportion of transactional traffic triggers automated risk review flags, indicating a strict compliance framework but posing a potential bottleneck for manual review operations.</w:t>
      </w:r>
    </w:p>
    <w:p w14:paraId="0D1014ED" w14:textId="77777777" w:rsidR="006C76CF" w:rsidRDefault="006C76CF" w:rsidP="006C7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 xml:space="preserve">: The risk analysis shows a </w:t>
      </w:r>
      <w:r>
        <w:rPr>
          <w:rFonts w:eastAsia="Times New Roman"/>
          <w:b/>
          <w:bCs/>
        </w:rPr>
        <w:t>Risk Flag Density of 19.60\%</w:t>
      </w:r>
      <w:r>
        <w:rPr>
          <w:rFonts w:eastAsia="Times New Roman"/>
        </w:rPr>
        <w:t xml:space="preserve">, meaning 2,352 out of 12,000 total transactions were flagged for compliance or fraud screening. </w:t>
      </w:r>
    </w:p>
    <w:p w14:paraId="3CFF89BC" w14:textId="77777777" w:rsidR="006C76CF" w:rsidRDefault="006C76CF" w:rsidP="006C7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While robust risk monitoring protects FinTrust against financial crime and fraud, a ~20% flag rate can create processing delays for legitimate users. Risk operations management should review current rule thresholds to minimize false positives while maintaining regulatory compliance.</w:t>
      </w:r>
    </w:p>
    <w:p w14:paraId="3253CFA2" w14:textId="77777777" w:rsidR="006C76CF" w:rsidRDefault="006C76CF">
      <w:pPr>
        <w:pStyle w:val="NormalWeb"/>
      </w:pPr>
      <w:r>
        <w:t>​</w:t>
      </w:r>
      <w:r w:rsidRPr="002E049C">
        <w:rPr>
          <w:color w:val="47D459" w:themeColor="accent3" w:themeTint="99"/>
          <w:u w:val="single"/>
        </w:rPr>
        <w:t>4. High-Value User Utility and Transaction Economics</w:t>
      </w:r>
    </w:p>
    <w:p w14:paraId="545147A0" w14:textId="77777777" w:rsidR="006C76CF" w:rsidRDefault="006C76CF" w:rsidP="006C7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Completed transactions carry a substantial average monetary value, indicating that the platform is utilized for meaningful financial transfers rather than micro-payments alone.</w:t>
      </w:r>
    </w:p>
    <w:p w14:paraId="4D35B3CB" w14:textId="77777777" w:rsidR="006C76CF" w:rsidRDefault="006C76CF" w:rsidP="006C7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 xml:space="preserve">: The Average Transaction Value (ATV) across successful transactions stands at </w:t>
      </w:r>
      <w:r>
        <w:rPr>
          <w:rFonts w:eastAsia="Times New Roman"/>
          <w:b/>
          <w:bCs/>
        </w:rPr>
        <w:t>47,053.01</w:t>
      </w:r>
      <w:r>
        <w:rPr>
          <w:rFonts w:eastAsia="Times New Roman"/>
        </w:rPr>
        <w:t xml:space="preserve">, with certain channels (such as ATM and USSD channels) maintaining average transaction sizes close to or exceeding 48,000. </w:t>
      </w:r>
    </w:p>
    <w:p w14:paraId="203F5774" w14:textId="77777777" w:rsidR="006C76CF" w:rsidRDefault="006C76CF" w:rsidP="006C7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Because users trust the platform with high-value sums, security, fraud prevention, and uptime are business-critical. Any extended downtime directly threatens high-value revenue streams and institutional trust.</w:t>
      </w:r>
    </w:p>
    <w:p w14:paraId="390AB56A" w14:textId="77777777" w:rsidR="006C76CF" w:rsidRDefault="006C76CF">
      <w:pPr>
        <w:pStyle w:val="NormalWeb"/>
      </w:pPr>
      <w:r>
        <w:t>​</w:t>
      </w:r>
      <w:r w:rsidRPr="002E049C">
        <w:rPr>
          <w:color w:val="47D459" w:themeColor="accent3" w:themeTint="99"/>
          <w:u w:val="single"/>
        </w:rPr>
        <w:t>5. Platform Engagement and User Retention Consistency</w:t>
      </w:r>
    </w:p>
    <w:p w14:paraId="6ADE66CB" w14:textId="77777777" w:rsidR="006C76CF" w:rsidRDefault="006C76CF" w:rsidP="006C7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Core customer activity remains remarkably stable across consecutive months, reflecting a sticky user base with consistent platform utilization.</w:t>
      </w:r>
    </w:p>
    <w:p w14:paraId="711A57EE" w14:textId="77777777" w:rsidR="006C76CF" w:rsidRDefault="006C76CF" w:rsidP="006C7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 xml:space="preserve">: The monthly active customer rate stays tightly bounded between </w:t>
      </w:r>
      <w:r>
        <w:rPr>
          <w:rFonts w:eastAsia="Times New Roman"/>
          <w:b/>
          <w:bCs/>
        </w:rPr>
        <w:t>93.85\% and 95.34\%</w:t>
      </w:r>
      <w:r>
        <w:rPr>
          <w:rFonts w:eastAsia="Times New Roman"/>
        </w:rPr>
        <w:t xml:space="preserve"> across the evaluated operational months (2026-01 to 2026-03). </w:t>
      </w:r>
    </w:p>
    <w:p w14:paraId="1AAC2BBE" w14:textId="77777777" w:rsidR="006C76CF" w:rsidRDefault="006C76CF" w:rsidP="006C7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FinTrust enjoys strong product-market fit and reliable user retention. Management can leverage this stable base to cross-sell new financial products, such as savings accounts or credit facilities, with high confidence in baseline platform reach.</w:t>
      </w:r>
    </w:p>
    <w:p w14:paraId="5A16C940" w14:textId="77777777" w:rsidR="006C76CF" w:rsidRDefault="006C76CF"/>
    <w:sectPr w:rsidR="006C76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C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C1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B61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D38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49337">
    <w:abstractNumId w:val="3"/>
  </w:num>
  <w:num w:numId="2" w16cid:durableId="1399596984">
    <w:abstractNumId w:val="4"/>
  </w:num>
  <w:num w:numId="3" w16cid:durableId="680277236">
    <w:abstractNumId w:val="1"/>
  </w:num>
  <w:num w:numId="4" w16cid:durableId="1844516514">
    <w:abstractNumId w:val="2"/>
  </w:num>
  <w:num w:numId="5" w16cid:durableId="213339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CF"/>
    <w:rsid w:val="002C0D94"/>
    <w:rsid w:val="002E049C"/>
    <w:rsid w:val="006C76CF"/>
    <w:rsid w:val="00A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23B7C"/>
  <w15:chartTrackingRefBased/>
  <w15:docId w15:val="{0F734D32-FBFD-A146-97D6-83DFB89C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6C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 Moed</dc:creator>
  <cp:keywords/>
  <dc:description/>
  <cp:lastModifiedBy>Zhan Moed</cp:lastModifiedBy>
  <cp:revision>2</cp:revision>
  <dcterms:created xsi:type="dcterms:W3CDTF">2026-09-24T04:35:00Z</dcterms:created>
  <dcterms:modified xsi:type="dcterms:W3CDTF">2026-09-24T04:35:00Z</dcterms:modified>
</cp:coreProperties>
</file>