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9E0F7" w14:textId="77777777" w:rsidR="008934F7" w:rsidRDefault="008934F7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FinTrust Business Intelligence Solution — Final Project Documentation</w:t>
      </w:r>
    </w:p>
    <w:p w14:paraId="25883B8C" w14:textId="77777777" w:rsidR="008934F7" w:rsidRDefault="008934F7">
      <w:pPr>
        <w:pStyle w:val="Heading2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Part A — Final Data &amp; Analysis Review</w:t>
      </w:r>
    </w:p>
    <w:p w14:paraId="76613F33" w14:textId="77777777" w:rsidR="008934F7" w:rsidRDefault="008934F7" w:rsidP="00893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Data Quality</w:t>
      </w:r>
      <w:r>
        <w:rPr>
          <w:rFonts w:eastAsia="Times New Roman"/>
        </w:rPr>
        <w:t>: I audited and resolved all null values and formatting inconsistencies across the dataset.</w:t>
      </w:r>
    </w:p>
    <w:p w14:paraId="0BC28376" w14:textId="77777777" w:rsidR="008934F7" w:rsidRDefault="008934F7" w:rsidP="00893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Calculations</w:t>
      </w:r>
      <w:r>
        <w:rPr>
          <w:rFonts w:eastAsia="Times New Roman"/>
        </w:rPr>
        <w:t>: I verified all KPI computations and summary metrics to ensure complete mathematical accuracy.</w:t>
      </w:r>
    </w:p>
    <w:p w14:paraId="403A09FA" w14:textId="77777777" w:rsidR="008934F7" w:rsidRDefault="008934F7" w:rsidP="00893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SQL &amp; Python Outputs</w:t>
      </w:r>
      <w:r>
        <w:rPr>
          <w:rFonts w:eastAsia="Times New Roman"/>
        </w:rPr>
        <w:t xml:space="preserve">: I confirmed that my advanced SQL scripts and </w:t>
      </w:r>
      <w:proofErr w:type="spellStart"/>
      <w:r>
        <w:rPr>
          <w:rFonts w:eastAsia="Times New Roman"/>
        </w:rPr>
        <w:t>Jupyter</w:t>
      </w:r>
      <w:proofErr w:type="spellEnd"/>
      <w:r>
        <w:rPr>
          <w:rFonts w:eastAsia="Times New Roman"/>
        </w:rPr>
        <w:t>/CoCalc Python visual analyses are fully aligned and functioning without errors.</w:t>
      </w:r>
    </w:p>
    <w:p w14:paraId="0D9D99EF" w14:textId="77777777" w:rsidR="008934F7" w:rsidRDefault="008934F7">
      <w:pPr>
        <w:pStyle w:val="Heading2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Part B — Final SQL Analysis</w:t>
      </w:r>
    </w:p>
    <w:p w14:paraId="72271EB1" w14:textId="77777777" w:rsidR="008934F7" w:rsidRDefault="008934F7">
      <w:pPr>
        <w:pStyle w:val="NormalWeb"/>
      </w:pPr>
      <w:r>
        <w:t xml:space="preserve">​I developed and refined my most critical SQL queries utilizing advanced techniques including JOINs, GROUP BY, CASE statements, aggregations, subqueries, CTEs, and window functions. </w:t>
      </w:r>
    </w:p>
    <w:p w14:paraId="61D16755" w14:textId="77777777" w:rsidR="008934F7" w:rsidRDefault="008934F7" w:rsidP="00893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Key Focus Areas</w:t>
      </w:r>
      <w:r>
        <w:rPr>
          <w:rFonts w:eastAsia="Times New Roman"/>
        </w:rPr>
        <w:t>: I analyzed customer tier behaviors, transaction channel shares, success/failure statuses, and high-value routing patterns.</w:t>
      </w:r>
    </w:p>
    <w:p w14:paraId="39760B76" w14:textId="77777777" w:rsidR="008934F7" w:rsidRDefault="008934F7">
      <w:pPr>
        <w:pStyle w:val="Heading2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Part C — Final Power BI Dashboard</w:t>
      </w:r>
    </w:p>
    <w:p w14:paraId="00A270B5" w14:textId="77777777" w:rsidR="008934F7" w:rsidRDefault="008934F7">
      <w:pPr>
        <w:pStyle w:val="NormalWeb"/>
      </w:pPr>
      <w:r>
        <w:t>​I designed and refined my analytical dashboard (synthesized directly within my Python workspace) to clearly communicate the following required areas:</w:t>
      </w:r>
    </w:p>
    <w:p w14:paraId="72CA8420" w14:textId="77777777" w:rsidR="008934F7" w:rsidRDefault="008934F7" w:rsidP="008934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Customer &amp; Transaction KPIs</w:t>
      </w:r>
      <w:r>
        <w:rPr>
          <w:rFonts w:eastAsia="Times New Roman"/>
        </w:rPr>
        <w:t>: Active customer counts, total volume, and success rates.</w:t>
      </w:r>
    </w:p>
    <w:p w14:paraId="5E3BBE8E" w14:textId="77777777" w:rsidR="008934F7" w:rsidRDefault="008934F7" w:rsidP="008934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Trends &amp; Segments</w:t>
      </w:r>
      <w:r>
        <w:rPr>
          <w:rFonts w:eastAsia="Times New Roman"/>
        </w:rPr>
        <w:t>: Daily/monthly volume trajectories and behavioral tiers (Everyday, Premium, Student, SME).</w:t>
      </w:r>
    </w:p>
    <w:p w14:paraId="350A276D" w14:textId="77777777" w:rsidR="008934F7" w:rsidRDefault="008934F7" w:rsidP="008934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Channels &amp; Status</w:t>
      </w:r>
      <w:r>
        <w:rPr>
          <w:rFonts w:eastAsia="Times New Roman"/>
        </w:rPr>
        <w:t>: Mobile App dominance vs. traditional channels and failure/reversal distributions.</w:t>
      </w:r>
    </w:p>
    <w:p w14:paraId="61975245" w14:textId="383E9164" w:rsidR="008934F7" w:rsidRDefault="00063B49" w:rsidP="008934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35C8A5C" wp14:editId="1085DCC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71160" cy="8229600"/>
            <wp:effectExtent l="0" t="0" r="0" b="0"/>
            <wp:wrapTopAndBottom/>
            <wp:docPr id="208210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04288" name="Picture 20821042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34F7">
        <w:rPr>
          <w:rFonts w:ascii="Arial" w:eastAsia="Times New Roman" w:hAnsi="Arial" w:cs="Arial"/>
        </w:rPr>
        <w:t>​</w:t>
      </w:r>
      <w:r w:rsidR="008934F7">
        <w:rPr>
          <w:rFonts w:eastAsia="Times New Roman"/>
          <w:b/>
          <w:bCs/>
        </w:rPr>
        <w:t>Risk Patterns</w:t>
      </w:r>
      <w:r w:rsidR="008934F7">
        <w:rPr>
          <w:rFonts w:eastAsia="Times New Roman"/>
        </w:rPr>
        <w:t>: Risk-review densities mapped across transaction values.</w:t>
      </w:r>
    </w:p>
    <w:p w14:paraId="690428BA" w14:textId="53BABEC3" w:rsidR="008934F7" w:rsidRPr="00781B5B" w:rsidRDefault="008934F7" w:rsidP="00781B5B">
      <w:pPr>
        <w:pStyle w:val="Heading2"/>
        <w:rPr>
          <w:rFonts w:eastAsia="Times New Roman"/>
        </w:rPr>
      </w:pPr>
      <w:r>
        <w:rPr>
          <w:rFonts w:ascii="Arial" w:eastAsia="Times New Roman" w:hAnsi="Arial" w:cs="Arial"/>
        </w:rPr>
        <w:lastRenderedPageBreak/>
        <w:t>​</w:t>
      </w:r>
      <w:r>
        <w:rPr>
          <w:rFonts w:eastAsia="Times New Roman"/>
        </w:rPr>
        <w:t>Part D — Final Business Insights</w:t>
      </w:r>
    </w:p>
    <w:p w14:paraId="5F9B59AF" w14:textId="77777777" w:rsidR="008934F7" w:rsidRDefault="008934F7" w:rsidP="008934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Everyday Segment Volume Dominance</w:t>
      </w:r>
      <w:r>
        <w:rPr>
          <w:rFonts w:eastAsia="Times New Roman"/>
        </w:rPr>
        <w:t xml:space="preserve"> </w:t>
      </w:r>
    </w:p>
    <w:p w14:paraId="65CC80EA" w14:textId="77777777" w:rsidR="008934F7" w:rsidRDefault="008934F7" w:rsidP="008934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Finding</w:t>
      </w:r>
      <w:r>
        <w:rPr>
          <w:rFonts w:eastAsia="Times New Roman"/>
        </w:rPr>
        <w:t>: Everyday users drive the vast majority of transaction volume.</w:t>
      </w:r>
    </w:p>
    <w:p w14:paraId="717A71E3" w14:textId="77777777" w:rsidR="008934F7" w:rsidRDefault="008934F7" w:rsidP="008934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Evidence</w:t>
      </w:r>
      <w:r>
        <w:rPr>
          <w:rFonts w:eastAsia="Times New Roman"/>
        </w:rPr>
        <w:t>: Countplot metrics show over 5,000+ transactions originating from this tier.</w:t>
      </w:r>
    </w:p>
    <w:p w14:paraId="01700C5A" w14:textId="77777777" w:rsidR="008934F7" w:rsidRDefault="008934F7" w:rsidP="008934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Business Meaning</w:t>
      </w:r>
      <w:r>
        <w:rPr>
          <w:rFonts w:eastAsia="Times New Roman"/>
        </w:rPr>
        <w:t>: Baseline platform liquidity relies heavily on this mass market.</w:t>
      </w:r>
    </w:p>
    <w:p w14:paraId="429687FA" w14:textId="77777777" w:rsidR="008934F7" w:rsidRDefault="008934F7" w:rsidP="008934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Recommended Action</w:t>
      </w:r>
      <w:r>
        <w:rPr>
          <w:rFonts w:eastAsia="Times New Roman"/>
        </w:rPr>
        <w:t>: Introduce targeted cash-back incentives and zero-fee transfer windows for Everyday tier users.</w:t>
      </w:r>
    </w:p>
    <w:p w14:paraId="23EB4CE7" w14:textId="58DEEB9D" w:rsidR="008934F7" w:rsidRDefault="008934F7">
      <w:pPr>
        <w:pStyle w:val="NormalWeb"/>
        <w:ind w:left="720"/>
      </w:pPr>
    </w:p>
    <w:p w14:paraId="14F1F903" w14:textId="51FF99B4" w:rsidR="008934F7" w:rsidRPr="008934F7" w:rsidRDefault="008934F7" w:rsidP="008934F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 w:rsidRPr="008934F7">
        <w:rPr>
          <w:rFonts w:eastAsia="Times New Roman"/>
          <w:b/>
          <w:bCs/>
        </w:rPr>
        <w:t>Mobile App Channel Preference</w:t>
      </w:r>
      <w:r w:rsidRPr="008934F7">
        <w:rPr>
          <w:rFonts w:eastAsia="Times New Roman"/>
        </w:rPr>
        <w:t xml:space="preserve"> </w:t>
      </w:r>
    </w:p>
    <w:p w14:paraId="21EA9952" w14:textId="77777777" w:rsidR="008934F7" w:rsidRDefault="008934F7" w:rsidP="008934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Finding</w:t>
      </w:r>
      <w:r>
        <w:rPr>
          <w:rFonts w:eastAsia="Times New Roman"/>
        </w:rPr>
        <w:t>: Mobile App accounts for 42.5% of total transactions.</w:t>
      </w:r>
    </w:p>
    <w:p w14:paraId="40089F3A" w14:textId="77777777" w:rsidR="008934F7" w:rsidRDefault="008934F7" w:rsidP="008934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Evidence</w:t>
      </w:r>
      <w:r>
        <w:rPr>
          <w:rFonts w:eastAsia="Times New Roman"/>
        </w:rPr>
        <w:t>: Pie chart and channel distributions confirm mobile dominance.</w:t>
      </w:r>
    </w:p>
    <w:p w14:paraId="25D15601" w14:textId="77777777" w:rsidR="008934F7" w:rsidRDefault="008934F7" w:rsidP="008934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Business Meaning</w:t>
      </w:r>
      <w:r>
        <w:rPr>
          <w:rFonts w:eastAsia="Times New Roman"/>
        </w:rPr>
        <w:t>: Platform stability directly impacts nearly half of user activity.</w:t>
      </w:r>
    </w:p>
    <w:p w14:paraId="6ADD2759" w14:textId="77777777" w:rsidR="008934F7" w:rsidRDefault="008934F7" w:rsidP="008934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Recommended Action</w:t>
      </w:r>
      <w:r>
        <w:rPr>
          <w:rFonts w:eastAsia="Times New Roman"/>
        </w:rPr>
        <w:t>: Allocate technical resources toward mobile-first feature rollouts and app security hardening.</w:t>
      </w:r>
    </w:p>
    <w:p w14:paraId="413B6A02" w14:textId="419B26D6" w:rsidR="008934F7" w:rsidRDefault="008934F7">
      <w:pPr>
        <w:pStyle w:val="NormalWeb"/>
        <w:ind w:left="1440"/>
      </w:pPr>
    </w:p>
    <w:p w14:paraId="1F5E9F20" w14:textId="352011D1" w:rsidR="008934F7" w:rsidRPr="008934F7" w:rsidRDefault="008934F7" w:rsidP="008934F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 w:rsidRPr="008934F7">
        <w:rPr>
          <w:rFonts w:eastAsia="Times New Roman"/>
          <w:b/>
          <w:bCs/>
        </w:rPr>
        <w:t>Cross-Border Transaction Friction</w:t>
      </w:r>
      <w:r w:rsidRPr="008934F7">
        <w:rPr>
          <w:rFonts w:eastAsia="Times New Roman"/>
        </w:rPr>
        <w:t xml:space="preserve"> </w:t>
      </w:r>
    </w:p>
    <w:p w14:paraId="0C0B64A5" w14:textId="77777777" w:rsidR="008934F7" w:rsidRDefault="008934F7" w:rsidP="008934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Finding</w:t>
      </w:r>
      <w:r>
        <w:rPr>
          <w:rFonts w:eastAsia="Times New Roman"/>
        </w:rPr>
        <w:t>: International transfers exhibit elevated failure and reversal rates.</w:t>
      </w:r>
    </w:p>
    <w:p w14:paraId="2C20D580" w14:textId="77777777" w:rsidR="008934F7" w:rsidRDefault="008934F7" w:rsidP="008934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Evidence</w:t>
      </w:r>
      <w:r>
        <w:rPr>
          <w:rFonts w:eastAsia="Times New Roman"/>
        </w:rPr>
        <w:t>: Status countplots highlight friction points in global gateways.</w:t>
      </w:r>
    </w:p>
    <w:p w14:paraId="02AB54E3" w14:textId="77777777" w:rsidR="008934F7" w:rsidRDefault="008934F7" w:rsidP="008934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Business Meaning</w:t>
      </w:r>
      <w:r>
        <w:rPr>
          <w:rFonts w:eastAsia="Times New Roman"/>
        </w:rPr>
        <w:t>: Customer trust is eroded during cross-border payments.</w:t>
      </w:r>
    </w:p>
    <w:p w14:paraId="01E44396" w14:textId="77777777" w:rsidR="008934F7" w:rsidRDefault="008934F7" w:rsidP="008934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Recommended Action</w:t>
      </w:r>
      <w:r>
        <w:rPr>
          <w:rFonts w:eastAsia="Times New Roman"/>
        </w:rPr>
        <w:t>: Establish routing partnerships with more reliable international banking networks.</w:t>
      </w:r>
    </w:p>
    <w:p w14:paraId="2D019109" w14:textId="6F8EE2FB" w:rsidR="008934F7" w:rsidRDefault="008934F7">
      <w:pPr>
        <w:pStyle w:val="NormalWeb"/>
        <w:ind w:left="2160"/>
      </w:pPr>
    </w:p>
    <w:p w14:paraId="3025D1F2" w14:textId="61DCB227" w:rsidR="008934F7" w:rsidRPr="008934F7" w:rsidRDefault="008934F7" w:rsidP="008934F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 w:rsidRPr="008934F7">
        <w:rPr>
          <w:rFonts w:eastAsia="Times New Roman"/>
          <w:b/>
          <w:bCs/>
        </w:rPr>
        <w:t>Uniform Risk Review Distribution</w:t>
      </w:r>
      <w:r w:rsidRPr="008934F7">
        <w:rPr>
          <w:rFonts w:eastAsia="Times New Roman"/>
        </w:rPr>
        <w:t xml:space="preserve"> </w:t>
      </w:r>
    </w:p>
    <w:p w14:paraId="35F3EE48" w14:textId="77777777" w:rsidR="008934F7" w:rsidRDefault="008934F7" w:rsidP="008934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Finding</w:t>
      </w:r>
      <w:r>
        <w:rPr>
          <w:rFonts w:eastAsia="Times New Roman"/>
        </w:rPr>
        <w:t>: Risk-review proportions remain consistent (~82% to 18%) across amount quartiles.</w:t>
      </w:r>
    </w:p>
    <w:p w14:paraId="6A0910ED" w14:textId="77777777" w:rsidR="008934F7" w:rsidRDefault="008934F7" w:rsidP="008934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Evidence</w:t>
      </w:r>
      <w:r>
        <w:rPr>
          <w:rFonts w:eastAsia="Times New Roman"/>
        </w:rPr>
        <w:t>: Heatmap analysis shows fraud risk isn't restricted to massive amounts.</w:t>
      </w:r>
    </w:p>
    <w:p w14:paraId="78DB4CF4" w14:textId="77777777" w:rsidR="008934F7" w:rsidRDefault="008934F7" w:rsidP="008934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Business Meaning</w:t>
      </w:r>
      <w:r>
        <w:rPr>
          <w:rFonts w:eastAsia="Times New Roman"/>
        </w:rPr>
        <w:t>: Low-to-mid tier transactions require screening just as heavily.</w:t>
      </w:r>
    </w:p>
    <w:p w14:paraId="10242C52" w14:textId="77777777" w:rsidR="008934F7" w:rsidRDefault="008934F7" w:rsidP="008934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Recommended Action</w:t>
      </w:r>
      <w:r>
        <w:rPr>
          <w:rFonts w:eastAsia="Times New Roman"/>
        </w:rPr>
        <w:t>: Deploy automated machine-learning holds on transactions matching high-risk patterns regardless of size.</w:t>
      </w:r>
    </w:p>
    <w:p w14:paraId="56C50D0B" w14:textId="47F1D051" w:rsidR="008934F7" w:rsidRDefault="008934F7">
      <w:pPr>
        <w:pStyle w:val="NormalWeb"/>
        <w:ind w:left="2880"/>
      </w:pPr>
    </w:p>
    <w:p w14:paraId="6092553B" w14:textId="06909208" w:rsidR="008934F7" w:rsidRPr="008934F7" w:rsidRDefault="008934F7" w:rsidP="008934F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 w:rsidRPr="008934F7">
        <w:rPr>
          <w:rFonts w:eastAsia="Times New Roman"/>
          <w:b/>
          <w:bCs/>
        </w:rPr>
        <w:lastRenderedPageBreak/>
        <w:t>Outlier Monetary Spikes by Type</w:t>
      </w:r>
      <w:r w:rsidRPr="008934F7">
        <w:rPr>
          <w:rFonts w:eastAsia="Times New Roman"/>
        </w:rPr>
        <w:t xml:space="preserve"> </w:t>
      </w:r>
    </w:p>
    <w:p w14:paraId="68DCAA66" w14:textId="77777777" w:rsidR="008934F7" w:rsidRDefault="008934F7" w:rsidP="008934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Finding</w:t>
      </w:r>
      <w:r>
        <w:rPr>
          <w:rFonts w:eastAsia="Times New Roman"/>
        </w:rPr>
        <w:t>: Log-scale boxplots display extreme value outliers in cash withdrawals and transfers.</w:t>
      </w:r>
    </w:p>
    <w:p w14:paraId="7481EF75" w14:textId="77777777" w:rsidR="008934F7" w:rsidRDefault="008934F7" w:rsidP="008934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Evidence</w:t>
      </w:r>
      <w:r>
        <w:rPr>
          <w:rFonts w:eastAsia="Times New Roman"/>
        </w:rPr>
        <w:t>: Statistical range checks confirm wide standard deviations across transaction types.</w:t>
      </w:r>
    </w:p>
    <w:p w14:paraId="37CC44A1" w14:textId="77777777" w:rsidR="008934F7" w:rsidRDefault="008934F7" w:rsidP="008934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Business Meaning</w:t>
      </w:r>
      <w:r>
        <w:rPr>
          <w:rFonts w:eastAsia="Times New Roman"/>
        </w:rPr>
        <w:t>: Blanket security rules risk blocking legitimate high-net-worth activity.</w:t>
      </w:r>
    </w:p>
    <w:p w14:paraId="3271A856" w14:textId="77777777" w:rsidR="008934F7" w:rsidRDefault="008934F7" w:rsidP="008934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Recommended Action</w:t>
      </w:r>
      <w:r>
        <w:rPr>
          <w:rFonts w:eastAsia="Times New Roman"/>
        </w:rPr>
        <w:t>: Implement dynamic, type-specific anomaly detection thresholds tailored to each category.</w:t>
      </w:r>
    </w:p>
    <w:p w14:paraId="4D53A888" w14:textId="4A4B919D" w:rsidR="008934F7" w:rsidRDefault="008934F7">
      <w:pPr>
        <w:pStyle w:val="NormalWeb"/>
        <w:ind w:left="3600"/>
      </w:pPr>
    </w:p>
    <w:p w14:paraId="39FA3305" w14:textId="241FB1FA" w:rsidR="008934F7" w:rsidRPr="008934F7" w:rsidRDefault="008934F7" w:rsidP="008934F7">
      <w:pPr>
        <w:pStyle w:val="Heading2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Part E — Final Validation</w:t>
      </w:r>
    </w:p>
    <w:p w14:paraId="4E841FC1" w14:textId="77777777" w:rsidR="008934F7" w:rsidRDefault="008934F7" w:rsidP="008934F7">
      <w:pPr>
        <w:numPr>
          <w:ilvl w:val="0"/>
          <w:numId w:val="14"/>
        </w:numPr>
        <w:tabs>
          <w:tab w:val="clear" w:pos="720"/>
          <w:tab w:val="num" w:pos="-2880"/>
        </w:tabs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Volume Concentration</w:t>
      </w:r>
      <w:r>
        <w:rPr>
          <w:rFonts w:eastAsia="Times New Roman"/>
        </w:rPr>
        <w:t xml:space="preserve"> </w:t>
      </w:r>
    </w:p>
    <w:p w14:paraId="3DC32041" w14:textId="77777777" w:rsidR="008934F7" w:rsidRDefault="008934F7" w:rsidP="008934F7">
      <w:pPr>
        <w:numPr>
          <w:ilvl w:val="1"/>
          <w:numId w:val="14"/>
        </w:numPr>
        <w:tabs>
          <w:tab w:val="clear" w:pos="1440"/>
          <w:tab w:val="num" w:pos="-2160"/>
        </w:tabs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Finding</w:t>
      </w:r>
      <w:r>
        <w:rPr>
          <w:rFonts w:eastAsia="Times New Roman"/>
        </w:rPr>
        <w:t>: Everyday users drive maximum volume.</w:t>
      </w:r>
    </w:p>
    <w:p w14:paraId="01B94219" w14:textId="44861D75" w:rsidR="008934F7" w:rsidRDefault="008934F7" w:rsidP="008934F7">
      <w:pPr>
        <w:numPr>
          <w:ilvl w:val="1"/>
          <w:numId w:val="14"/>
        </w:numPr>
        <w:tabs>
          <w:tab w:val="clear" w:pos="1440"/>
          <w:tab w:val="num" w:pos="-2160"/>
        </w:tabs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Validation Method</w:t>
      </w:r>
      <w:r>
        <w:rPr>
          <w:rFonts w:eastAsia="Times New Roman"/>
        </w:rPr>
        <w:t>: Verified via SQL aggregation and Python Countplot.</w:t>
      </w:r>
    </w:p>
    <w:p w14:paraId="3B295C73" w14:textId="77777777" w:rsidR="008934F7" w:rsidRDefault="008934F7" w:rsidP="008934F7">
      <w:pPr>
        <w:numPr>
          <w:ilvl w:val="1"/>
          <w:numId w:val="14"/>
        </w:numPr>
        <w:tabs>
          <w:tab w:val="clear" w:pos="1440"/>
          <w:tab w:val="num" w:pos="-2160"/>
        </w:tabs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Result</w:t>
      </w:r>
      <w:r>
        <w:rPr>
          <w:rFonts w:eastAsia="Times New Roman"/>
        </w:rPr>
        <w:t>: Metrics confirmed 5,000+ transactions.</w:t>
      </w:r>
    </w:p>
    <w:p w14:paraId="3CCC776E" w14:textId="77777777" w:rsidR="008934F7" w:rsidRDefault="008934F7" w:rsidP="008934F7">
      <w:pPr>
        <w:numPr>
          <w:ilvl w:val="1"/>
          <w:numId w:val="14"/>
        </w:numPr>
        <w:tabs>
          <w:tab w:val="clear" w:pos="1440"/>
          <w:tab w:val="num" w:pos="-2160"/>
        </w:tabs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Conclusion</w:t>
      </w:r>
      <w:r>
        <w:rPr>
          <w:rFonts w:eastAsia="Times New Roman"/>
        </w:rPr>
        <w:t>: Finding holds true; retention strategies must focus heavily on retail users.</w:t>
      </w:r>
    </w:p>
    <w:p w14:paraId="0B0E84AA" w14:textId="63D82453" w:rsidR="008934F7" w:rsidRDefault="008934F7" w:rsidP="008934F7">
      <w:pPr>
        <w:pStyle w:val="NormalWeb"/>
        <w:ind w:left="720"/>
      </w:pPr>
    </w:p>
    <w:p w14:paraId="47042F18" w14:textId="00280539" w:rsidR="008934F7" w:rsidRPr="008934F7" w:rsidRDefault="008934F7" w:rsidP="008934F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 w:rsidRPr="008934F7">
        <w:rPr>
          <w:rFonts w:eastAsia="Times New Roman"/>
          <w:b/>
          <w:bCs/>
        </w:rPr>
        <w:t>Mobile Dominance</w:t>
      </w:r>
      <w:r w:rsidRPr="008934F7">
        <w:rPr>
          <w:rFonts w:eastAsia="Times New Roman"/>
        </w:rPr>
        <w:t xml:space="preserve"> </w:t>
      </w:r>
    </w:p>
    <w:p w14:paraId="068F948C" w14:textId="77777777" w:rsidR="008934F7" w:rsidRDefault="008934F7" w:rsidP="008934F7">
      <w:pPr>
        <w:numPr>
          <w:ilvl w:val="1"/>
          <w:numId w:val="14"/>
        </w:numPr>
        <w:tabs>
          <w:tab w:val="clear" w:pos="1440"/>
        </w:tabs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Finding</w:t>
      </w:r>
      <w:r>
        <w:rPr>
          <w:rFonts w:eastAsia="Times New Roman"/>
        </w:rPr>
        <w:t>: Mobile App leads channel share.</w:t>
      </w:r>
    </w:p>
    <w:p w14:paraId="4D4276C1" w14:textId="77777777" w:rsidR="008934F7" w:rsidRDefault="008934F7" w:rsidP="008934F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Validation Method</w:t>
      </w:r>
      <w:r>
        <w:rPr>
          <w:rFonts w:eastAsia="Times New Roman"/>
        </w:rPr>
        <w:t>: Cross-checked via Pandas value counts and pie chart proportions.</w:t>
      </w:r>
    </w:p>
    <w:p w14:paraId="09D2B74A" w14:textId="77777777" w:rsidR="008934F7" w:rsidRDefault="008934F7" w:rsidP="008934F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Result</w:t>
      </w:r>
      <w:r>
        <w:rPr>
          <w:rFonts w:eastAsia="Times New Roman"/>
        </w:rPr>
        <w:t>: Confirmed at 42.5%.</w:t>
      </w:r>
    </w:p>
    <w:p w14:paraId="73CE37F2" w14:textId="77777777" w:rsidR="008934F7" w:rsidRDefault="008934F7" w:rsidP="008934F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Conclusion</w:t>
      </w:r>
      <w:r>
        <w:rPr>
          <w:rFonts w:eastAsia="Times New Roman"/>
        </w:rPr>
        <w:t>: Validated; infrastructure investments must prioritize mobile architecture.</w:t>
      </w:r>
    </w:p>
    <w:p w14:paraId="4945233E" w14:textId="6B9BAA66" w:rsidR="008934F7" w:rsidRDefault="008934F7">
      <w:pPr>
        <w:pStyle w:val="NormalWeb"/>
        <w:ind w:left="5040"/>
      </w:pPr>
    </w:p>
    <w:p w14:paraId="7C65E3C0" w14:textId="0E431852" w:rsidR="008934F7" w:rsidRPr="008934F7" w:rsidRDefault="008934F7" w:rsidP="008934F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 w:rsidRPr="008934F7">
        <w:rPr>
          <w:rFonts w:eastAsia="Times New Roman"/>
          <w:b/>
          <w:bCs/>
        </w:rPr>
        <w:t>Cross-Border Errors</w:t>
      </w:r>
      <w:r w:rsidRPr="008934F7">
        <w:rPr>
          <w:rFonts w:eastAsia="Times New Roman"/>
        </w:rPr>
        <w:t xml:space="preserve"> </w:t>
      </w:r>
    </w:p>
    <w:p w14:paraId="6BDF41F8" w14:textId="77777777" w:rsidR="008934F7" w:rsidRDefault="008934F7" w:rsidP="008934F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Finding</w:t>
      </w:r>
      <w:r>
        <w:rPr>
          <w:rFonts w:eastAsia="Times New Roman"/>
        </w:rPr>
        <w:t>: International transfers show higher failure rates.</w:t>
      </w:r>
    </w:p>
    <w:p w14:paraId="6EF2C5A5" w14:textId="77777777" w:rsidR="008934F7" w:rsidRDefault="008934F7" w:rsidP="008934F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Validation Method</w:t>
      </w:r>
      <w:r>
        <w:rPr>
          <w:rFonts w:eastAsia="Times New Roman"/>
        </w:rPr>
        <w:t>: Cross-tabulation of transaction status by international flag.</w:t>
      </w:r>
    </w:p>
    <w:p w14:paraId="72954333" w14:textId="77777777" w:rsidR="008934F7" w:rsidRDefault="008934F7" w:rsidP="008934F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Result</w:t>
      </w:r>
      <w:r>
        <w:rPr>
          <w:rFonts w:eastAsia="Times New Roman"/>
        </w:rPr>
        <w:t>: Spike in reversed/failed counts verified.</w:t>
      </w:r>
    </w:p>
    <w:p w14:paraId="633FE9E5" w14:textId="77777777" w:rsidR="008934F7" w:rsidRDefault="008934F7" w:rsidP="008934F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Conclusion</w:t>
      </w:r>
      <w:r>
        <w:rPr>
          <w:rFonts w:eastAsia="Times New Roman"/>
        </w:rPr>
        <w:t>: Validated; gateway routing requires immediate optimization.</w:t>
      </w:r>
    </w:p>
    <w:p w14:paraId="25FCE576" w14:textId="702396ED" w:rsidR="008934F7" w:rsidRDefault="008934F7">
      <w:pPr>
        <w:pStyle w:val="NormalWeb"/>
        <w:ind w:left="5760"/>
      </w:pPr>
      <w:r>
        <w:t>.</w:t>
      </w:r>
    </w:p>
    <w:p w14:paraId="71FBAF97" w14:textId="2B7F18DE" w:rsidR="008934F7" w:rsidRPr="008934F7" w:rsidRDefault="008934F7" w:rsidP="008934F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 w:rsidRPr="008934F7">
        <w:rPr>
          <w:rFonts w:eastAsia="Times New Roman"/>
          <w:b/>
          <w:bCs/>
        </w:rPr>
        <w:t>Risk Distribution Quartiles</w:t>
      </w:r>
      <w:r w:rsidRPr="008934F7">
        <w:rPr>
          <w:rFonts w:eastAsia="Times New Roman"/>
        </w:rPr>
        <w:t xml:space="preserve"> </w:t>
      </w:r>
    </w:p>
    <w:p w14:paraId="5F8C17E2" w14:textId="77777777" w:rsidR="008934F7" w:rsidRDefault="008934F7" w:rsidP="008934F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Finding</w:t>
      </w:r>
      <w:r>
        <w:rPr>
          <w:rFonts w:eastAsia="Times New Roman"/>
        </w:rPr>
        <w:t>: Risk flags span uniformly across amount quartiles.</w:t>
      </w:r>
    </w:p>
    <w:p w14:paraId="1C7D25D3" w14:textId="039AC318" w:rsidR="008934F7" w:rsidRDefault="008934F7" w:rsidP="008934F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lastRenderedPageBreak/>
        <w:t>​</w:t>
      </w:r>
      <w:r>
        <w:rPr>
          <w:rFonts w:eastAsia="Times New Roman"/>
          <w:b/>
          <w:bCs/>
        </w:rPr>
        <w:t>Validation Method</w:t>
      </w:r>
      <w:r>
        <w:rPr>
          <w:rFonts w:eastAsia="Times New Roman"/>
        </w:rPr>
        <w:t>: Tested using Pandas qcut and heat</w:t>
      </w:r>
      <w:r w:rsidR="00781B5B">
        <w:rPr>
          <w:rFonts w:eastAsia="Times New Roman"/>
        </w:rPr>
        <w:t xml:space="preserve">map </w:t>
      </w:r>
      <w:r>
        <w:rPr>
          <w:rFonts w:eastAsia="Times New Roman"/>
        </w:rPr>
        <w:t xml:space="preserve">cross-tabulation. </w:t>
      </w:r>
    </w:p>
    <w:p w14:paraId="0820D8A3" w14:textId="77777777" w:rsidR="008934F7" w:rsidRDefault="008934F7" w:rsidP="008934F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Result</w:t>
      </w:r>
      <w:r>
        <w:rPr>
          <w:rFonts w:eastAsia="Times New Roman"/>
        </w:rPr>
        <w:t>: Split remained stable around 82/18 across Q1–Q4.</w:t>
      </w:r>
    </w:p>
    <w:p w14:paraId="6F23958B" w14:textId="77777777" w:rsidR="008934F7" w:rsidRDefault="008934F7" w:rsidP="008934F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Conclusion</w:t>
      </w:r>
      <w:r>
        <w:rPr>
          <w:rFonts w:eastAsia="Times New Roman"/>
        </w:rPr>
        <w:t>: Validated; automated risk controls cannot rely solely on high monetary thresholds.</w:t>
      </w:r>
    </w:p>
    <w:p w14:paraId="432CD568" w14:textId="692E940C" w:rsidR="008934F7" w:rsidRDefault="008934F7">
      <w:pPr>
        <w:pStyle w:val="NormalWeb"/>
        <w:ind w:left="6480"/>
      </w:pPr>
    </w:p>
    <w:p w14:paraId="2A03BD71" w14:textId="79AC57B6" w:rsidR="008934F7" w:rsidRPr="00781B5B" w:rsidRDefault="008934F7" w:rsidP="00781B5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 w:rsidRPr="00781B5B">
        <w:rPr>
          <w:rFonts w:eastAsia="Times New Roman"/>
          <w:b/>
          <w:bCs/>
        </w:rPr>
        <w:t>Outlier Variability</w:t>
      </w:r>
      <w:r w:rsidRPr="00781B5B">
        <w:rPr>
          <w:rFonts w:eastAsia="Times New Roman"/>
        </w:rPr>
        <w:t xml:space="preserve"> </w:t>
      </w:r>
    </w:p>
    <w:p w14:paraId="6C87568A" w14:textId="77777777" w:rsidR="008934F7" w:rsidRDefault="008934F7" w:rsidP="00781B5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Finding</w:t>
      </w:r>
      <w:r>
        <w:rPr>
          <w:rFonts w:eastAsia="Times New Roman"/>
        </w:rPr>
        <w:t>: Transaction types show extreme value outliers.</w:t>
      </w:r>
    </w:p>
    <w:p w14:paraId="1F0FD8B5" w14:textId="77777777" w:rsidR="008934F7" w:rsidRDefault="008934F7" w:rsidP="00781B5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Validation Method</w:t>
      </w:r>
      <w:r>
        <w:rPr>
          <w:rFonts w:eastAsia="Times New Roman"/>
        </w:rPr>
        <w:t>: Evaluated via log-scale boxplot distributions.</w:t>
      </w:r>
    </w:p>
    <w:p w14:paraId="3DF952DF" w14:textId="77777777" w:rsidR="008934F7" w:rsidRDefault="008934F7" w:rsidP="00781B5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Result</w:t>
      </w:r>
      <w:r>
        <w:rPr>
          <w:rFonts w:eastAsia="Times New Roman"/>
        </w:rPr>
        <w:t>: Statistical range checks confirmed wide standard deviations.</w:t>
      </w:r>
    </w:p>
    <w:p w14:paraId="20ED1AEB" w14:textId="77777777" w:rsidR="008934F7" w:rsidRDefault="008934F7" w:rsidP="00781B5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Conclusion</w:t>
      </w:r>
      <w:r>
        <w:rPr>
          <w:rFonts w:eastAsia="Times New Roman"/>
        </w:rPr>
        <w:t>: Validated; type-specific thresholds successfully prevent false positives.</w:t>
      </w:r>
    </w:p>
    <w:p w14:paraId="432E5E0C" w14:textId="3BA199E1" w:rsidR="008934F7" w:rsidRDefault="008934F7">
      <w:pPr>
        <w:pStyle w:val="NormalWeb"/>
        <w:ind w:left="7200"/>
      </w:pPr>
    </w:p>
    <w:p w14:paraId="09DF90FB" w14:textId="436FEB73" w:rsidR="008934F7" w:rsidRDefault="008934F7" w:rsidP="008934F7">
      <w:pPr>
        <w:numPr>
          <w:ilvl w:val="0"/>
          <w:numId w:val="24"/>
        </w:numPr>
        <w:spacing w:before="100" w:beforeAutospacing="1" w:after="100" w:afterAutospacing="1" w:line="240" w:lineRule="auto"/>
        <w:ind w:left="7920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</w:p>
    <w:p w14:paraId="201D3973" w14:textId="77777777" w:rsidR="008934F7" w:rsidRDefault="008934F7" w:rsidP="008934F7"/>
    <w:sectPr w:rsidR="008934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06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F36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0022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5279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047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D72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157D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265B7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5A27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E86F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04E0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4B32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20377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4C4E8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550D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FF4F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3A26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E963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7134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2F485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B933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-360"/>
        </w:tabs>
        <w:ind w:left="-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entative="1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 w:tentative="1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entative="1">
      <w:start w:val="1"/>
      <w:numFmt w:val="decimal"/>
      <w:lvlText w:val="%8."/>
      <w:lvlJc w:val="left"/>
      <w:pPr>
        <w:tabs>
          <w:tab w:val="num" w:pos="4680"/>
        </w:tabs>
        <w:ind w:left="4680" w:hanging="360"/>
      </w:pPr>
    </w:lvl>
    <w:lvl w:ilvl="8" w:tentative="1">
      <w:start w:val="1"/>
      <w:numFmt w:val="decimal"/>
      <w:lvlText w:val="%9."/>
      <w:lvlJc w:val="left"/>
      <w:pPr>
        <w:tabs>
          <w:tab w:val="num" w:pos="5400"/>
        </w:tabs>
        <w:ind w:left="5400" w:hanging="360"/>
      </w:pPr>
    </w:lvl>
  </w:abstractNum>
  <w:abstractNum w:abstractNumId="21" w15:restartNumberingAfterBreak="0">
    <w:nsid w:val="738E650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9745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30095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7372358">
    <w:abstractNumId w:val="3"/>
  </w:num>
  <w:num w:numId="2" w16cid:durableId="2009284053">
    <w:abstractNumId w:val="0"/>
  </w:num>
  <w:num w:numId="3" w16cid:durableId="1838645176">
    <w:abstractNumId w:val="14"/>
  </w:num>
  <w:num w:numId="4" w16cid:durableId="581335076">
    <w:abstractNumId w:val="22"/>
  </w:num>
  <w:num w:numId="5" w16cid:durableId="555287323">
    <w:abstractNumId w:val="11"/>
  </w:num>
  <w:num w:numId="6" w16cid:durableId="2128694505">
    <w:abstractNumId w:val="15"/>
  </w:num>
  <w:num w:numId="7" w16cid:durableId="954486868">
    <w:abstractNumId w:val="8"/>
  </w:num>
  <w:num w:numId="8" w16cid:durableId="1022049776">
    <w:abstractNumId w:val="17"/>
  </w:num>
  <w:num w:numId="9" w16cid:durableId="1888713171">
    <w:abstractNumId w:val="12"/>
  </w:num>
  <w:num w:numId="10" w16cid:durableId="394621822">
    <w:abstractNumId w:val="20"/>
  </w:num>
  <w:num w:numId="11" w16cid:durableId="1283925816">
    <w:abstractNumId w:val="23"/>
  </w:num>
  <w:num w:numId="12" w16cid:durableId="2029599449">
    <w:abstractNumId w:val="10"/>
  </w:num>
  <w:num w:numId="13" w16cid:durableId="564099101">
    <w:abstractNumId w:val="13"/>
  </w:num>
  <w:num w:numId="14" w16cid:durableId="813178252">
    <w:abstractNumId w:val="6"/>
  </w:num>
  <w:num w:numId="15" w16cid:durableId="1736732982">
    <w:abstractNumId w:val="7"/>
  </w:num>
  <w:num w:numId="16" w16cid:durableId="1879469590">
    <w:abstractNumId w:val="19"/>
  </w:num>
  <w:num w:numId="17" w16cid:durableId="1418283525">
    <w:abstractNumId w:val="2"/>
  </w:num>
  <w:num w:numId="18" w16cid:durableId="308218872">
    <w:abstractNumId w:val="21"/>
  </w:num>
  <w:num w:numId="19" w16cid:durableId="1788500575">
    <w:abstractNumId w:val="16"/>
  </w:num>
  <w:num w:numId="20" w16cid:durableId="999428587">
    <w:abstractNumId w:val="5"/>
  </w:num>
  <w:num w:numId="21" w16cid:durableId="1994096303">
    <w:abstractNumId w:val="4"/>
  </w:num>
  <w:num w:numId="22" w16cid:durableId="1665665703">
    <w:abstractNumId w:val="18"/>
  </w:num>
  <w:num w:numId="23" w16cid:durableId="1753698986">
    <w:abstractNumId w:val="9"/>
  </w:num>
  <w:num w:numId="24" w16cid:durableId="858932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4F7"/>
    <w:rsid w:val="00063B49"/>
    <w:rsid w:val="0073606E"/>
    <w:rsid w:val="00781B5B"/>
    <w:rsid w:val="008532A5"/>
    <w:rsid w:val="0089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5CCEF4"/>
  <w15:chartTrackingRefBased/>
  <w15:docId w15:val="{FE5B9FA2-F31B-4247-9191-27FFFCB55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3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4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4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4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34F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728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 Moed</dc:creator>
  <cp:keywords/>
  <dc:description/>
  <cp:lastModifiedBy>Zhan Moed</cp:lastModifiedBy>
  <cp:revision>2</cp:revision>
  <dcterms:created xsi:type="dcterms:W3CDTF">2026-10-06T05:56:00Z</dcterms:created>
  <dcterms:modified xsi:type="dcterms:W3CDTF">2026-10-06T05:56:00Z</dcterms:modified>
</cp:coreProperties>
</file>