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0000"/>
          <w:sz w:val="21"/>
        </w:rPr>
        <w:t>MASTER SERVICE AGREEMENT &amp; RETAINER CONTRACT</w:t>
      </w:r>
    </w:p>
    <w:p>
      <w:pPr>
        <w:spacing w:before="40" w:after="120"/>
      </w:pPr>
      <w:r>
        <w:rPr>
          <w:rFonts w:ascii="Calibri" w:hAnsi="Calibri"/>
          <w:b/>
          <w:color w:val="000000"/>
          <w:sz w:val="36"/>
        </w:rPr>
        <w:t>Web Development, System Maintenance &amp; SLA Retainer Agreement</w:t>
      </w:r>
    </w:p>
    <w:p>
      <w:pPr>
        <w:spacing w:before="0" w:after="320"/>
      </w:pPr>
      <w:r>
        <w:rPr>
          <w:rFonts w:ascii="Calibri" w:hAnsi="Calibri"/>
          <w:i/>
          <w:color w:val="333333"/>
          <w:sz w:val="21"/>
        </w:rPr>
        <w:t>For the Production Web Platform, Kitchen Display System (KDS) &amp; Delivery Fleet Logistics Portal of Zafiroo Gourmet Cafe &amp; Cloud Kitchen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3168"/>
            <w:shd w:fill="F0F0F0"/>
            <w:tcMar>
              <w:top w:w="100" w:type="dxa"/>
              <w:bottom w:w="100" w:type="dxa"/>
              <w:left w:w="150" w:type="dxa"/>
              <w:right w:w="150" w:type="dxa"/>
            </w:tcMar>
          </w:tcPr>
          <w:p>
            <w:pPr>
              <w:spacing w:before="40" w:after="40"/>
            </w:pPr>
            <w:r>
              <w:rPr>
                <w:b/>
                <w:color w:val="000000"/>
                <w:sz w:val="19"/>
              </w:rPr>
              <w:t>Agreement Reference:</w:t>
            </w:r>
          </w:p>
        </w:tc>
        <w:tc>
          <w:tcPr>
            <w:tcW w:type="dxa" w:w="6192"/>
            <w:shd w:fill="FFFFFF"/>
            <w:tcMar>
              <w:top w:w="100" w:type="dxa"/>
              <w:bottom w:w="100" w:type="dxa"/>
              <w:left w:w="150" w:type="dxa"/>
              <w:right w:w="150" w:type="dxa"/>
            </w:tcMar>
          </w:tcPr>
          <w:p>
            <w:pPr>
              <w:spacing w:before="40" w:after="40"/>
            </w:pPr>
            <w:r>
              <w:rPr>
                <w:color w:val="000000"/>
                <w:sz w:val="19"/>
              </w:rPr>
              <w:t>AGR-ZAF-WEB-2026-03Y</w:t>
            </w:r>
          </w:p>
        </w:tc>
      </w:tr>
      <w:tr>
        <w:tc>
          <w:tcPr>
            <w:tcW w:type="dxa" w:w="3168"/>
            <w:shd w:fill="F0F0F0"/>
            <w:tcMar>
              <w:top w:w="100" w:type="dxa"/>
              <w:bottom w:w="100" w:type="dxa"/>
              <w:left w:w="150" w:type="dxa"/>
              <w:right w:w="150" w:type="dxa"/>
            </w:tcMar>
          </w:tcPr>
          <w:p>
            <w:pPr>
              <w:spacing w:before="40" w:after="40"/>
            </w:pPr>
            <w:r>
              <w:rPr>
                <w:b/>
                <w:color w:val="000000"/>
                <w:sz w:val="19"/>
              </w:rPr>
              <w:t>Effective Term:</w:t>
            </w:r>
          </w:p>
        </w:tc>
        <w:tc>
          <w:tcPr>
            <w:tcW w:type="dxa" w:w="6192"/>
            <w:shd w:fill="FFFFFF"/>
            <w:tcMar>
              <w:top w:w="100" w:type="dxa"/>
              <w:bottom w:w="100" w:type="dxa"/>
              <w:left w:w="150" w:type="dxa"/>
              <w:right w:w="150" w:type="dxa"/>
            </w:tcMar>
          </w:tcPr>
          <w:p>
            <w:pPr>
              <w:spacing w:before="40" w:after="40"/>
            </w:pPr>
            <w:r>
              <w:rPr>
                <w:b/>
                <w:color w:val="000000"/>
                <w:sz w:val="19"/>
              </w:rPr>
              <w:t>36 Consecutive Months (3 Full Calendar Years)</w:t>
            </w:r>
          </w:p>
        </w:tc>
      </w:tr>
      <w:tr>
        <w:tc>
          <w:tcPr>
            <w:tcW w:type="dxa" w:w="3168"/>
            <w:shd w:fill="F0F0F0"/>
            <w:tcMar>
              <w:top w:w="100" w:type="dxa"/>
              <w:bottom w:w="100" w:type="dxa"/>
              <w:left w:w="150" w:type="dxa"/>
              <w:right w:w="150" w:type="dxa"/>
            </w:tcMar>
          </w:tcPr>
          <w:p>
            <w:pPr>
              <w:spacing w:before="40" w:after="40"/>
            </w:pPr>
            <w:r>
              <w:rPr>
                <w:b/>
                <w:color w:val="000000"/>
                <w:sz w:val="19"/>
              </w:rPr>
              <w:t>Monthly Retainer Fee:</w:t>
            </w:r>
          </w:p>
        </w:tc>
        <w:tc>
          <w:tcPr>
            <w:tcW w:type="dxa" w:w="6192"/>
            <w:shd w:fill="FFFFFF"/>
            <w:tcMar>
              <w:top w:w="100" w:type="dxa"/>
              <w:bottom w:w="100" w:type="dxa"/>
              <w:left w:w="150" w:type="dxa"/>
              <w:right w:w="150" w:type="dxa"/>
            </w:tcMar>
          </w:tcPr>
          <w:p>
            <w:pPr>
              <w:spacing w:before="40" w:after="40"/>
            </w:pPr>
            <w:r>
              <w:rPr>
                <w:b/>
                <w:color w:val="000000"/>
                <w:sz w:val="19"/>
              </w:rPr>
              <w:t>INR ₹2,300/- (Rupees Two Thousand Three Hundred Only) per Month</w:t>
            </w:r>
          </w:p>
        </w:tc>
      </w:tr>
      <w:tr>
        <w:tc>
          <w:tcPr>
            <w:tcW w:type="dxa" w:w="3168"/>
            <w:shd w:fill="F0F0F0"/>
            <w:tcMar>
              <w:top w:w="100" w:type="dxa"/>
              <w:bottom w:w="100" w:type="dxa"/>
              <w:left w:w="150" w:type="dxa"/>
              <w:right w:w="150" w:type="dxa"/>
            </w:tcMar>
          </w:tcPr>
          <w:p>
            <w:pPr>
              <w:spacing w:before="40" w:after="40"/>
            </w:pPr>
            <w:r>
              <w:rPr>
                <w:b/>
                <w:color w:val="000000"/>
                <w:sz w:val="19"/>
              </w:rPr>
              <w:t>Total Contract Value:</w:t>
            </w:r>
          </w:p>
        </w:tc>
        <w:tc>
          <w:tcPr>
            <w:tcW w:type="dxa" w:w="6192"/>
            <w:shd w:fill="FFFFFF"/>
            <w:tcMar>
              <w:top w:w="100" w:type="dxa"/>
              <w:bottom w:w="100" w:type="dxa"/>
              <w:left w:w="150" w:type="dxa"/>
              <w:right w:w="150" w:type="dxa"/>
            </w:tcMar>
          </w:tcPr>
          <w:p>
            <w:pPr>
              <w:spacing w:before="40" w:after="40"/>
            </w:pPr>
            <w:r>
              <w:rPr>
                <w:b/>
                <w:color w:val="000000"/>
                <w:sz w:val="19"/>
              </w:rPr>
              <w:t>INR ₹82,800/- (Rupees Eighty-Two Thousand Eight Hundred Only) over 3 Years</w:t>
            </w:r>
          </w:p>
        </w:tc>
      </w:tr>
      <w:tr>
        <w:tc>
          <w:tcPr>
            <w:tcW w:type="dxa" w:w="3168"/>
            <w:shd w:fill="F0F0F0"/>
            <w:tcMar>
              <w:top w:w="100" w:type="dxa"/>
              <w:bottom w:w="100" w:type="dxa"/>
              <w:left w:w="150" w:type="dxa"/>
              <w:right w:w="150" w:type="dxa"/>
            </w:tcMar>
          </w:tcPr>
          <w:p>
            <w:pPr>
              <w:spacing w:before="40" w:after="40"/>
            </w:pPr>
            <w:r>
              <w:rPr>
                <w:b/>
                <w:color w:val="000000"/>
                <w:sz w:val="19"/>
              </w:rPr>
              <w:t>Client (First Party):</w:t>
            </w:r>
          </w:p>
        </w:tc>
        <w:tc>
          <w:tcPr>
            <w:tcW w:type="dxa" w:w="6192"/>
            <w:shd w:fill="FFFFFF"/>
            <w:tcMar>
              <w:top w:w="100" w:type="dxa"/>
              <w:bottom w:w="100" w:type="dxa"/>
              <w:left w:w="150" w:type="dxa"/>
              <w:right w:w="150" w:type="dxa"/>
            </w:tcMar>
          </w:tcPr>
          <w:p>
            <w:pPr>
              <w:spacing w:before="40" w:after="40"/>
            </w:pPr>
            <w:r>
              <w:rPr>
                <w:color w:val="000000"/>
                <w:sz w:val="19"/>
              </w:rPr>
              <w:t>Zafiroo Gourmet Cafe &amp; Cloud Kitchen (Indiranagar, Bengaluru, Karnataka)</w:t>
            </w:r>
          </w:p>
        </w:tc>
      </w:tr>
      <w:tr>
        <w:tc>
          <w:tcPr>
            <w:tcW w:type="dxa" w:w="3168"/>
            <w:shd w:fill="F0F0F0"/>
            <w:tcMar>
              <w:top w:w="100" w:type="dxa"/>
              <w:bottom w:w="100" w:type="dxa"/>
              <w:left w:w="150" w:type="dxa"/>
              <w:right w:w="150" w:type="dxa"/>
            </w:tcMar>
          </w:tcPr>
          <w:p>
            <w:pPr>
              <w:spacing w:before="40" w:after="40"/>
            </w:pPr>
            <w:r>
              <w:rPr>
                <w:b/>
                <w:color w:val="000000"/>
                <w:sz w:val="19"/>
              </w:rPr>
              <w:t>Service Provider (Second Party):</w:t>
            </w:r>
          </w:p>
        </w:tc>
        <w:tc>
          <w:tcPr>
            <w:tcW w:type="dxa" w:w="6192"/>
            <w:shd w:fill="FFFFFF"/>
            <w:tcMar>
              <w:top w:w="100" w:type="dxa"/>
              <w:bottom w:w="100" w:type="dxa"/>
              <w:left w:w="150" w:type="dxa"/>
              <w:right w:w="150" w:type="dxa"/>
            </w:tcMar>
          </w:tcPr>
          <w:p>
            <w:pPr>
              <w:spacing w:before="40" w:after="40"/>
            </w:pPr>
            <w:r>
              <w:rPr>
                <w:color w:val="000000"/>
                <w:sz w:val="19"/>
              </w:rPr>
              <w:t>[Developer / Software Agency Name] (Lead Full-Stack Web Developer)</w:t>
            </w:r>
          </w:p>
        </w:tc>
      </w:tr>
    </w:tbl>
    <w:p/>
    <w:tbl>
      <w:tblPr>
        <w:tblW w:type="auto" w:w="0"/>
        <w:jc w:val="center"/>
        <w:tblLayout w:type="fixed"/>
        <w:tblLook w:firstColumn="1" w:firstRow="1" w:lastColumn="0" w:lastRow="0" w:noHBand="0" w:noVBand="1" w:val="04A0"/>
      </w:tblPr>
      <w:tblGrid>
        <w:gridCol w:w="9360"/>
      </w:tblGrid>
      <w:tr>
        <w:tc>
          <w:tcPr>
            <w:tcW w:type="dxa" w:w="9360"/>
            <w:shd w:fill="F2F2F2"/>
            <w:tcMar>
              <w:top w:w="160" w:type="dxa"/>
              <w:bottom w:w="160" w:type="dxa"/>
              <w:left w:w="240" w:type="dxa"/>
              <w:right w:w="200" w:type="dxa"/>
            </w:tcMar>
            <w:tcBorders>
              <w:top w:val="single" w:sz="6" w:space="0" w:color="000000"/>
              <w:left w:val="single" w:sz="24" w:space="0" w:color="000000"/>
              <w:bottom w:val="single" w:sz="6" w:space="0" w:color="000000"/>
              <w:right w:val="single" w:sz="6" w:space="0" w:color="000000"/>
            </w:tcBorders>
          </w:tcPr>
          <w:p>
            <w:pPr>
              <w:spacing w:before="40" w:after="80" w:line="276" w:lineRule="auto"/>
            </w:pPr>
            <w:r>
              <w:rPr>
                <w:rFonts w:ascii="Calibri" w:hAnsi="Calibri"/>
                <w:b/>
                <w:color w:val="000000"/>
                <w:sz w:val="20"/>
              </w:rPr>
              <w:t xml:space="preserve">IMPORTANT CONTRACT NOTICE: </w:t>
            </w:r>
            <w:r>
              <w:rPr>
                <w:rFonts w:ascii="Calibri" w:hAnsi="Calibri"/>
                <w:color w:val="000000"/>
                <w:sz w:val="20"/>
              </w:rPr>
              <w:t>This Agreement constitutes a legally binding contract under the Indian Contract Act, 1872. It establishes a multi-year engineering SLA and web retainer committing the Service Provider to provide ongoing technical maintenance, security monitoring, infrastructure updates, and feature enhancements for the Zafiroo Gourmet Cafe web platform at the guaranteed fixed monthly rate of ₹2,300 per month for a locked period of 36 months.</w:t>
            </w:r>
          </w:p>
        </w:tc>
      </w:tr>
    </w:tbl>
    <w:p/>
    <w:p>
      <w:pPr>
        <w:keepNext/>
        <w:spacing w:before="280" w:after="80"/>
      </w:pPr>
      <w:r>
        <w:rPr>
          <w:rFonts w:ascii="Calibri" w:hAnsi="Calibri"/>
          <w:b/>
          <w:color w:val="000000"/>
          <w:sz w:val="24"/>
        </w:rPr>
        <w:t xml:space="preserve">1. </w:t>
      </w:r>
      <w:r>
        <w:rPr>
          <w:rFonts w:ascii="Calibri" w:hAnsi="Calibri"/>
          <w:b/>
          <w:color w:val="000000"/>
          <w:sz w:val="24"/>
        </w:rPr>
        <w:t>PARTIES AND RECITALS</w:t>
      </w:r>
    </w:p>
    <w:p>
      <w:pPr>
        <w:spacing w:before="40" w:after="120" w:line="276" w:lineRule="auto"/>
      </w:pPr>
      <w:r>
        <w:rPr>
          <w:color w:val="000000"/>
        </w:rPr>
        <w:t>This Master Web Development, Maintenance and Retainer Agreement (hereinafter referred to as the "Agreement") is made and entered into on this _____ day of __________________, 20____ (the "Effective Date"), by and between:</w:t>
      </w:r>
    </w:p>
    <w:p>
      <w:pPr>
        <w:spacing w:before="40" w:after="100" w:line="276" w:lineRule="auto"/>
      </w:pPr>
      <w:r>
        <w:rPr>
          <w:b/>
          <w:color w:val="000000"/>
        </w:rPr>
        <w:t xml:space="preserve">1.1 CLIENT: ZAFIROO GOURMET CAFE &amp; CLOUD KITCHEN, </w:t>
      </w:r>
      <w:r>
        <w:rPr>
          <w:color w:val="000000"/>
        </w:rPr>
        <w:t>having its commercial culinary premises located at Zafiroo Culinary Studio, 100 Feet Road, Indiranagar, Bengaluru, Karnataka 560038, India (hereinafter referred to as the "Client", which expression shall unless repugnant to the context include its proprietors, partners, legal representatives, successors, and permitted assigns) of the FIRST PART;</w:t>
        <w:br/>
        <w:br/>
        <w:t>AND</w:t>
      </w:r>
    </w:p>
    <w:p>
      <w:pPr>
        <w:spacing w:before="40" w:after="100" w:line="276" w:lineRule="auto"/>
      </w:pPr>
      <w:r>
        <w:rPr>
          <w:b/>
          <w:color w:val="000000"/>
        </w:rPr>
        <w:t xml:space="preserve">1.2 SERVICE PROVIDER: </w:t>
      </w:r>
      <w:r>
        <w:rPr>
          <w:color w:val="000000"/>
        </w:rPr>
        <w:t>[Full Legal Name / Firm Name / Entity Name], residing at / having registered operations at [Complete Residential / Business Address, City, State, PIN Code], PAN: [__________________], Email: [developer@example.com], Phone: [+91-__________] (hereinafter referred to as the "Service Provider" or "Developer", which expression shall unless repugnant to the context include their heirs, executors, legal representatives, and permitted assigns) of the SECOND PART.</w:t>
      </w:r>
    </w:p>
    <w:p>
      <w:pPr>
        <w:spacing w:before="40" w:after="100" w:line="276" w:lineRule="auto"/>
      </w:pPr>
      <w:r>
        <w:rPr>
          <w:b/>
          <w:color w:val="000000"/>
        </w:rPr>
        <w:t xml:space="preserve">1.3 RECITALS: </w:t>
      </w:r>
      <w:r>
        <w:rPr>
          <w:color w:val="000000"/>
        </w:rPr>
        <w:t>WHEREAS:</w:t>
      </w:r>
    </w:p>
    <w:p>
      <w:pPr>
        <w:pStyle w:val="ListBullet"/>
        <w:spacing w:before="20" w:after="60" w:line="276" w:lineRule="auto"/>
      </w:pPr>
      <w:r>
        <w:rPr>
          <w:b/>
          <w:color w:val="000000"/>
        </w:rPr>
        <w:t xml:space="preserve">A. Business Background: </w:t>
      </w:r>
      <w:r>
        <w:rPr>
          <w:color w:val="000000"/>
        </w:rPr>
        <w:t>The Client owns and operates "Zafiroo Gourmet Cafe &amp; Cloud Kitchen", an artisanal food &amp; beverage establishment and cloud kitchen enterprise specializing in craft coffee roasting, gourmet savories, digital food ordering, and localized doorstep food delivery across Bengaluru.</w:t>
      </w:r>
    </w:p>
    <w:p>
      <w:pPr>
        <w:pStyle w:val="ListBullet"/>
        <w:spacing w:before="20" w:after="60" w:line="276" w:lineRule="auto"/>
      </w:pPr>
      <w:r>
        <w:rPr>
          <w:b/>
          <w:color w:val="000000"/>
        </w:rPr>
        <w:t xml:space="preserve">B. Digital Platform: </w:t>
      </w:r>
      <w:r>
        <w:rPr>
          <w:color w:val="000000"/>
        </w:rPr>
        <w:t>The Client relies upon a modern, full-stack digital web platform, comprising an interactive customer ordering web application (Next.js 15, React 19, Tailwind CSS), a real-time Kitchen Display System (KDS), a Delivery Agent / Rider logistics portal with SOS alerting, database services (Supabase PostgreSQL &amp; Realtime channels), and dual payment gateway integrations (Cashfree &amp; Razorpay).</w:t>
      </w:r>
    </w:p>
    <w:p>
      <w:pPr>
        <w:pStyle w:val="ListBullet"/>
        <w:spacing w:before="20" w:after="60" w:line="276" w:lineRule="auto"/>
      </w:pPr>
      <w:r>
        <w:rPr>
          <w:b/>
          <w:color w:val="000000"/>
        </w:rPr>
        <w:t xml:space="preserve">C. Engagement: </w:t>
      </w:r>
      <w:r>
        <w:rPr>
          <w:color w:val="000000"/>
        </w:rPr>
        <w:t>The Client desires to retain the specialized technical services of the Developer to maintain, support, optimize, update, and enhance this web platform, ensuring 99.9% uptime, zero transactional disruption, and rapid resolution of operational issues for a fixed term of three (3) years.</w:t>
      </w:r>
    </w:p>
    <w:p>
      <w:pPr>
        <w:pStyle w:val="ListBullet"/>
        <w:spacing w:before="20" w:after="60" w:line="276" w:lineRule="auto"/>
      </w:pPr>
      <w:r>
        <w:rPr>
          <w:b/>
          <w:color w:val="000000"/>
        </w:rPr>
        <w:t xml:space="preserve">D. Professional Capacity: </w:t>
      </w:r>
      <w:r>
        <w:rPr>
          <w:color w:val="000000"/>
        </w:rPr>
        <w:t>The Developer has represented that they possess the necessary expertise, technical proficiency in full-stack web engineering, and availability to provide the services described herein for the agreed remuneration of ₹2,300 per month.</w:t>
      </w:r>
    </w:p>
    <w:p>
      <w:pPr>
        <w:keepNext/>
        <w:spacing w:before="280" w:after="80"/>
      </w:pPr>
      <w:r>
        <w:rPr>
          <w:rFonts w:ascii="Calibri" w:hAnsi="Calibri"/>
          <w:b/>
          <w:color w:val="000000"/>
          <w:sz w:val="24"/>
        </w:rPr>
        <w:t xml:space="preserve">2. </w:t>
      </w:r>
      <w:r>
        <w:rPr>
          <w:rFonts w:ascii="Calibri" w:hAnsi="Calibri"/>
          <w:b/>
          <w:color w:val="000000"/>
          <w:sz w:val="24"/>
        </w:rPr>
        <w:t>DEFINITIONS AND SCOPE OF PLATFORM</w:t>
      </w:r>
    </w:p>
    <w:p>
      <w:pPr>
        <w:spacing w:before="40" w:after="100" w:line="276" w:lineRule="auto"/>
      </w:pPr>
      <w:r>
        <w:rPr>
          <w:color w:val="000000"/>
        </w:rPr>
        <w:t>For the purpose of this Agreement, the following terms shall bear the meanings ascribed to them:</w:t>
      </w:r>
    </w:p>
    <w:p>
      <w:pPr>
        <w:pStyle w:val="ListBullet"/>
        <w:spacing w:before="20" w:after="60" w:line="276" w:lineRule="auto"/>
      </w:pPr>
      <w:r>
        <w:rPr>
          <w:b/>
          <w:color w:val="000000"/>
        </w:rPr>
        <w:t xml:space="preserve">"Platform" or "Website": </w:t>
      </w:r>
      <w:r>
        <w:rPr>
          <w:color w:val="000000"/>
        </w:rPr>
        <w:t>Refers to the entire digital web application and ecosystem built for Zafiroo Gourmet Cafe, including but not limited to the customer-facing storefront, interactive menu, cart &amp; checkout modals, dynamic geo-reverse coding engine, KDS portal, Delivery Agent portal, admin authentication routes, and backend API endpoints.</w:t>
      </w:r>
    </w:p>
    <w:p>
      <w:pPr>
        <w:pStyle w:val="ListBullet"/>
        <w:spacing w:before="20" w:after="60" w:line="276" w:lineRule="auto"/>
      </w:pPr>
      <w:r>
        <w:rPr>
          <w:b/>
          <w:color w:val="000000"/>
        </w:rPr>
        <w:t xml:space="preserve">"Tech Stack": </w:t>
      </w:r>
      <w:r>
        <w:rPr>
          <w:color w:val="000000"/>
        </w:rPr>
        <w:t>Next.js 15 (App Router), React 19, TypeScript 5.7+, Tailwind CSS 3.4, Framer Motion 12, GSAP, Three.js, Lucide Icons, Supabase (PostgreSQL 15 &amp; Realtime WebSockets), Cashfree SDK, and Razorpay API.</w:t>
      </w:r>
    </w:p>
    <w:p>
      <w:pPr>
        <w:pStyle w:val="ListBullet"/>
        <w:spacing w:before="20" w:after="60" w:line="276" w:lineRule="auto"/>
      </w:pPr>
      <w:r>
        <w:rPr>
          <w:b/>
          <w:color w:val="000000"/>
        </w:rPr>
        <w:t xml:space="preserve">"Retainer Services": </w:t>
      </w:r>
      <w:r>
        <w:rPr>
          <w:color w:val="000000"/>
        </w:rPr>
        <w:t>The recurring engineering, maintenance, bug rectification, security oversight, database administration, and operational upkeep provided on an ongoing basis throughout the 36-month term.</w:t>
      </w:r>
    </w:p>
    <w:p>
      <w:pPr>
        <w:pStyle w:val="ListBullet"/>
        <w:spacing w:before="20" w:after="60" w:line="276" w:lineRule="auto"/>
      </w:pPr>
      <w:r>
        <w:rPr>
          <w:b/>
          <w:color w:val="000000"/>
        </w:rPr>
        <w:t xml:space="preserve">"Emergency SOS &amp; KDS": </w:t>
      </w:r>
      <w:r>
        <w:rPr>
          <w:color w:val="000000"/>
        </w:rPr>
        <w:t>The integrated digital kitchen display system with synthesized Web Audio chimes and the delivery rider emergency alert system broadcasting critical events over Supabase Realtime channels.</w:t>
      </w:r>
    </w:p>
    <w:p>
      <w:pPr>
        <w:keepNext/>
        <w:spacing w:before="280" w:after="80"/>
      </w:pPr>
      <w:r>
        <w:rPr>
          <w:rFonts w:ascii="Calibri" w:hAnsi="Calibri"/>
          <w:b/>
          <w:color w:val="000000"/>
          <w:sz w:val="24"/>
        </w:rPr>
        <w:t xml:space="preserve">3. </w:t>
      </w:r>
      <w:r>
        <w:rPr>
          <w:rFonts w:ascii="Calibri" w:hAnsi="Calibri"/>
          <w:b/>
          <w:color w:val="000000"/>
          <w:sz w:val="24"/>
        </w:rPr>
        <w:t>SCOPE OF SERVICES &amp; OBLIGATIONS</w:t>
      </w:r>
    </w:p>
    <w:p>
      <w:pPr>
        <w:spacing w:before="40" w:after="100" w:line="276" w:lineRule="auto"/>
      </w:pPr>
      <w:r>
        <w:rPr>
          <w:color w:val="000000"/>
        </w:rPr>
        <w:t>The Developer agrees to render the following comprehensive web development, engineering, and maintenance services throughout the duration of this Agreement:</w:t>
      </w:r>
    </w:p>
    <w:p>
      <w:pPr>
        <w:pStyle w:val="ListBullet"/>
        <w:spacing w:before="20" w:after="60" w:line="276" w:lineRule="auto"/>
      </w:pPr>
      <w:r>
        <w:rPr>
          <w:b/>
          <w:color w:val="000000"/>
        </w:rPr>
        <w:t xml:space="preserve">3.1 Technical Maintenance &amp; Codebase Upkeep: </w:t>
      </w:r>
      <w:r>
        <w:rPr>
          <w:color w:val="000000"/>
        </w:rPr>
        <w:t>Routine inspection, performance optimization, and codebase maintenance for the Next.js 15 application. Regular auditing and upgrading of software dependencies, Node.js packages, TypeScript types, and Tailwind utility layers to prevent technical obsolescence and deprecation vulnerabilities.</w:t>
      </w:r>
    </w:p>
    <w:p>
      <w:pPr>
        <w:pStyle w:val="ListBullet"/>
        <w:spacing w:before="20" w:after="60" w:line="276" w:lineRule="auto"/>
      </w:pPr>
      <w:r>
        <w:rPr>
          <w:b/>
          <w:color w:val="000000"/>
        </w:rPr>
        <w:t xml:space="preserve">3.2 Realtime Database &amp; Supabase Administration: </w:t>
      </w:r>
      <w:r>
        <w:rPr>
          <w:color w:val="000000"/>
        </w:rPr>
        <w:t>Supervision of the Supabase PostgreSQL database schemas, indexes, Realtime WebSocket publication channels, Row-Level Security (RLS) policies, and connection pool health to guarantee continuous order synchronization between customer clients, the Kitchen Display System (KDS), and delivery riders.</w:t>
      </w:r>
    </w:p>
    <w:p>
      <w:pPr>
        <w:pStyle w:val="ListBullet"/>
        <w:spacing w:before="20" w:after="60" w:line="276" w:lineRule="auto"/>
      </w:pPr>
      <w:r>
        <w:rPr>
          <w:b/>
          <w:color w:val="000000"/>
        </w:rPr>
        <w:t xml:space="preserve">3.3 Payment Gateway Maintenance &amp; Webhook Integrity: </w:t>
      </w:r>
      <w:r>
        <w:rPr>
          <w:color w:val="000000"/>
        </w:rPr>
        <w:t>Continuous monitoring of Cashfree Payments SDK and Razorpay API gateway integrations. Verification of webhook handlers (/api/cashfree/verify, /api/razorpay/verify), handling signature cryptographic checks, order status reconciliations, and preventing double-charge or unfulfilled payment anomalies.</w:t>
      </w:r>
    </w:p>
    <w:p>
      <w:pPr>
        <w:pStyle w:val="ListBullet"/>
        <w:spacing w:before="20" w:after="60" w:line="276" w:lineRule="auto"/>
      </w:pPr>
      <w:r>
        <w:rPr>
          <w:b/>
          <w:color w:val="000000"/>
        </w:rPr>
        <w:t xml:space="preserve">3.4 Kitchen Display System (KDS) Operational Support: </w:t>
      </w:r>
      <w:r>
        <w:rPr>
          <w:color w:val="000000"/>
        </w:rPr>
        <w:t>Ensuring zero-downtime reliability for the live kitchen dashboard, synthesized audio chimes (Web Audio API order bell and SOS siren), auto-refresh lifecycles, and 24-hour cycle timer accuracy.</w:t>
      </w:r>
    </w:p>
    <w:p>
      <w:pPr>
        <w:pStyle w:val="ListBullet"/>
        <w:spacing w:before="20" w:after="60" w:line="276" w:lineRule="auto"/>
      </w:pPr>
      <w:r>
        <w:rPr>
          <w:b/>
          <w:color w:val="000000"/>
        </w:rPr>
        <w:t xml:space="preserve">3.5 Delivery Partner Portal &amp; OTP Verification: </w:t>
      </w:r>
      <w:r>
        <w:rPr>
          <w:color w:val="000000"/>
        </w:rPr>
        <w:t>Maintenance of the dedicated mobile web portal for delivery riders, including 1-click Google Maps routing integration, house-level address display, direct phone dialer links, emergency SOS broadcasting, and the 4-digit doorstep delivery OTP verification engine.</w:t>
      </w:r>
    </w:p>
    <w:p>
      <w:pPr>
        <w:pStyle w:val="ListBullet"/>
        <w:spacing w:before="20" w:after="60" w:line="276" w:lineRule="auto"/>
      </w:pPr>
      <w:r>
        <w:rPr>
          <w:b/>
          <w:color w:val="000000"/>
        </w:rPr>
        <w:t xml:space="preserve">3.6 Content &amp; Menu Updates: </w:t>
      </w:r>
      <w:r>
        <w:rPr>
          <w:color w:val="000000"/>
        </w:rPr>
        <w:t>Facilitating menu modifications, item additions/removals, price revisions, category updates, seasonal banners, promotional badge configurations, and operating hours changes upon receipt of written requests from the Client (via WhatsApp/Email).</w:t>
      </w:r>
    </w:p>
    <w:p>
      <w:pPr>
        <w:pStyle w:val="ListBullet"/>
        <w:spacing w:before="20" w:after="60" w:line="276" w:lineRule="auto"/>
      </w:pPr>
      <w:r>
        <w:rPr>
          <w:b/>
          <w:color w:val="000000"/>
        </w:rPr>
        <w:t xml:space="preserve">3.7 Security, SSL &amp; Infrastructure Monitoring: </w:t>
      </w:r>
      <w:r>
        <w:rPr>
          <w:color w:val="000000"/>
        </w:rPr>
        <w:t>Monitoring SSL certificate validity, Vercel serverless deployment pipelines, DNS records, automated Supabase backups, and environment variable security (.env.local keys, Supabase Service Role keys, Cashfree secret credentials).</w:t>
      </w:r>
    </w:p>
    <w:p>
      <w:pPr>
        <w:pStyle w:val="ListBullet"/>
        <w:spacing w:before="20" w:after="60" w:line="276" w:lineRule="auto"/>
      </w:pPr>
      <w:r>
        <w:rPr>
          <w:b/>
          <w:color w:val="000000"/>
        </w:rPr>
        <w:t xml:space="preserve">3.8 Allocated Monthly Hours: </w:t>
      </w:r>
      <w:r>
        <w:rPr>
          <w:color w:val="000000"/>
        </w:rPr>
        <w:t>The monthly retainer fee of ₹2,300 covers up to ten (10) hours per calendar month of dedicated development, maintenance, bug fixing, and minor enhancements. Unused hours do not accumulate or roll over to subsequent months. Any extensive new feature development exceeding this allocation shall be estimated and billed separately at a mutually agreed rate of ₹350 per hour.</w:t>
      </w:r>
    </w:p>
    <w:p>
      <w:pPr>
        <w:keepNext/>
        <w:spacing w:before="280" w:after="80"/>
      </w:pPr>
      <w:r>
        <w:rPr>
          <w:rFonts w:ascii="Calibri" w:hAnsi="Calibri"/>
          <w:b/>
          <w:color w:val="000000"/>
          <w:sz w:val="24"/>
        </w:rPr>
        <w:t xml:space="preserve">4. </w:t>
      </w:r>
      <w:r>
        <w:rPr>
          <w:rFonts w:ascii="Calibri" w:hAnsi="Calibri"/>
          <w:b/>
          <w:color w:val="000000"/>
          <w:sz w:val="24"/>
        </w:rPr>
        <w:t>TERM, COMMENCEMENT &amp; DURATION</w:t>
      </w:r>
    </w:p>
    <w:p>
      <w:pPr>
        <w:spacing w:before="40" w:after="100" w:line="276" w:lineRule="auto"/>
      </w:pPr>
      <w:r>
        <w:rPr>
          <w:b/>
          <w:color w:val="000000"/>
        </w:rPr>
        <w:t xml:space="preserve">4.1 Duration: </w:t>
      </w:r>
      <w:r>
        <w:rPr>
          <w:color w:val="000000"/>
        </w:rPr>
        <w:t xml:space="preserve">4.1 Fixed Term of Three (3) Years: </w:t>
      </w:r>
    </w:p>
    <w:p>
      <w:pPr>
        <w:spacing w:before="40" w:after="100" w:line="276" w:lineRule="auto"/>
      </w:pPr>
      <w:r>
        <w:rPr>
          <w:color w:val="000000"/>
        </w:rPr>
        <w:t>This Agreement shall become operative and legally binding on the Effective Date and shall remain in full force and effect for an uninterrupted period of thirty-six (36) consecutive months (three full years), terminating on the 36th monthly anniversary unless extended by mutual written agreement or terminated earlier in strict compliance with Section 10 of this Agreement.</w:t>
      </w:r>
    </w:p>
    <w:p>
      <w:pPr>
        <w:spacing w:before="40" w:after="100" w:line="276" w:lineRule="auto"/>
      </w:pPr>
      <w:r>
        <w:rPr>
          <w:b/>
          <w:color w:val="000000"/>
        </w:rPr>
        <w:t xml:space="preserve">4.2 Guaranteed Rate: </w:t>
      </w:r>
      <w:r>
        <w:rPr>
          <w:color w:val="000000"/>
        </w:rPr>
        <w:t xml:space="preserve">4.2 Price Lock Guarantee: </w:t>
      </w:r>
    </w:p>
    <w:p>
      <w:pPr>
        <w:spacing w:before="40" w:after="100" w:line="276" w:lineRule="auto"/>
      </w:pPr>
      <w:r>
        <w:rPr>
          <w:color w:val="000000"/>
        </w:rPr>
        <w:t>The Developer explicitly covenants and guarantees that the monthly retainer fee of ₹2,300 (Rupees Two Thousand Three Hundred Only) shall remain fixed and firm throughout the entire 36-month duration, without any escalation, inflation surcharge, or unannounced fee hike, providing complete budgetary predictability for the Client.</w:t>
      </w:r>
    </w:p>
    <w:p>
      <w:pPr>
        <w:spacing w:before="40" w:after="100" w:line="276" w:lineRule="auto"/>
      </w:pPr>
      <w:r>
        <w:rPr>
          <w:b/>
          <w:color w:val="000000"/>
        </w:rPr>
        <w:t xml:space="preserve">4.3 Renewal Terms: </w:t>
      </w:r>
      <w:r>
        <w:rPr>
          <w:color w:val="000000"/>
        </w:rPr>
        <w:t xml:space="preserve">4.3 Renewal Option: </w:t>
      </w:r>
    </w:p>
    <w:p>
      <w:pPr>
        <w:spacing w:before="40" w:after="100" w:line="276" w:lineRule="auto"/>
      </w:pPr>
      <w:r>
        <w:rPr>
          <w:color w:val="000000"/>
        </w:rPr>
        <w:t>No later than sixty (60) calendar days prior to the expiration of the 36-month term, both parties shall enter into good-faith negotiations to determine the terms of contract renewal or extension for subsequent periods.</w:t>
      </w:r>
    </w:p>
    <w:p>
      <w:pPr>
        <w:keepNext/>
        <w:spacing w:before="280" w:after="80"/>
      </w:pPr>
      <w:r>
        <w:rPr>
          <w:rFonts w:ascii="Calibri" w:hAnsi="Calibri"/>
          <w:b/>
          <w:color w:val="000000"/>
          <w:sz w:val="24"/>
        </w:rPr>
        <w:t xml:space="preserve">5. </w:t>
      </w:r>
      <w:r>
        <w:rPr>
          <w:rFonts w:ascii="Calibri" w:hAnsi="Calibri"/>
          <w:b/>
          <w:color w:val="000000"/>
          <w:sz w:val="24"/>
        </w:rPr>
        <w:t>FINANCIAL TERMS, INVOICING &amp; PAYMENT SCHEDULE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160"/>
            <w:shd w:fill="E5E5E5"/>
            <w:tcMar>
              <w:top w:w="140" w:type="dxa"/>
              <w:bottom w:w="140" w:type="dxa"/>
              <w:left w:w="140" w:type="dxa"/>
              <w:right w:w="140" w:type="dxa"/>
            </w:tcMar>
          </w:tcPr>
          <w:p>
            <w:pPr>
              <w:jc w:val="left"/>
            </w:pPr>
            <w:r>
              <w:rPr>
                <w:b/>
                <w:color w:val="000000"/>
                <w:sz w:val="19"/>
              </w:rPr>
              <w:t>Billing Interval</w:t>
            </w:r>
          </w:p>
        </w:tc>
        <w:tc>
          <w:tcPr>
            <w:tcW w:type="dxa" w:w="4608"/>
            <w:shd w:fill="E5E5E5"/>
            <w:tcMar>
              <w:top w:w="140" w:type="dxa"/>
              <w:bottom w:w="140" w:type="dxa"/>
              <w:left w:w="140" w:type="dxa"/>
              <w:right w:w="140" w:type="dxa"/>
            </w:tcMar>
          </w:tcPr>
          <w:p>
            <w:pPr>
              <w:jc w:val="left"/>
            </w:pPr>
            <w:r>
              <w:rPr>
                <w:b/>
                <w:color w:val="000000"/>
                <w:sz w:val="19"/>
              </w:rPr>
              <w:t>Description of Retainer Services</w:t>
            </w:r>
          </w:p>
        </w:tc>
        <w:tc>
          <w:tcPr>
            <w:tcW w:type="dxa" w:w="2592"/>
            <w:shd w:fill="E5E5E5"/>
            <w:tcMar>
              <w:top w:w="140" w:type="dxa"/>
              <w:bottom w:w="140" w:type="dxa"/>
              <w:left w:w="140" w:type="dxa"/>
              <w:right w:w="140" w:type="dxa"/>
            </w:tcMar>
          </w:tcPr>
          <w:p>
            <w:pPr>
              <w:jc w:val="right"/>
            </w:pPr>
            <w:r>
              <w:rPr>
                <w:b/>
                <w:color w:val="000000"/>
                <w:sz w:val="19"/>
              </w:rPr>
              <w:t>Amount (INR)</w:t>
            </w:r>
          </w:p>
        </w:tc>
      </w:tr>
      <w:tr>
        <w:tc>
          <w:tcPr>
            <w:tcW w:type="dxa" w:w="2160"/>
            <w:shd w:fill="FFFFFF"/>
            <w:tcMar>
              <w:top w:w="100" w:type="dxa"/>
              <w:bottom w:w="100" w:type="dxa"/>
              <w:left w:w="140" w:type="dxa"/>
              <w:right w:w="140" w:type="dxa"/>
            </w:tcMar>
          </w:tcPr>
          <w:p>
            <w:r>
              <w:rPr>
                <w:b/>
                <w:color w:val="000000"/>
                <w:sz w:val="18"/>
              </w:rPr>
              <w:t>Monthly Retainer</w:t>
            </w:r>
          </w:p>
        </w:tc>
        <w:tc>
          <w:tcPr>
            <w:tcW w:type="dxa" w:w="4608"/>
            <w:shd w:fill="FFFFFF"/>
            <w:tcMar>
              <w:top w:w="100" w:type="dxa"/>
              <w:bottom w:w="100" w:type="dxa"/>
              <w:left w:w="140" w:type="dxa"/>
              <w:right w:w="140" w:type="dxa"/>
            </w:tcMar>
          </w:tcPr>
          <w:p>
            <w:r>
              <w:rPr>
                <w:color w:val="000000"/>
                <w:sz w:val="18"/>
              </w:rPr>
              <w:t>Full-stack maintenance, security monitoring, database health, KDS &amp; delivery logistics support, up to 10 hrs dev/support</w:t>
            </w:r>
          </w:p>
        </w:tc>
        <w:tc>
          <w:tcPr>
            <w:tcW w:type="dxa" w:w="2592"/>
            <w:shd w:fill="FFFFFF"/>
            <w:tcMar>
              <w:top w:w="100" w:type="dxa"/>
              <w:bottom w:w="100" w:type="dxa"/>
              <w:left w:w="140" w:type="dxa"/>
              <w:right w:w="140" w:type="dxa"/>
            </w:tcMar>
          </w:tcPr>
          <w:p>
            <w:pPr>
              <w:jc w:val="right"/>
            </w:pPr>
            <w:r>
              <w:rPr>
                <w:b/>
                <w:color w:val="000000"/>
                <w:sz w:val="19"/>
              </w:rPr>
              <w:t>₹2,300 / Month</w:t>
            </w:r>
          </w:p>
        </w:tc>
      </w:tr>
      <w:tr>
        <w:tc>
          <w:tcPr>
            <w:tcW w:type="dxa" w:w="2160"/>
            <w:shd w:fill="FFFFFF"/>
            <w:tcMar>
              <w:top w:w="100" w:type="dxa"/>
              <w:bottom w:w="100" w:type="dxa"/>
              <w:left w:w="140" w:type="dxa"/>
              <w:right w:w="140" w:type="dxa"/>
            </w:tcMar>
          </w:tcPr>
          <w:p>
            <w:r>
              <w:rPr>
                <w:b/>
                <w:color w:val="000000"/>
                <w:sz w:val="18"/>
              </w:rPr>
              <w:t>Year 1 Total (M1-M12)</w:t>
            </w:r>
          </w:p>
        </w:tc>
        <w:tc>
          <w:tcPr>
            <w:tcW w:type="dxa" w:w="4608"/>
            <w:shd w:fill="FFFFFF"/>
            <w:tcMar>
              <w:top w:w="100" w:type="dxa"/>
              <w:bottom w:w="100" w:type="dxa"/>
              <w:left w:w="140" w:type="dxa"/>
              <w:right w:w="140" w:type="dxa"/>
            </w:tcMar>
          </w:tcPr>
          <w:p>
            <w:r>
              <w:rPr>
                <w:color w:val="000000"/>
                <w:sz w:val="18"/>
              </w:rPr>
              <w:t>12 Consecutive monthly billing cycles @ ₹2,300 per month</w:t>
            </w:r>
          </w:p>
        </w:tc>
        <w:tc>
          <w:tcPr>
            <w:tcW w:type="dxa" w:w="2592"/>
            <w:shd w:fill="FFFFFF"/>
            <w:tcMar>
              <w:top w:w="100" w:type="dxa"/>
              <w:bottom w:w="100" w:type="dxa"/>
              <w:left w:w="140" w:type="dxa"/>
              <w:right w:w="140" w:type="dxa"/>
            </w:tcMar>
          </w:tcPr>
          <w:p>
            <w:pPr>
              <w:jc w:val="right"/>
            </w:pPr>
            <w:r>
              <w:rPr>
                <w:b/>
                <w:color w:val="000000"/>
                <w:sz w:val="19"/>
              </w:rPr>
              <w:t>₹27,600</w:t>
            </w:r>
          </w:p>
        </w:tc>
      </w:tr>
      <w:tr>
        <w:tc>
          <w:tcPr>
            <w:tcW w:type="dxa" w:w="2160"/>
            <w:shd w:fill="FFFFFF"/>
            <w:tcMar>
              <w:top w:w="100" w:type="dxa"/>
              <w:bottom w:w="100" w:type="dxa"/>
              <w:left w:w="140" w:type="dxa"/>
              <w:right w:w="140" w:type="dxa"/>
            </w:tcMar>
          </w:tcPr>
          <w:p>
            <w:r>
              <w:rPr>
                <w:b/>
                <w:color w:val="000000"/>
                <w:sz w:val="18"/>
              </w:rPr>
              <w:t>Year 2 Total (M13-M24)</w:t>
            </w:r>
          </w:p>
        </w:tc>
        <w:tc>
          <w:tcPr>
            <w:tcW w:type="dxa" w:w="4608"/>
            <w:shd w:fill="FFFFFF"/>
            <w:tcMar>
              <w:top w:w="100" w:type="dxa"/>
              <w:bottom w:w="100" w:type="dxa"/>
              <w:left w:w="140" w:type="dxa"/>
              <w:right w:w="140" w:type="dxa"/>
            </w:tcMar>
          </w:tcPr>
          <w:p>
            <w:r>
              <w:rPr>
                <w:color w:val="000000"/>
                <w:sz w:val="18"/>
              </w:rPr>
              <w:t>12 Consecutive monthly billing cycles @ ₹2,300 per month (Price Locked)</w:t>
            </w:r>
          </w:p>
        </w:tc>
        <w:tc>
          <w:tcPr>
            <w:tcW w:type="dxa" w:w="2592"/>
            <w:shd w:fill="FFFFFF"/>
            <w:tcMar>
              <w:top w:w="100" w:type="dxa"/>
              <w:bottom w:w="100" w:type="dxa"/>
              <w:left w:w="140" w:type="dxa"/>
              <w:right w:w="140" w:type="dxa"/>
            </w:tcMar>
          </w:tcPr>
          <w:p>
            <w:pPr>
              <w:jc w:val="right"/>
            </w:pPr>
            <w:r>
              <w:rPr>
                <w:b/>
                <w:color w:val="000000"/>
                <w:sz w:val="19"/>
              </w:rPr>
              <w:t>₹27,600</w:t>
            </w:r>
          </w:p>
        </w:tc>
      </w:tr>
      <w:tr>
        <w:tc>
          <w:tcPr>
            <w:tcW w:type="dxa" w:w="2160"/>
            <w:shd w:fill="FFFFFF"/>
            <w:tcMar>
              <w:top w:w="100" w:type="dxa"/>
              <w:bottom w:w="100" w:type="dxa"/>
              <w:left w:w="140" w:type="dxa"/>
              <w:right w:w="140" w:type="dxa"/>
            </w:tcMar>
          </w:tcPr>
          <w:p>
            <w:r>
              <w:rPr>
                <w:b/>
                <w:color w:val="000000"/>
                <w:sz w:val="18"/>
              </w:rPr>
              <w:t>Year 3 Total (M25-M36)</w:t>
            </w:r>
          </w:p>
        </w:tc>
        <w:tc>
          <w:tcPr>
            <w:tcW w:type="dxa" w:w="4608"/>
            <w:shd w:fill="FFFFFF"/>
            <w:tcMar>
              <w:top w:w="100" w:type="dxa"/>
              <w:bottom w:w="100" w:type="dxa"/>
              <w:left w:w="140" w:type="dxa"/>
              <w:right w:w="140" w:type="dxa"/>
            </w:tcMar>
          </w:tcPr>
          <w:p>
            <w:r>
              <w:rPr>
                <w:color w:val="000000"/>
                <w:sz w:val="18"/>
              </w:rPr>
              <w:t>12 Consecutive monthly billing cycles @ ₹2,300 per month (Price Locked)</w:t>
            </w:r>
          </w:p>
        </w:tc>
        <w:tc>
          <w:tcPr>
            <w:tcW w:type="dxa" w:w="2592"/>
            <w:shd w:fill="FFFFFF"/>
            <w:tcMar>
              <w:top w:w="100" w:type="dxa"/>
              <w:bottom w:w="100" w:type="dxa"/>
              <w:left w:w="140" w:type="dxa"/>
              <w:right w:w="140" w:type="dxa"/>
            </w:tcMar>
          </w:tcPr>
          <w:p>
            <w:pPr>
              <w:jc w:val="right"/>
            </w:pPr>
            <w:r>
              <w:rPr>
                <w:b/>
                <w:color w:val="000000"/>
                <w:sz w:val="19"/>
              </w:rPr>
              <w:t>₹27,600</w:t>
            </w:r>
          </w:p>
        </w:tc>
      </w:tr>
    </w:tbl>
    <w:p/>
    <w:p>
      <w:pPr>
        <w:pStyle w:val="ListBullet"/>
        <w:spacing w:before="20" w:after="60" w:line="276" w:lineRule="auto"/>
      </w:pPr>
      <w:r>
        <w:rPr>
          <w:b/>
          <w:color w:val="000000"/>
        </w:rPr>
        <w:t xml:space="preserve">5.1 Invoicing Frequency: </w:t>
      </w:r>
      <w:r>
        <w:rPr>
          <w:color w:val="000000"/>
        </w:rPr>
        <w:t>The Developer shall furnish a digital tax/retainer invoice on or before the 1st day of each calendar month for that month's retainer fee.</w:t>
      </w:r>
    </w:p>
    <w:p>
      <w:pPr>
        <w:pStyle w:val="ListBullet"/>
        <w:spacing w:before="20" w:after="60" w:line="276" w:lineRule="auto"/>
      </w:pPr>
      <w:r>
        <w:rPr>
          <w:b/>
          <w:color w:val="000000"/>
        </w:rPr>
        <w:t xml:space="preserve">5.2 Due Date &amp; Grace Period: </w:t>
      </w:r>
      <w:r>
        <w:rPr>
          <w:color w:val="000000"/>
        </w:rPr>
        <w:t>Payment shall be made by the Client within ten (10) calendar days of receiving the monthly invoice (the "Due Date"). A grace period of five (5) additional business days shall apply.</w:t>
      </w:r>
    </w:p>
    <w:p>
      <w:pPr>
        <w:pStyle w:val="ListBullet"/>
        <w:spacing w:before="20" w:after="60" w:line="276" w:lineRule="auto"/>
      </w:pPr>
      <w:r>
        <w:rPr>
          <w:b/>
          <w:color w:val="000000"/>
        </w:rPr>
        <w:t xml:space="preserve">5.3 Method of Payment: </w:t>
      </w:r>
      <w:r>
        <w:rPr>
          <w:color w:val="000000"/>
        </w:rPr>
        <w:t>All payments shall be remitted in Indian National Rupees (INR) via Unified Payments Interface (UPI), National Electronic Funds Transfer (NEFT), Real Time Gross Settlement (RTGS), or Immediate Payment Service (IMPS) to the Developer's designated bank account specified in Schedule D.</w:t>
      </w:r>
    </w:p>
    <w:p>
      <w:pPr>
        <w:pStyle w:val="ListBullet"/>
        <w:spacing w:before="20" w:after="60" w:line="276" w:lineRule="auto"/>
      </w:pPr>
      <w:r>
        <w:rPr>
          <w:b/>
          <w:color w:val="000000"/>
        </w:rPr>
        <w:t xml:space="preserve">5.4 Late Payment: </w:t>
      </w:r>
      <w:r>
        <w:rPr>
          <w:color w:val="000000"/>
        </w:rPr>
        <w:t>In the event any monthly installment remains unpaid past the grace period, the Developer reserves the right to charge simple interest at 1.0% per month on overdue sums, and, upon giving seven (7) days written notice, temporarily suspend non-critical development services until outstanding accounts are settled in full.</w:t>
      </w:r>
    </w:p>
    <w:p>
      <w:pPr>
        <w:pStyle w:val="ListBullet"/>
        <w:spacing w:before="20" w:after="60" w:line="276" w:lineRule="auto"/>
      </w:pPr>
      <w:r>
        <w:rPr>
          <w:b/>
          <w:color w:val="000000"/>
        </w:rPr>
        <w:t xml:space="preserve">5.5 Taxes: </w:t>
      </w:r>
      <w:r>
        <w:rPr>
          <w:color w:val="000000"/>
        </w:rPr>
        <w:t>The monthly retainer fee is exclusive of applicable Goods and Services Tax (GST), if the Developer is registered under the GST Act. If GST registration is not applicable or under threshold exemption, the invoice amount remains ₹2,300 net.</w:t>
      </w:r>
    </w:p>
    <w:p>
      <w:pPr>
        <w:keepNext/>
        <w:spacing w:before="280" w:after="80"/>
      </w:pPr>
      <w:r>
        <w:rPr>
          <w:rFonts w:ascii="Calibri" w:hAnsi="Calibri"/>
          <w:b/>
          <w:color w:val="000000"/>
          <w:sz w:val="24"/>
        </w:rPr>
        <w:t xml:space="preserve">6. </w:t>
      </w:r>
      <w:r>
        <w:rPr>
          <w:rFonts w:ascii="Calibri" w:hAnsi="Calibri"/>
          <w:b/>
          <w:color w:val="000000"/>
          <w:sz w:val="24"/>
        </w:rPr>
        <w:t>SERVICE LEVEL AGREEMENT (SLA) &amp; SUPPORT MATRIX</w:t>
      </w:r>
    </w:p>
    <w:p>
      <w:pPr>
        <w:spacing w:before="40" w:after="100" w:line="276" w:lineRule="auto"/>
      </w:pPr>
      <w:r>
        <w:rPr>
          <w:color w:val="000000"/>
        </w:rPr>
        <w:t>To guarantee the operational stability of Zafiroo Gourmet Cafe, technical incidents and maintenance support tickets shall be categorized and resolved according to the following strict SLA criteria:</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1728"/>
            <w:shd w:fill="E5E5E5"/>
            <w:tcMar>
              <w:top w:w="140" w:type="dxa"/>
              <w:bottom w:w="140" w:type="dxa"/>
              <w:left w:w="120" w:type="dxa"/>
              <w:right w:w="120" w:type="dxa"/>
            </w:tcMar>
          </w:tcPr>
          <w:p>
            <w:r>
              <w:rPr>
                <w:b/>
                <w:color w:val="000000"/>
                <w:sz w:val="18"/>
              </w:rPr>
              <w:t>Severity Level</w:t>
            </w:r>
          </w:p>
        </w:tc>
        <w:tc>
          <w:tcPr>
            <w:tcW w:type="dxa" w:w="3312"/>
            <w:shd w:fill="E5E5E5"/>
            <w:tcMar>
              <w:top w:w="140" w:type="dxa"/>
              <w:bottom w:w="140" w:type="dxa"/>
              <w:left w:w="120" w:type="dxa"/>
              <w:right w:w="120" w:type="dxa"/>
            </w:tcMar>
          </w:tcPr>
          <w:p>
            <w:r>
              <w:rPr>
                <w:b/>
                <w:color w:val="000000"/>
                <w:sz w:val="18"/>
              </w:rPr>
              <w:t>Definition &amp; Example</w:t>
            </w:r>
          </w:p>
        </w:tc>
        <w:tc>
          <w:tcPr>
            <w:tcW w:type="dxa" w:w="2160"/>
            <w:shd w:fill="E5E5E5"/>
            <w:tcMar>
              <w:top w:w="140" w:type="dxa"/>
              <w:bottom w:w="140" w:type="dxa"/>
              <w:left w:w="120" w:type="dxa"/>
              <w:right w:w="120" w:type="dxa"/>
            </w:tcMar>
          </w:tcPr>
          <w:p>
            <w:r>
              <w:rPr>
                <w:b/>
                <w:color w:val="000000"/>
                <w:sz w:val="18"/>
              </w:rPr>
              <w:t>Initial Response</w:t>
            </w:r>
          </w:p>
        </w:tc>
        <w:tc>
          <w:tcPr>
            <w:tcW w:type="dxa" w:w="2160"/>
            <w:shd w:fill="E5E5E5"/>
            <w:tcMar>
              <w:top w:w="140" w:type="dxa"/>
              <w:bottom w:w="140" w:type="dxa"/>
              <w:left w:w="120" w:type="dxa"/>
              <w:right w:w="120" w:type="dxa"/>
            </w:tcMar>
          </w:tcPr>
          <w:p>
            <w:r>
              <w:rPr>
                <w:b/>
                <w:color w:val="000000"/>
                <w:sz w:val="18"/>
              </w:rPr>
              <w:t>Target Resolution</w:t>
            </w:r>
          </w:p>
        </w:tc>
      </w:tr>
      <w:tr>
        <w:tc>
          <w:tcPr>
            <w:tcW w:type="dxa" w:w="1728"/>
            <w:shd w:fill="FFFFFF"/>
            <w:tcMar>
              <w:top w:w="100" w:type="dxa"/>
              <w:bottom w:w="100" w:type="dxa"/>
              <w:left w:w="120" w:type="dxa"/>
              <w:right w:w="120" w:type="dxa"/>
            </w:tcMar>
          </w:tcPr>
          <w:p>
            <w:r>
              <w:rPr>
                <w:b/>
                <w:color w:val="000000"/>
                <w:sz w:val="17"/>
              </w:rPr>
              <w:t>P1: Critical Outage</w:t>
            </w:r>
          </w:p>
        </w:tc>
        <w:tc>
          <w:tcPr>
            <w:tcW w:type="dxa" w:w="3312"/>
            <w:shd w:fill="FFFFFF"/>
            <w:tcMar>
              <w:top w:w="100" w:type="dxa"/>
              <w:bottom w:w="100" w:type="dxa"/>
              <w:left w:w="120" w:type="dxa"/>
              <w:right w:w="120" w:type="dxa"/>
            </w:tcMar>
          </w:tcPr>
          <w:p>
            <w:r>
              <w:rPr>
                <w:color w:val="000000"/>
                <w:sz w:val="17"/>
              </w:rPr>
              <w:t>Complete website crash, payment gateway failure (Cashfree/Razorpay broken), checkout failure, or customer ordering blocked.</w:t>
            </w:r>
          </w:p>
        </w:tc>
        <w:tc>
          <w:tcPr>
            <w:tcW w:type="dxa" w:w="2160"/>
            <w:shd w:fill="FFFFFF"/>
            <w:tcMar>
              <w:top w:w="100" w:type="dxa"/>
              <w:bottom w:w="100" w:type="dxa"/>
              <w:left w:w="120" w:type="dxa"/>
              <w:right w:w="120" w:type="dxa"/>
            </w:tcMar>
          </w:tcPr>
          <w:p>
            <w:r>
              <w:rPr>
                <w:b/>
                <w:color w:val="000000"/>
                <w:sz w:val="17"/>
              </w:rPr>
              <w:t>&lt; 2 Hours</w:t>
            </w:r>
          </w:p>
        </w:tc>
        <w:tc>
          <w:tcPr>
            <w:tcW w:type="dxa" w:w="2160"/>
            <w:shd w:fill="FFFFFF"/>
            <w:tcMar>
              <w:top w:w="100" w:type="dxa"/>
              <w:bottom w:w="100" w:type="dxa"/>
              <w:left w:w="120" w:type="dxa"/>
              <w:right w:w="120" w:type="dxa"/>
            </w:tcMar>
          </w:tcPr>
          <w:p>
            <w:r>
              <w:rPr>
                <w:b/>
                <w:color w:val="000000"/>
                <w:sz w:val="17"/>
              </w:rPr>
              <w:t>&lt; 6–12 Hours</w:t>
            </w:r>
          </w:p>
        </w:tc>
      </w:tr>
      <w:tr>
        <w:tc>
          <w:tcPr>
            <w:tcW w:type="dxa" w:w="1728"/>
            <w:shd w:fill="FFFFFF"/>
            <w:tcMar>
              <w:top w:w="100" w:type="dxa"/>
              <w:bottom w:w="100" w:type="dxa"/>
              <w:left w:w="120" w:type="dxa"/>
              <w:right w:w="120" w:type="dxa"/>
            </w:tcMar>
          </w:tcPr>
          <w:p>
            <w:r>
              <w:rPr>
                <w:b/>
                <w:color w:val="000000"/>
                <w:sz w:val="17"/>
              </w:rPr>
              <w:t>P2: Major Malfunction</w:t>
            </w:r>
          </w:p>
        </w:tc>
        <w:tc>
          <w:tcPr>
            <w:tcW w:type="dxa" w:w="3312"/>
            <w:shd w:fill="FFFFFF"/>
            <w:tcMar>
              <w:top w:w="100" w:type="dxa"/>
              <w:bottom w:w="100" w:type="dxa"/>
              <w:left w:w="120" w:type="dxa"/>
              <w:right w:w="120" w:type="dxa"/>
            </w:tcMar>
          </w:tcPr>
          <w:p>
            <w:r>
              <w:rPr>
                <w:color w:val="000000"/>
                <w:sz w:val="17"/>
              </w:rPr>
              <w:t>Kitchen Display System (KDS) realtime sync lag, Delivery Rider OTP verification glitch, SOS alert failure, or cart calculation error.</w:t>
            </w:r>
          </w:p>
        </w:tc>
        <w:tc>
          <w:tcPr>
            <w:tcW w:type="dxa" w:w="2160"/>
            <w:shd w:fill="FFFFFF"/>
            <w:tcMar>
              <w:top w:w="100" w:type="dxa"/>
              <w:bottom w:w="100" w:type="dxa"/>
              <w:left w:w="120" w:type="dxa"/>
              <w:right w:w="120" w:type="dxa"/>
            </w:tcMar>
          </w:tcPr>
          <w:p>
            <w:r>
              <w:rPr>
                <w:b/>
                <w:color w:val="000000"/>
                <w:sz w:val="17"/>
              </w:rPr>
              <w:t>&lt; 4 Hours</w:t>
            </w:r>
          </w:p>
        </w:tc>
        <w:tc>
          <w:tcPr>
            <w:tcW w:type="dxa" w:w="2160"/>
            <w:shd w:fill="FFFFFF"/>
            <w:tcMar>
              <w:top w:w="100" w:type="dxa"/>
              <w:bottom w:w="100" w:type="dxa"/>
              <w:left w:w="120" w:type="dxa"/>
              <w:right w:w="120" w:type="dxa"/>
            </w:tcMar>
          </w:tcPr>
          <w:p>
            <w:r>
              <w:rPr>
                <w:b/>
                <w:color w:val="000000"/>
                <w:sz w:val="17"/>
              </w:rPr>
              <w:t>&lt; 24 Hours</w:t>
            </w:r>
          </w:p>
        </w:tc>
      </w:tr>
      <w:tr>
        <w:tc>
          <w:tcPr>
            <w:tcW w:type="dxa" w:w="1728"/>
            <w:shd w:fill="FFFFFF"/>
            <w:tcMar>
              <w:top w:w="100" w:type="dxa"/>
              <w:bottom w:w="100" w:type="dxa"/>
              <w:left w:w="120" w:type="dxa"/>
              <w:right w:w="120" w:type="dxa"/>
            </w:tcMar>
          </w:tcPr>
          <w:p>
            <w:r>
              <w:rPr>
                <w:b/>
                <w:color w:val="000000"/>
                <w:sz w:val="17"/>
              </w:rPr>
              <w:t>P3: Minor Bug / Issue</w:t>
            </w:r>
          </w:p>
        </w:tc>
        <w:tc>
          <w:tcPr>
            <w:tcW w:type="dxa" w:w="3312"/>
            <w:shd w:fill="FFFFFF"/>
            <w:tcMar>
              <w:top w:w="100" w:type="dxa"/>
              <w:bottom w:w="100" w:type="dxa"/>
              <w:left w:w="120" w:type="dxa"/>
              <w:right w:w="120" w:type="dxa"/>
            </w:tcMar>
          </w:tcPr>
          <w:p>
            <w:r>
              <w:rPr>
                <w:color w:val="000000"/>
                <w:sz w:val="17"/>
              </w:rPr>
              <w:t>Visual styling misalignments, individual non-critical component flaw, minor mobile UI rendering quirk, or non-blocking typo.</w:t>
            </w:r>
          </w:p>
        </w:tc>
        <w:tc>
          <w:tcPr>
            <w:tcW w:type="dxa" w:w="2160"/>
            <w:shd w:fill="FFFFFF"/>
            <w:tcMar>
              <w:top w:w="100" w:type="dxa"/>
              <w:bottom w:w="100" w:type="dxa"/>
              <w:left w:w="120" w:type="dxa"/>
              <w:right w:w="120" w:type="dxa"/>
            </w:tcMar>
          </w:tcPr>
          <w:p>
            <w:r>
              <w:rPr>
                <w:b/>
                <w:color w:val="000000"/>
                <w:sz w:val="17"/>
              </w:rPr>
              <w:t>&lt; 12 Hours</w:t>
            </w:r>
          </w:p>
        </w:tc>
        <w:tc>
          <w:tcPr>
            <w:tcW w:type="dxa" w:w="2160"/>
            <w:shd w:fill="FFFFFF"/>
            <w:tcMar>
              <w:top w:w="100" w:type="dxa"/>
              <w:bottom w:w="100" w:type="dxa"/>
              <w:left w:w="120" w:type="dxa"/>
              <w:right w:w="120" w:type="dxa"/>
            </w:tcMar>
          </w:tcPr>
          <w:p>
            <w:r>
              <w:rPr>
                <w:b/>
                <w:color w:val="000000"/>
                <w:sz w:val="17"/>
              </w:rPr>
              <w:t>&lt; 48 Hours</w:t>
            </w:r>
          </w:p>
        </w:tc>
      </w:tr>
      <w:tr>
        <w:tc>
          <w:tcPr>
            <w:tcW w:type="dxa" w:w="1728"/>
            <w:shd w:fill="FFFFFF"/>
            <w:tcMar>
              <w:top w:w="100" w:type="dxa"/>
              <w:bottom w:w="100" w:type="dxa"/>
              <w:left w:w="120" w:type="dxa"/>
              <w:right w:w="120" w:type="dxa"/>
            </w:tcMar>
          </w:tcPr>
          <w:p>
            <w:r>
              <w:rPr>
                <w:b/>
                <w:color w:val="000000"/>
                <w:sz w:val="17"/>
              </w:rPr>
              <w:t>P4: Routine Request</w:t>
            </w:r>
          </w:p>
        </w:tc>
        <w:tc>
          <w:tcPr>
            <w:tcW w:type="dxa" w:w="3312"/>
            <w:shd w:fill="FFFFFF"/>
            <w:tcMar>
              <w:top w:w="100" w:type="dxa"/>
              <w:bottom w:w="100" w:type="dxa"/>
              <w:left w:w="120" w:type="dxa"/>
              <w:right w:w="120" w:type="dxa"/>
            </w:tcMar>
          </w:tcPr>
          <w:p>
            <w:r>
              <w:rPr>
                <w:color w:val="000000"/>
                <w:sz w:val="17"/>
              </w:rPr>
              <w:t>Adding new menu dishes, updating coffee origin details, altering pricing, changing cafe operating hours, or uploading banners.</w:t>
            </w:r>
          </w:p>
        </w:tc>
        <w:tc>
          <w:tcPr>
            <w:tcW w:type="dxa" w:w="2160"/>
            <w:shd w:fill="FFFFFF"/>
            <w:tcMar>
              <w:top w:w="100" w:type="dxa"/>
              <w:bottom w:w="100" w:type="dxa"/>
              <w:left w:w="120" w:type="dxa"/>
              <w:right w:w="120" w:type="dxa"/>
            </w:tcMar>
          </w:tcPr>
          <w:p>
            <w:r>
              <w:rPr>
                <w:b/>
                <w:color w:val="000000"/>
                <w:sz w:val="17"/>
              </w:rPr>
              <w:t>&lt; 24 Hours</w:t>
            </w:r>
          </w:p>
        </w:tc>
        <w:tc>
          <w:tcPr>
            <w:tcW w:type="dxa" w:w="2160"/>
            <w:shd w:fill="FFFFFF"/>
            <w:tcMar>
              <w:top w:w="100" w:type="dxa"/>
              <w:bottom w:w="100" w:type="dxa"/>
              <w:left w:w="120" w:type="dxa"/>
              <w:right w:w="120" w:type="dxa"/>
            </w:tcMar>
          </w:tcPr>
          <w:p>
            <w:r>
              <w:rPr>
                <w:b/>
                <w:color w:val="000000"/>
                <w:sz w:val="17"/>
              </w:rPr>
              <w:t>&lt; 3 Business Days</w:t>
            </w:r>
          </w:p>
        </w:tc>
      </w:tr>
    </w:tbl>
    <w:p/>
    <w:p>
      <w:pPr>
        <w:pStyle w:val="ListBullet"/>
        <w:spacing w:before="20" w:after="60" w:line="276" w:lineRule="auto"/>
      </w:pPr>
      <w:r>
        <w:rPr>
          <w:b/>
          <w:color w:val="000000"/>
        </w:rPr>
        <w:t xml:space="preserve">6.1 Support Channels: </w:t>
      </w:r>
      <w:r>
        <w:rPr>
          <w:color w:val="000000"/>
        </w:rPr>
        <w:t>The Client may lodge support tickets and change requests via designated WhatsApp Business group, direct phone call (for P1 emergencies), or email to [developer@example.com].</w:t>
      </w:r>
    </w:p>
    <w:p>
      <w:pPr>
        <w:pStyle w:val="ListBullet"/>
        <w:spacing w:before="20" w:after="60" w:line="276" w:lineRule="auto"/>
      </w:pPr>
      <w:r>
        <w:rPr>
          <w:b/>
          <w:color w:val="000000"/>
        </w:rPr>
        <w:t xml:space="preserve">6.2 Scheduled Maintenance: </w:t>
      </w:r>
      <w:r>
        <w:rPr>
          <w:color w:val="000000"/>
        </w:rPr>
        <w:t>Routine system upgrades, database migrations, and framework patch deployments shall be carried out during off-peak kitchen hours (between 12:30 AM and 6:30 AM IST) after prior notice to the Client to avoid disrupting customer orders.</w:t>
      </w:r>
    </w:p>
    <w:p>
      <w:pPr>
        <w:keepNext/>
        <w:spacing w:before="280" w:after="80"/>
      </w:pPr>
      <w:r>
        <w:rPr>
          <w:rFonts w:ascii="Calibri" w:hAnsi="Calibri"/>
          <w:b/>
          <w:color w:val="000000"/>
          <w:sz w:val="24"/>
        </w:rPr>
        <w:t xml:space="preserve">7. </w:t>
      </w:r>
      <w:r>
        <w:rPr>
          <w:rFonts w:ascii="Calibri" w:hAnsi="Calibri"/>
          <w:b/>
          <w:color w:val="000000"/>
          <w:sz w:val="24"/>
        </w:rPr>
        <w:t>INTELLECTUAL PROPERTY RIGHTS &amp; OWNERSHIP</w:t>
      </w:r>
    </w:p>
    <w:p>
      <w:pPr>
        <w:pStyle w:val="ListBullet"/>
        <w:spacing w:before="20" w:after="60" w:line="276" w:lineRule="auto"/>
      </w:pPr>
      <w:r>
        <w:rPr>
          <w:b/>
          <w:color w:val="000000"/>
        </w:rPr>
        <w:t xml:space="preserve">7.1 Client Ownership: </w:t>
      </w:r>
      <w:r>
        <w:rPr>
          <w:color w:val="000000"/>
        </w:rPr>
        <w:t>The Client retains 100% exclusive, unencumbered ownership of all cafe trademarks, trade names ("Zafiroo", "Zafiroo Kitchen"), logos, branding assets, custom photography, menu formulations, pricing lists, customer data, and order history.</w:t>
      </w:r>
    </w:p>
    <w:p>
      <w:pPr>
        <w:pStyle w:val="ListBullet"/>
        <w:spacing w:before="20" w:after="60" w:line="276" w:lineRule="auto"/>
      </w:pPr>
      <w:r>
        <w:rPr>
          <w:b/>
          <w:color w:val="000000"/>
        </w:rPr>
        <w:t xml:space="preserve">7.2 Code Repository &amp; Deliverables: </w:t>
      </w:r>
      <w:r>
        <w:rPr>
          <w:color w:val="000000"/>
        </w:rPr>
        <w:t>Upon payment of due monthly retainer installments, all bespoke source code, Next.js components, database migration scripts, configuration files, and custom design layouts authored specifically for the Client shall be the exclusive property of the Client as "work made for hire".</w:t>
      </w:r>
    </w:p>
    <w:p>
      <w:pPr>
        <w:pStyle w:val="ListBullet"/>
        <w:spacing w:before="20" w:after="60" w:line="276" w:lineRule="auto"/>
      </w:pPr>
      <w:r>
        <w:rPr>
          <w:b/>
          <w:color w:val="000000"/>
        </w:rPr>
        <w:t xml:space="preserve">7.3 Open Source &amp; Pre-existing IP: </w:t>
      </w:r>
      <w:r>
        <w:rPr>
          <w:color w:val="000000"/>
        </w:rPr>
        <w:t>The Platform incorporates standard open-source libraries and frameworks (React, Next.js, Tailwind CSS, GSAP, Three.js, Lucide Icons) licensed under standard permissive licenses (MIT, Apache 2.0). The Developer shall retain rights to generic coding routines, developer tools, and modular utilities developed independently prior to or outside the scope of this Agreement.</w:t>
      </w:r>
    </w:p>
    <w:p>
      <w:pPr>
        <w:pStyle w:val="ListBullet"/>
        <w:spacing w:before="20" w:after="60" w:line="276" w:lineRule="auto"/>
      </w:pPr>
      <w:r>
        <w:rPr>
          <w:b/>
          <w:color w:val="000000"/>
        </w:rPr>
        <w:t xml:space="preserve">7.4 Code Repository Access: </w:t>
      </w:r>
      <w:r>
        <w:rPr>
          <w:color w:val="000000"/>
        </w:rPr>
        <w:t>The Developer shall ensure that the Client or their designated technical administrator maintains administrative access to the GitHub/GitLab repository and Vercel project at all times.</w:t>
      </w:r>
    </w:p>
    <w:p>
      <w:pPr>
        <w:keepNext/>
        <w:spacing w:before="280" w:after="80"/>
      </w:pPr>
      <w:r>
        <w:rPr>
          <w:rFonts w:ascii="Calibri" w:hAnsi="Calibri"/>
          <w:b/>
          <w:color w:val="000000"/>
          <w:sz w:val="24"/>
        </w:rPr>
        <w:t xml:space="preserve">8. </w:t>
      </w:r>
      <w:r>
        <w:rPr>
          <w:rFonts w:ascii="Calibri" w:hAnsi="Calibri"/>
          <w:b/>
          <w:color w:val="000000"/>
          <w:sz w:val="24"/>
        </w:rPr>
        <w:t>THIRD-PARTY SERVICES, HOSTING &amp; INFRASTRUCTURE EXPENSES</w:t>
      </w:r>
    </w:p>
    <w:p>
      <w:pPr>
        <w:pStyle w:val="ListBullet"/>
        <w:spacing w:before="20" w:after="60" w:line="276" w:lineRule="auto"/>
      </w:pPr>
      <w:r>
        <w:rPr>
          <w:b/>
          <w:color w:val="000000"/>
        </w:rPr>
        <w:t xml:space="preserve">8.1 Infrastructure Costs Borne by Client: </w:t>
      </w:r>
      <w:r>
        <w:rPr>
          <w:color w:val="000000"/>
        </w:rPr>
        <w:t>The monthly retainer fee of ₹2,300 represents professional engineering and maintenance fees only. Any third-party infrastructure, licensing, or usage costs are the sole financial responsibility of the Client, including:</w:t>
      </w:r>
    </w:p>
    <w:p>
      <w:pPr>
        <w:pStyle w:val="ListBullet"/>
        <w:spacing w:before="20" w:after="60" w:line="276" w:lineRule="auto"/>
      </w:pPr>
      <w:r>
        <w:rPr>
          <w:b/>
          <w:color w:val="000000"/>
        </w:rPr>
        <w:t xml:space="preserve">  • </w:t>
      </w:r>
      <w:r>
        <w:rPr>
          <w:color w:val="000000"/>
        </w:rPr>
        <w:t>Domain Name Registration and DNS renewals (GoDaddy, Namecheap, Google Domains, etc.);</w:t>
      </w:r>
    </w:p>
    <w:p>
      <w:pPr>
        <w:pStyle w:val="ListBullet"/>
        <w:spacing w:before="20" w:after="60" w:line="276" w:lineRule="auto"/>
      </w:pPr>
      <w:r>
        <w:rPr>
          <w:b/>
          <w:color w:val="000000"/>
        </w:rPr>
        <w:t xml:space="preserve">  • </w:t>
      </w:r>
      <w:r>
        <w:rPr>
          <w:color w:val="000000"/>
        </w:rPr>
        <w:t>Vercel / Next.js cloud hosting plan charges (e.g., Vercel Pro tier if upgraded from hobby);</w:t>
      </w:r>
    </w:p>
    <w:p>
      <w:pPr>
        <w:pStyle w:val="ListBullet"/>
        <w:spacing w:before="20" w:after="60" w:line="276" w:lineRule="auto"/>
      </w:pPr>
      <w:r>
        <w:rPr>
          <w:b/>
          <w:color w:val="000000"/>
        </w:rPr>
        <w:t xml:space="preserve">  • </w:t>
      </w:r>
      <w:r>
        <w:rPr>
          <w:color w:val="000000"/>
        </w:rPr>
        <w:t>Supabase PostgreSQL Database &amp; Realtime tier costs (Supabase Pro plan if database storage/bandwidth exceeds free thresholds);</w:t>
      </w:r>
    </w:p>
    <w:p>
      <w:pPr>
        <w:pStyle w:val="ListBullet"/>
        <w:spacing w:before="20" w:after="60" w:line="276" w:lineRule="auto"/>
      </w:pPr>
      <w:r>
        <w:rPr>
          <w:b/>
          <w:color w:val="000000"/>
        </w:rPr>
        <w:t xml:space="preserve">  • </w:t>
      </w:r>
      <w:r>
        <w:rPr>
          <w:color w:val="000000"/>
        </w:rPr>
        <w:t>Payment Gateway Merchant Fees and transactional commissions levied directly by Cashfree Payments and Razorpay;</w:t>
      </w:r>
    </w:p>
    <w:p>
      <w:pPr>
        <w:pStyle w:val="ListBullet"/>
        <w:spacing w:before="20" w:after="60" w:line="276" w:lineRule="auto"/>
      </w:pPr>
      <w:r>
        <w:rPr>
          <w:b/>
          <w:color w:val="000000"/>
        </w:rPr>
        <w:t xml:space="preserve">  • </w:t>
      </w:r>
      <w:r>
        <w:rPr>
          <w:color w:val="000000"/>
        </w:rPr>
        <w:t>SMS / WhatsApp Cloud API conversation charges for automated OTP and order dispatch messages.</w:t>
      </w:r>
    </w:p>
    <w:p>
      <w:pPr>
        <w:pStyle w:val="ListBullet"/>
        <w:spacing w:before="20" w:after="60" w:line="276" w:lineRule="auto"/>
      </w:pPr>
      <w:r>
        <w:rPr>
          <w:b/>
          <w:color w:val="000000"/>
        </w:rPr>
        <w:t xml:space="preserve">8.2 Developer Advisory: </w:t>
      </w:r>
      <w:r>
        <w:rPr>
          <w:color w:val="000000"/>
        </w:rPr>
        <w:t>The Developer shall advise the Client on cost optimization, helping the Client operate within cost-effective or free tier limits wherever practical without sacrificing reliability or performance.</w:t>
      </w:r>
    </w:p>
    <w:p>
      <w:pPr>
        <w:keepNext/>
        <w:spacing w:before="280" w:after="80"/>
      </w:pPr>
      <w:r>
        <w:rPr>
          <w:rFonts w:ascii="Calibri" w:hAnsi="Calibri"/>
          <w:b/>
          <w:color w:val="000000"/>
          <w:sz w:val="24"/>
        </w:rPr>
        <w:t xml:space="preserve">9. </w:t>
      </w:r>
      <w:r>
        <w:rPr>
          <w:rFonts w:ascii="Calibri" w:hAnsi="Calibri"/>
          <w:b/>
          <w:color w:val="000000"/>
          <w:sz w:val="24"/>
        </w:rPr>
        <w:t>CONFIDENTIALITY &amp; DATA PROTECTION</w:t>
      </w:r>
    </w:p>
    <w:p>
      <w:pPr>
        <w:pStyle w:val="ListBullet"/>
        <w:spacing w:before="20" w:after="60" w:line="276" w:lineRule="auto"/>
      </w:pPr>
      <w:r>
        <w:rPr>
          <w:b/>
          <w:color w:val="000000"/>
        </w:rPr>
        <w:t xml:space="preserve">9.1 Confidential Information: </w:t>
      </w:r>
      <w:r>
        <w:rPr>
          <w:color w:val="000000"/>
        </w:rPr>
        <w:t>Each party agrees to hold in strict confidence all proprietary information, customer lists, phone numbers, delivery addresses, financial turnover, secret recipes, Supabase database credentials, API secret keys, and commercial data disclosed by the other party.</w:t>
      </w:r>
    </w:p>
    <w:p>
      <w:pPr>
        <w:pStyle w:val="ListBullet"/>
        <w:spacing w:before="20" w:after="60" w:line="276" w:lineRule="auto"/>
      </w:pPr>
      <w:r>
        <w:rPr>
          <w:b/>
          <w:color w:val="000000"/>
        </w:rPr>
        <w:t xml:space="preserve">9.2 Compliance with Indian Data Privacy Laws: </w:t>
      </w:r>
      <w:r>
        <w:rPr>
          <w:color w:val="000000"/>
        </w:rPr>
        <w:t>The Developer covenants to adhere to the provisions of the Information Technology Act, 2000 and the Digital Personal Data Protection Act, 2023 (DPDPA), implementing appropriate technical measures to safeguard customer personally identifiable information (PII) against unauthorized access, leakage, or loss.</w:t>
      </w:r>
    </w:p>
    <w:p>
      <w:pPr>
        <w:pStyle w:val="ListBullet"/>
        <w:spacing w:before="20" w:after="60" w:line="276" w:lineRule="auto"/>
      </w:pPr>
      <w:r>
        <w:rPr>
          <w:b/>
          <w:color w:val="000000"/>
        </w:rPr>
        <w:t xml:space="preserve">9.3 Survival: </w:t>
      </w:r>
      <w:r>
        <w:rPr>
          <w:color w:val="000000"/>
        </w:rPr>
        <w:t>The non-disclosure and confidentiality obligations shall survive the termination or expiration of this Agreement for a period of three (3) years.</w:t>
      </w:r>
    </w:p>
    <w:p>
      <w:pPr>
        <w:keepNext/>
        <w:spacing w:before="280" w:after="80"/>
      </w:pPr>
      <w:r>
        <w:rPr>
          <w:rFonts w:ascii="Calibri" w:hAnsi="Calibri"/>
          <w:b/>
          <w:color w:val="000000"/>
          <w:sz w:val="24"/>
        </w:rPr>
        <w:t xml:space="preserve">10. </w:t>
      </w:r>
      <w:r>
        <w:rPr>
          <w:rFonts w:ascii="Calibri" w:hAnsi="Calibri"/>
          <w:b/>
          <w:color w:val="000000"/>
          <w:sz w:val="24"/>
        </w:rPr>
        <w:t>TERMINATION &amp; EXIT PROTOCOL</w:t>
      </w:r>
    </w:p>
    <w:p>
      <w:pPr>
        <w:pStyle w:val="ListBullet"/>
        <w:spacing w:before="20" w:after="60" w:line="276" w:lineRule="auto"/>
      </w:pPr>
      <w:r>
        <w:rPr>
          <w:b/>
          <w:color w:val="000000"/>
        </w:rPr>
        <w:t xml:space="preserve">10.1 Termination for Convenience: </w:t>
      </w:r>
      <w:r>
        <w:rPr>
          <w:color w:val="000000"/>
        </w:rPr>
        <w:t>Either party may terminate this Agreement without cause by serving a minimum of sixty (60) calendar days prior written notice to the other party.</w:t>
      </w:r>
    </w:p>
    <w:p>
      <w:pPr>
        <w:pStyle w:val="ListBullet"/>
        <w:spacing w:before="20" w:after="60" w:line="276" w:lineRule="auto"/>
      </w:pPr>
      <w:r>
        <w:rPr>
          <w:b/>
          <w:color w:val="000000"/>
        </w:rPr>
        <w:t xml:space="preserve">10.2 Termination for Cause / Material Breach: </w:t>
      </w:r>
      <w:r>
        <w:rPr>
          <w:color w:val="000000"/>
        </w:rPr>
        <w:t>Either party may terminate this Agreement immediately upon written notice if the other party commits a material breach of any term of this Agreement and fails to cure such breach within fifteen (15) calendar days from receipt of formal written notice specifying the breach.</w:t>
      </w:r>
    </w:p>
    <w:p>
      <w:pPr>
        <w:pStyle w:val="ListBullet"/>
        <w:spacing w:before="20" w:after="60" w:line="276" w:lineRule="auto"/>
      </w:pPr>
      <w:r>
        <w:rPr>
          <w:b/>
          <w:color w:val="000000"/>
        </w:rPr>
        <w:t xml:space="preserve">10.3 Transition &amp; Handover Protocol: </w:t>
      </w:r>
      <w:r>
        <w:rPr>
          <w:color w:val="000000"/>
        </w:rPr>
        <w:t>Upon notice of termination or expiration of the 3-year term, the Developer shall execute an orderly, professional transition within fourteen (14) days, consisting of:</w:t>
      </w:r>
    </w:p>
    <w:p>
      <w:pPr>
        <w:pStyle w:val="ListBullet"/>
        <w:spacing w:before="20" w:after="60" w:line="276" w:lineRule="auto"/>
      </w:pPr>
      <w:r>
        <w:rPr>
          <w:b/>
          <w:color w:val="000000"/>
        </w:rPr>
        <w:t xml:space="preserve">  • </w:t>
      </w:r>
      <w:r>
        <w:rPr>
          <w:color w:val="000000"/>
        </w:rPr>
        <w:t>Transfer of all Git repository administrative privileges to the Client;</w:t>
      </w:r>
    </w:p>
    <w:p>
      <w:pPr>
        <w:pStyle w:val="ListBullet"/>
        <w:spacing w:before="20" w:after="60" w:line="276" w:lineRule="auto"/>
      </w:pPr>
      <w:r>
        <w:rPr>
          <w:b/>
          <w:color w:val="000000"/>
        </w:rPr>
        <w:t xml:space="preserve">  • </w:t>
      </w:r>
      <w:r>
        <w:rPr>
          <w:color w:val="000000"/>
        </w:rPr>
        <w:t>Delivery of the latest complete SQL database dump / Supabase backup and schema documentation;</w:t>
      </w:r>
    </w:p>
    <w:p>
      <w:pPr>
        <w:pStyle w:val="ListBullet"/>
        <w:spacing w:before="20" w:after="60" w:line="276" w:lineRule="auto"/>
      </w:pPr>
      <w:r>
        <w:rPr>
          <w:b/>
          <w:color w:val="000000"/>
        </w:rPr>
        <w:t xml:space="preserve">  • </w:t>
      </w:r>
      <w:r>
        <w:rPr>
          <w:color w:val="000000"/>
        </w:rPr>
        <w:t>Comprehensive handover of all administrative credentials, API dashboard logins (Cashfree, Razorpay, Supabase, Vercel);</w:t>
      </w:r>
    </w:p>
    <w:p>
      <w:pPr>
        <w:pStyle w:val="ListBullet"/>
        <w:spacing w:before="20" w:after="60" w:line="276" w:lineRule="auto"/>
      </w:pPr>
      <w:r>
        <w:rPr>
          <w:b/>
          <w:color w:val="000000"/>
        </w:rPr>
        <w:t xml:space="preserve">  • </w:t>
      </w:r>
      <w:r>
        <w:rPr>
          <w:color w:val="000000"/>
        </w:rPr>
        <w:t>A 2-hour handover debriefing session with the incoming technical representative.</w:t>
      </w:r>
    </w:p>
    <w:p>
      <w:pPr>
        <w:pStyle w:val="ListBullet"/>
        <w:spacing w:before="20" w:after="60" w:line="276" w:lineRule="auto"/>
      </w:pPr>
      <w:r>
        <w:rPr>
          <w:b/>
          <w:color w:val="000000"/>
        </w:rPr>
        <w:t xml:space="preserve">10.4 Final Settlement: </w:t>
      </w:r>
      <w:r>
        <w:rPr>
          <w:color w:val="000000"/>
        </w:rPr>
        <w:t>The Client shall pay all outstanding monthly retainer fees accrued up to the effective date of termination.</w:t>
      </w:r>
    </w:p>
    <w:p>
      <w:pPr>
        <w:keepNext/>
        <w:spacing w:before="280" w:after="80"/>
      </w:pPr>
      <w:r>
        <w:rPr>
          <w:rFonts w:ascii="Calibri" w:hAnsi="Calibri"/>
          <w:b/>
          <w:color w:val="000000"/>
          <w:sz w:val="24"/>
        </w:rPr>
        <w:t xml:space="preserve">11. </w:t>
      </w:r>
      <w:r>
        <w:rPr>
          <w:rFonts w:ascii="Calibri" w:hAnsi="Calibri"/>
          <w:b/>
          <w:color w:val="000000"/>
          <w:sz w:val="24"/>
        </w:rPr>
        <w:t>WARRANTIES, INDEMNITY &amp; LIMITATION OF LIABILITY</w:t>
      </w:r>
    </w:p>
    <w:p>
      <w:pPr>
        <w:pStyle w:val="ListBullet"/>
        <w:spacing w:before="20" w:after="60" w:line="276" w:lineRule="auto"/>
      </w:pPr>
      <w:r>
        <w:rPr>
          <w:b/>
          <w:color w:val="000000"/>
        </w:rPr>
        <w:t xml:space="preserve">11.1 Quality of Workmanship: </w:t>
      </w:r>
      <w:r>
        <w:rPr>
          <w:color w:val="000000"/>
        </w:rPr>
        <w:t>The Developer warrants that all engineering, bug fixes, code updates, and technical services performed hereunder shall be executed in a professional, workmanlike manner conforming to prevailing industry software engineering standards.</w:t>
      </w:r>
    </w:p>
    <w:p>
      <w:pPr>
        <w:pStyle w:val="ListBullet"/>
        <w:spacing w:before="20" w:after="60" w:line="276" w:lineRule="auto"/>
      </w:pPr>
      <w:r>
        <w:rPr>
          <w:b/>
          <w:color w:val="000000"/>
        </w:rPr>
        <w:t xml:space="preserve">11.2 Force Majeure &amp; Upstream Outages: </w:t>
      </w:r>
      <w:r>
        <w:rPr>
          <w:color w:val="000000"/>
        </w:rPr>
        <w:t>The Developer shall not be held liable for website downtime, order processing delays, or system failures caused by third-party infrastructure outages (e.g., global AWS, Supabase, Vercel, or cloud network outages), telecommunication failures, cyber warfare, or acts of God beyond reasonable control.</w:t>
      </w:r>
    </w:p>
    <w:p>
      <w:pPr>
        <w:pStyle w:val="ListBullet"/>
        <w:spacing w:before="20" w:after="60" w:line="276" w:lineRule="auto"/>
      </w:pPr>
      <w:r>
        <w:rPr>
          <w:b/>
          <w:color w:val="000000"/>
        </w:rPr>
        <w:t xml:space="preserve">11.3 Limitation of Liability: </w:t>
      </w:r>
      <w:r>
        <w:rPr>
          <w:color w:val="000000"/>
        </w:rPr>
        <w:t>To the maximum extent permitted by applicable Indian law, neither party shall be liable for indirect, incidental, punitive, or consequential damages (including lost profits). The maximum aggregate financial liability of the Developer arising out of or relating to this Agreement, whether in contract, tort, or otherwise, shall be strictly capped at the total amount of fees actually paid by the Client to the Developer under this Agreement during the three (3) months preceding the incident.</w:t>
      </w:r>
    </w:p>
    <w:p>
      <w:pPr>
        <w:keepNext/>
        <w:spacing w:before="280" w:after="80"/>
      </w:pPr>
      <w:r>
        <w:rPr>
          <w:rFonts w:ascii="Calibri" w:hAnsi="Calibri"/>
          <w:b/>
          <w:color w:val="000000"/>
          <w:sz w:val="24"/>
        </w:rPr>
        <w:t xml:space="preserve">12. </w:t>
      </w:r>
      <w:r>
        <w:rPr>
          <w:rFonts w:ascii="Calibri" w:hAnsi="Calibri"/>
          <w:b/>
          <w:color w:val="000000"/>
          <w:sz w:val="24"/>
        </w:rPr>
        <w:t>GOVERNING LAW, JURISDICTION &amp; ARBITRATION</w:t>
      </w:r>
    </w:p>
    <w:p>
      <w:pPr>
        <w:pStyle w:val="ListBullet"/>
        <w:spacing w:before="20" w:after="60" w:line="276" w:lineRule="auto"/>
      </w:pPr>
      <w:r>
        <w:rPr>
          <w:b/>
          <w:color w:val="000000"/>
        </w:rPr>
        <w:t xml:space="preserve">12.1 Governing Law: </w:t>
      </w:r>
      <w:r>
        <w:rPr>
          <w:color w:val="000000"/>
        </w:rPr>
        <w:t>This Agreement shall be governed, interpreted, and construed in accordance with the substantive laws of the Republic of India.</w:t>
      </w:r>
    </w:p>
    <w:p>
      <w:pPr>
        <w:pStyle w:val="ListBullet"/>
        <w:spacing w:before="20" w:after="60" w:line="276" w:lineRule="auto"/>
      </w:pPr>
      <w:r>
        <w:rPr>
          <w:b/>
          <w:color w:val="000000"/>
        </w:rPr>
        <w:t xml:space="preserve">12.2 Amicable Settlement: </w:t>
      </w:r>
      <w:r>
        <w:rPr>
          <w:color w:val="000000"/>
        </w:rPr>
        <w:t>In the event of any controversy, claim, or dispute arising out of or relating to this Agreement, the authorized representatives of both parties shall first attempt to resolve the dispute cordially through mutual executive discussion within thirty (30) days.</w:t>
      </w:r>
    </w:p>
    <w:p>
      <w:pPr>
        <w:pStyle w:val="ListBullet"/>
        <w:spacing w:before="20" w:after="60" w:line="276" w:lineRule="auto"/>
      </w:pPr>
      <w:r>
        <w:rPr>
          <w:b/>
          <w:color w:val="000000"/>
        </w:rPr>
        <w:t xml:space="preserve">12.3 Arbitration: </w:t>
      </w:r>
      <w:r>
        <w:rPr>
          <w:color w:val="000000"/>
        </w:rPr>
        <w:t>If the dispute cannot be settled amicably, it shall be referred to and finally resolved by binding arbitration under the Arbitration and Conciliation Act, 1996. The arbitration tribunal shall consist of a sole arbitrator appointed by mutual consent of the parties. The seat and venue of arbitration shall be Bengaluru, Karnataka, and the proceedings shall be conducted in English.</w:t>
      </w:r>
    </w:p>
    <w:p>
      <w:pPr>
        <w:pStyle w:val="ListBullet"/>
        <w:spacing w:before="20" w:after="60" w:line="276" w:lineRule="auto"/>
      </w:pPr>
      <w:r>
        <w:rPr>
          <w:b/>
          <w:color w:val="000000"/>
        </w:rPr>
        <w:t xml:space="preserve">12.4 Jurisdiction: </w:t>
      </w:r>
      <w:r>
        <w:rPr>
          <w:color w:val="000000"/>
        </w:rPr>
        <w:t>Subject to arbitration, the civil courts of competent jurisdiction in Bengaluru, Karnataka shall have exclusive territorial jurisdiction over any legal proceedings arising hereunder.</w:t>
      </w:r>
    </w:p>
    <w:p>
      <w:pPr>
        <w:keepNext/>
        <w:spacing w:before="280" w:after="80"/>
      </w:pPr>
      <w:r>
        <w:rPr>
          <w:rFonts w:ascii="Calibri" w:hAnsi="Calibri"/>
          <w:b/>
          <w:color w:val="000000"/>
          <w:sz w:val="24"/>
        </w:rPr>
        <w:t xml:space="preserve">13. </w:t>
      </w:r>
      <w:r>
        <w:rPr>
          <w:rFonts w:ascii="Calibri" w:hAnsi="Calibri"/>
          <w:b/>
          <w:color w:val="000000"/>
          <w:sz w:val="24"/>
        </w:rPr>
        <w:t>MISCELLANEOUS PROVISIONS</w:t>
      </w:r>
    </w:p>
    <w:p>
      <w:pPr>
        <w:pStyle w:val="ListBullet"/>
        <w:spacing w:before="20" w:after="60" w:line="276" w:lineRule="auto"/>
      </w:pPr>
      <w:r>
        <w:rPr>
          <w:b/>
          <w:color w:val="000000"/>
        </w:rPr>
        <w:t xml:space="preserve">13.1 Entire Agreement: </w:t>
      </w:r>
      <w:r>
        <w:rPr>
          <w:color w:val="000000"/>
        </w:rPr>
        <w:t>This Agreement, together with Schedules A, B, C, and D attached hereto, constitutes the complete and exclusive understanding between the parties, superseding all prior oral or written negotiations, proposals, or communications.</w:t>
      </w:r>
    </w:p>
    <w:p>
      <w:pPr>
        <w:pStyle w:val="ListBullet"/>
        <w:spacing w:before="20" w:after="60" w:line="276" w:lineRule="auto"/>
      </w:pPr>
      <w:r>
        <w:rPr>
          <w:b/>
          <w:color w:val="000000"/>
        </w:rPr>
        <w:t xml:space="preserve">13.2 Amendments: </w:t>
      </w:r>
      <w:r>
        <w:rPr>
          <w:color w:val="000000"/>
        </w:rPr>
        <w:t>No variation, modification, or waiver of any provision of this Agreement shall be valid unless executed in writing and signed by authorized representatives of both parties.</w:t>
      </w:r>
    </w:p>
    <w:p>
      <w:pPr>
        <w:pStyle w:val="ListBullet"/>
        <w:spacing w:before="20" w:after="60" w:line="276" w:lineRule="auto"/>
      </w:pPr>
      <w:r>
        <w:rPr>
          <w:b/>
          <w:color w:val="000000"/>
        </w:rPr>
        <w:t xml:space="preserve">13.3 Severability: </w:t>
      </w:r>
      <w:r>
        <w:rPr>
          <w:color w:val="000000"/>
        </w:rPr>
        <w:t>If any provision of this Agreement is held to be invalid, illegal, or unenforceable, the validity and enforceability of the remaining provisions shall not in any way be affected or impaired.</w:t>
      </w:r>
    </w:p>
    <w:p>
      <w:pPr>
        <w:pStyle w:val="ListBullet"/>
        <w:spacing w:before="20" w:after="60" w:line="276" w:lineRule="auto"/>
      </w:pPr>
      <w:r>
        <w:rPr>
          <w:b/>
          <w:color w:val="000000"/>
        </w:rPr>
        <w:t xml:space="preserve">13.4 Non-Exclusivity: </w:t>
      </w:r>
      <w:r>
        <w:rPr>
          <w:color w:val="000000"/>
        </w:rPr>
        <w:t>The relationship between the parties is that of independent contractors. Nothing in this Agreement shall be construed to create an employer-employee, partnership, or joint-venture relationship. The Developer is free to perform software engineering services for other non-competing entities.</w:t>
      </w:r>
    </w:p>
    <w:p>
      <w:pPr>
        <w:keepNext/>
        <w:spacing w:before="280" w:after="80"/>
      </w:pPr>
      <w:r>
        <w:rPr>
          <w:rFonts w:ascii="Calibri" w:hAnsi="Calibri"/>
          <w:b/>
          <w:color w:val="000000"/>
          <w:sz w:val="24"/>
        </w:rPr>
        <w:t xml:space="preserve">14. </w:t>
      </w:r>
      <w:r>
        <w:rPr>
          <w:rFonts w:ascii="Calibri" w:hAnsi="Calibri"/>
          <w:b/>
          <w:color w:val="000000"/>
          <w:sz w:val="24"/>
        </w:rPr>
        <w:t>EXECUTION AND SIGNATURES</w:t>
      </w:r>
    </w:p>
    <w:p>
      <w:pPr>
        <w:spacing w:before="40" w:after="100" w:line="276" w:lineRule="auto"/>
      </w:pPr>
      <w:r>
        <w:rPr>
          <w:color w:val="000000"/>
        </w:rPr>
        <w:t>IN WITNESS WHEREOF, the Parties hereto have caused this Web Development &amp; Retainer Agreement to be duly executed by their authorized signatories as of the Effective Date written above: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08"/>
            <w:shd w:fill="FFFFFF"/>
            <w:tcMar>
              <w:top w:w="160" w:type="dxa"/>
              <w:bottom w:w="160" w:type="dxa"/>
              <w:left w:w="160" w:type="dxa"/>
              <w:right w:w="160" w:type="dxa"/>
            </w:tcMar>
          </w:tcPr>
          <w:p>
            <w:pPr>
              <w:spacing w:line="288" w:lineRule="auto"/>
            </w:pPr>
            <w:r>
              <w:rPr>
                <w:b/>
                <w:color w:val="000000"/>
                <w:sz w:val="20"/>
              </w:rPr>
              <w:t>FOR AND ON BEHALF OF CLIENT:</w:t>
              <w:br/>
            </w:r>
            <w:r>
              <w:rPr>
                <w:b/>
                <w:color w:val="000000"/>
                <w:sz w:val="19"/>
              </w:rPr>
              <w:t>ZAFIROO GOURMET CAFE &amp; CLOUD KITCHEN</w:t>
              <w:br/>
              <w:br/>
              <w:br/>
              <w:br/>
            </w:r>
            <w:r>
              <w:rPr>
                <w:color w:val="000000"/>
                <w:sz w:val="18"/>
              </w:rPr>
              <w:t>_____________________________________</w:t>
              <w:br/>
              <w:t>Authorized Signatory</w:t>
              <w:br/>
              <w:br/>
              <w:t>Name: _______________________________</w:t>
              <w:br/>
              <w:t>Designation: Proprietor / Managing Partner</w:t>
              <w:br/>
              <w:t>Date: _______________________________</w:t>
              <w:br/>
              <w:t>Place: Bengaluru, Karnataka</w:t>
              <w:br/>
              <w:t>Official Seal / Stamp:</w:t>
              <w:br/>
              <w:br/>
            </w:r>
          </w:p>
        </w:tc>
        <w:tc>
          <w:tcPr>
            <w:tcW w:type="dxa" w:w="4608"/>
            <w:shd w:fill="FFFFFF"/>
            <w:tcMar>
              <w:top w:w="160" w:type="dxa"/>
              <w:bottom w:w="160" w:type="dxa"/>
              <w:left w:w="160" w:type="dxa"/>
              <w:right w:w="160" w:type="dxa"/>
            </w:tcMar>
          </w:tcPr>
          <w:p>
            <w:pPr>
              <w:spacing w:line="288" w:lineRule="auto"/>
            </w:pPr>
            <w:r>
              <w:rPr>
                <w:b/>
                <w:color w:val="000000"/>
                <w:sz w:val="20"/>
              </w:rPr>
              <w:t>FOR AND ON BEHALF OF SERVICE PROVIDER:</w:t>
              <w:br/>
            </w:r>
            <w:r>
              <w:rPr>
                <w:b/>
                <w:color w:val="000000"/>
                <w:sz w:val="19"/>
              </w:rPr>
              <w:t>[DEVELOPER / ENGINEERING FIRM NAME]</w:t>
              <w:br/>
              <w:br/>
              <w:br/>
              <w:br/>
            </w:r>
            <w:r>
              <w:rPr>
                <w:color w:val="000000"/>
                <w:sz w:val="18"/>
              </w:rPr>
              <w:t>_____________________________________</w:t>
              <w:br/>
              <w:t>Authorized Signatory</w:t>
              <w:br/>
              <w:br/>
              <w:t>Name: _______________________________</w:t>
              <w:br/>
              <w:t>Title: Lead Full-Stack Engineer / Principal</w:t>
              <w:br/>
              <w:t>Date: _______________________________</w:t>
              <w:br/>
              <w:t>Place: Bengaluru, Karnataka</w:t>
              <w:br/>
              <w:t>Official Seal / Stamp:</w:t>
              <w:br/>
              <w:br/>
            </w:r>
          </w:p>
        </w:tc>
      </w:tr>
    </w:tbl>
    <w:p/>
    <w:p>
      <w:pPr>
        <w:spacing w:before="160" w:after="80"/>
      </w:pPr>
      <w:r>
        <w:rPr>
          <w:b/>
          <w:color w:val="000000"/>
          <w:sz w:val="20"/>
        </w:rPr>
        <w:t>IN THE PRESENCE OF WITNESSES: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08"/>
            <w:shd w:fill="FFFFFF"/>
            <w:tcMar>
              <w:top w:w="100" w:type="dxa"/>
              <w:bottom w:w="100" w:type="dxa"/>
              <w:left w:w="120" w:type="dxa"/>
              <w:right w:w="120" w:type="dxa"/>
            </w:tcMar>
          </w:tcPr>
          <w:p>
            <w:r>
              <w:rPr>
                <w:color w:val="000000"/>
                <w:sz w:val="17"/>
              </w:rPr>
              <w:t>Witness 1 (For Client):</w:t>
              <w:br/>
              <w:t>Signature: ___________________________</w:t>
              <w:br/>
              <w:t>Name: _______________________________</w:t>
              <w:br/>
              <w:t>Address: ____________________________</w:t>
            </w:r>
          </w:p>
        </w:tc>
        <w:tc>
          <w:tcPr>
            <w:tcW w:type="dxa" w:w="4608"/>
            <w:shd w:fill="FFFFFF"/>
            <w:tcMar>
              <w:top w:w="100" w:type="dxa"/>
              <w:bottom w:w="100" w:type="dxa"/>
              <w:left w:w="120" w:type="dxa"/>
              <w:right w:w="120" w:type="dxa"/>
            </w:tcMar>
          </w:tcPr>
          <w:p>
            <w:r>
              <w:rPr>
                <w:color w:val="000000"/>
                <w:sz w:val="17"/>
              </w:rPr>
              <w:t>Witness 2 (For Developer):</w:t>
              <w:br/>
              <w:t>Signature: ___________________________</w:t>
              <w:br/>
              <w:t>Name: _______________________________</w:t>
              <w:br/>
              <w:t>Address: ____________________________</w:t>
            </w:r>
          </w:p>
        </w:tc>
      </w:tr>
    </w:tbl>
    <w:p>
      <w:r>
        <w:br w:type="page"/>
      </w:r>
    </w:p>
    <w:p>
      <w:pPr>
        <w:spacing w:before="0" w:after="40"/>
      </w:pPr>
      <w:r>
        <w:rPr>
          <w:b/>
          <w:color w:val="000000"/>
          <w:sz w:val="21"/>
        </w:rPr>
        <w:t>ANNEXURES &amp; TECHNICAL SCHEDULES</w:t>
      </w:r>
    </w:p>
    <w:p>
      <w:pPr>
        <w:spacing w:after="240"/>
      </w:pPr>
      <w:r>
        <w:rPr>
          <w:b/>
          <w:color w:val="000000"/>
          <w:sz w:val="32"/>
        </w:rPr>
        <w:t>Schedules Attached to the Agreement</w:t>
      </w:r>
    </w:p>
    <w:p>
      <w:pPr>
        <w:keepNext/>
        <w:spacing w:before="280" w:after="80"/>
      </w:pPr>
      <w:r>
        <w:rPr>
          <w:rFonts w:ascii="Calibri" w:hAnsi="Calibri"/>
          <w:b/>
          <w:color w:val="000000"/>
          <w:sz w:val="24"/>
        </w:rPr>
        <w:t xml:space="preserve">A. </w:t>
      </w:r>
      <w:r>
        <w:rPr>
          <w:rFonts w:ascii="Calibri" w:hAnsi="Calibri"/>
          <w:b/>
          <w:color w:val="000000"/>
          <w:sz w:val="24"/>
        </w:rPr>
        <w:t>SCHEDULE A: TECHNICAL ARCHITECTURE &amp; STACK INVENTORY</w:t>
      </w:r>
    </w:p>
    <w:p>
      <w:pPr>
        <w:spacing w:before="40" w:after="100" w:line="276" w:lineRule="auto"/>
      </w:pPr>
      <w:r>
        <w:rPr>
          <w:color w:val="000000"/>
        </w:rPr>
        <w:t>The web application governed by this 3-year Agreement incorporates the following technical modules and architectural stack:</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160"/>
            <w:shd w:fill="E5E5E5"/>
            <w:tcMar>
              <w:top w:w="100" w:type="dxa"/>
              <w:bottom w:w="100" w:type="dxa"/>
              <w:left w:w="100" w:type="dxa"/>
              <w:right w:w="100" w:type="dxa"/>
            </w:tcMar>
          </w:tcPr>
          <w:p>
            <w:r>
              <w:rPr>
                <w:b/>
                <w:color w:val="000000"/>
                <w:sz w:val="18"/>
              </w:rPr>
              <w:t>Layer</w:t>
            </w:r>
          </w:p>
        </w:tc>
        <w:tc>
          <w:tcPr>
            <w:tcW w:type="dxa" w:w="3168"/>
            <w:shd w:fill="E5E5E5"/>
            <w:tcMar>
              <w:top w:w="100" w:type="dxa"/>
              <w:bottom w:w="100" w:type="dxa"/>
              <w:left w:w="100" w:type="dxa"/>
              <w:right w:w="100" w:type="dxa"/>
            </w:tcMar>
          </w:tcPr>
          <w:p>
            <w:r>
              <w:rPr>
                <w:b/>
                <w:color w:val="000000"/>
                <w:sz w:val="18"/>
              </w:rPr>
              <w:t>Technologies Deployed</w:t>
            </w:r>
          </w:p>
        </w:tc>
        <w:tc>
          <w:tcPr>
            <w:tcW w:type="dxa" w:w="4032"/>
            <w:shd w:fill="E5E5E5"/>
            <w:tcMar>
              <w:top w:w="100" w:type="dxa"/>
              <w:bottom w:w="100" w:type="dxa"/>
              <w:left w:w="100" w:type="dxa"/>
              <w:right w:w="100" w:type="dxa"/>
            </w:tcMar>
          </w:tcPr>
          <w:p>
            <w:r>
              <w:rPr>
                <w:b/>
                <w:color w:val="000000"/>
                <w:sz w:val="18"/>
              </w:rPr>
              <w:t>Operational Functionality</w:t>
            </w:r>
          </w:p>
        </w:tc>
      </w:tr>
      <w:tr>
        <w:tc>
          <w:tcPr>
            <w:tcW w:type="dxa" w:w="2160"/>
            <w:shd w:fill="FFFFFF"/>
            <w:tcMar>
              <w:top w:w="80" w:type="dxa"/>
              <w:bottom w:w="80" w:type="dxa"/>
              <w:left w:w="100" w:type="dxa"/>
              <w:right w:w="100" w:type="dxa"/>
            </w:tcMar>
          </w:tcPr>
          <w:p>
            <w:r>
              <w:rPr>
                <w:b/>
                <w:color w:val="000000"/>
                <w:sz w:val="17"/>
              </w:rPr>
              <w:t>Frontend Application</w:t>
            </w:r>
          </w:p>
        </w:tc>
        <w:tc>
          <w:tcPr>
            <w:tcW w:type="dxa" w:w="3168"/>
            <w:shd w:fill="FFFFFF"/>
            <w:tcMar>
              <w:top w:w="80" w:type="dxa"/>
              <w:bottom w:w="80" w:type="dxa"/>
              <w:left w:w="100" w:type="dxa"/>
              <w:right w:w="100" w:type="dxa"/>
            </w:tcMar>
          </w:tcPr>
          <w:p>
            <w:r>
              <w:rPr>
                <w:color w:val="000000"/>
                <w:sz w:val="17"/>
              </w:rPr>
              <w:t>Next.js 15 (App Router), React 19, TypeScript 5.7+</w:t>
            </w:r>
          </w:p>
        </w:tc>
        <w:tc>
          <w:tcPr>
            <w:tcW w:type="dxa" w:w="4032"/>
            <w:shd w:fill="FFFFFF"/>
            <w:tcMar>
              <w:top w:w="80" w:type="dxa"/>
              <w:bottom w:w="80" w:type="dxa"/>
              <w:left w:w="100" w:type="dxa"/>
              <w:right w:w="100" w:type="dxa"/>
            </w:tcMar>
          </w:tcPr>
          <w:p>
            <w:r>
              <w:rPr>
                <w:color w:val="000000"/>
                <w:sz w:val="17"/>
              </w:rPr>
              <w:t>Server-side rendering, dynamic imports for modals, high-speed mobile web responsiveness.</w:t>
            </w:r>
          </w:p>
        </w:tc>
      </w:tr>
      <w:tr>
        <w:tc>
          <w:tcPr>
            <w:tcW w:type="dxa" w:w="2160"/>
            <w:shd w:fill="FFFFFF"/>
            <w:tcMar>
              <w:top w:w="80" w:type="dxa"/>
              <w:bottom w:w="80" w:type="dxa"/>
              <w:left w:w="100" w:type="dxa"/>
              <w:right w:w="100" w:type="dxa"/>
            </w:tcMar>
          </w:tcPr>
          <w:p>
            <w:r>
              <w:rPr>
                <w:b/>
                <w:color w:val="000000"/>
                <w:sz w:val="17"/>
              </w:rPr>
              <w:t>Design &amp; Motion</w:t>
            </w:r>
          </w:p>
        </w:tc>
        <w:tc>
          <w:tcPr>
            <w:tcW w:type="dxa" w:w="3168"/>
            <w:shd w:fill="FFFFFF"/>
            <w:tcMar>
              <w:top w:w="80" w:type="dxa"/>
              <w:bottom w:w="80" w:type="dxa"/>
              <w:left w:w="100" w:type="dxa"/>
              <w:right w:w="100" w:type="dxa"/>
            </w:tcMar>
          </w:tcPr>
          <w:p>
            <w:r>
              <w:rPr>
                <w:color w:val="000000"/>
                <w:sz w:val="17"/>
              </w:rPr>
              <w:t>Tailwind CSS 3.4, Framer Motion 12, Three.js, GSAP</w:t>
            </w:r>
          </w:p>
        </w:tc>
        <w:tc>
          <w:tcPr>
            <w:tcW w:type="dxa" w:w="4032"/>
            <w:shd w:fill="FFFFFF"/>
            <w:tcMar>
              <w:top w:w="80" w:type="dxa"/>
              <w:bottom w:w="80" w:type="dxa"/>
              <w:left w:w="100" w:type="dxa"/>
              <w:right w:w="100" w:type="dxa"/>
            </w:tcMar>
          </w:tcPr>
          <w:p>
            <w:r>
              <w:rPr>
                <w:color w:val="000000"/>
                <w:sz w:val="17"/>
              </w:rPr>
              <w:t>Luxury cafe aesthetic, interactive customizers, micro-interactions, canvas effects.</w:t>
            </w:r>
          </w:p>
        </w:tc>
      </w:tr>
      <w:tr>
        <w:tc>
          <w:tcPr>
            <w:tcW w:type="dxa" w:w="2160"/>
            <w:shd w:fill="FFFFFF"/>
            <w:tcMar>
              <w:top w:w="80" w:type="dxa"/>
              <w:bottom w:w="80" w:type="dxa"/>
              <w:left w:w="100" w:type="dxa"/>
              <w:right w:w="100" w:type="dxa"/>
            </w:tcMar>
          </w:tcPr>
          <w:p>
            <w:r>
              <w:rPr>
                <w:b/>
                <w:color w:val="000000"/>
                <w:sz w:val="17"/>
              </w:rPr>
              <w:t>Database &amp; Realtime</w:t>
            </w:r>
          </w:p>
        </w:tc>
        <w:tc>
          <w:tcPr>
            <w:tcW w:type="dxa" w:w="3168"/>
            <w:shd w:fill="FFFFFF"/>
            <w:tcMar>
              <w:top w:w="80" w:type="dxa"/>
              <w:bottom w:w="80" w:type="dxa"/>
              <w:left w:w="100" w:type="dxa"/>
              <w:right w:w="100" w:type="dxa"/>
            </w:tcMar>
          </w:tcPr>
          <w:p>
            <w:r>
              <w:rPr>
                <w:color w:val="000000"/>
                <w:sz w:val="17"/>
              </w:rPr>
              <w:t>Supabase (PostgreSQL 15), Realtime WebSockets</w:t>
            </w:r>
          </w:p>
        </w:tc>
        <w:tc>
          <w:tcPr>
            <w:tcW w:type="dxa" w:w="4032"/>
            <w:shd w:fill="FFFFFF"/>
            <w:tcMar>
              <w:top w:w="80" w:type="dxa"/>
              <w:bottom w:w="80" w:type="dxa"/>
              <w:left w:w="100" w:type="dxa"/>
              <w:right w:w="100" w:type="dxa"/>
            </w:tcMar>
          </w:tcPr>
          <w:p>
            <w:r>
              <w:rPr>
                <w:color w:val="000000"/>
                <w:sz w:val="17"/>
              </w:rPr>
              <w:t>Menu storage, order records, customer addresses, rider location channel broadcast.</w:t>
            </w:r>
          </w:p>
        </w:tc>
      </w:tr>
      <w:tr>
        <w:tc>
          <w:tcPr>
            <w:tcW w:type="dxa" w:w="2160"/>
            <w:shd w:fill="FFFFFF"/>
            <w:tcMar>
              <w:top w:w="80" w:type="dxa"/>
              <w:bottom w:w="80" w:type="dxa"/>
              <w:left w:w="100" w:type="dxa"/>
              <w:right w:w="100" w:type="dxa"/>
            </w:tcMar>
          </w:tcPr>
          <w:p>
            <w:r>
              <w:rPr>
                <w:b/>
                <w:color w:val="000000"/>
                <w:sz w:val="17"/>
              </w:rPr>
              <w:t>Kitchen Operations</w:t>
            </w:r>
          </w:p>
        </w:tc>
        <w:tc>
          <w:tcPr>
            <w:tcW w:type="dxa" w:w="3168"/>
            <w:shd w:fill="FFFFFF"/>
            <w:tcMar>
              <w:top w:w="80" w:type="dxa"/>
              <w:bottom w:w="80" w:type="dxa"/>
              <w:left w:w="100" w:type="dxa"/>
              <w:right w:w="100" w:type="dxa"/>
            </w:tcMar>
          </w:tcPr>
          <w:p>
            <w:r>
              <w:rPr>
                <w:color w:val="000000"/>
                <w:sz w:val="17"/>
              </w:rPr>
              <w:t>Next.js Route Handlers, Web Audio API Synth</w:t>
            </w:r>
          </w:p>
        </w:tc>
        <w:tc>
          <w:tcPr>
            <w:tcW w:type="dxa" w:w="4032"/>
            <w:shd w:fill="FFFFFF"/>
            <w:tcMar>
              <w:top w:w="80" w:type="dxa"/>
              <w:bottom w:w="80" w:type="dxa"/>
              <w:left w:w="100" w:type="dxa"/>
              <w:right w:w="100" w:type="dxa"/>
            </w:tcMar>
          </w:tcPr>
          <w:p>
            <w:r>
              <w:rPr>
                <w:color w:val="000000"/>
                <w:sz w:val="17"/>
              </w:rPr>
              <w:t>Live Kitchen Display System (KDS) pipeline, polyphonic bell chime, SOS siren synthesizer.</w:t>
            </w:r>
          </w:p>
        </w:tc>
      </w:tr>
      <w:tr>
        <w:tc>
          <w:tcPr>
            <w:tcW w:type="dxa" w:w="2160"/>
            <w:shd w:fill="FFFFFF"/>
            <w:tcMar>
              <w:top w:w="80" w:type="dxa"/>
              <w:bottom w:w="80" w:type="dxa"/>
              <w:left w:w="100" w:type="dxa"/>
              <w:right w:w="100" w:type="dxa"/>
            </w:tcMar>
          </w:tcPr>
          <w:p>
            <w:r>
              <w:rPr>
                <w:b/>
                <w:color w:val="000000"/>
                <w:sz w:val="17"/>
              </w:rPr>
              <w:t>Delivery Logistics</w:t>
            </w:r>
          </w:p>
        </w:tc>
        <w:tc>
          <w:tcPr>
            <w:tcW w:type="dxa" w:w="3168"/>
            <w:shd w:fill="FFFFFF"/>
            <w:tcMar>
              <w:top w:w="80" w:type="dxa"/>
              <w:bottom w:w="80" w:type="dxa"/>
              <w:left w:w="100" w:type="dxa"/>
              <w:right w:w="100" w:type="dxa"/>
            </w:tcMar>
          </w:tcPr>
          <w:p>
            <w:r>
              <w:rPr>
                <w:color w:val="000000"/>
                <w:sz w:val="17"/>
              </w:rPr>
              <w:t>Mobile Rider Portal, Nominatim OSM, Google Maps URL</w:t>
            </w:r>
          </w:p>
        </w:tc>
        <w:tc>
          <w:tcPr>
            <w:tcW w:type="dxa" w:w="4032"/>
            <w:shd w:fill="FFFFFF"/>
            <w:tcMar>
              <w:top w:w="80" w:type="dxa"/>
              <w:bottom w:w="80" w:type="dxa"/>
              <w:left w:w="100" w:type="dxa"/>
              <w:right w:w="100" w:type="dxa"/>
            </w:tcMar>
          </w:tcPr>
          <w:p>
            <w:r>
              <w:rPr>
                <w:color w:val="000000"/>
                <w:sz w:val="17"/>
              </w:rPr>
              <w:t>1-click turn-by-turn navigation, mandatory 4-digit doorstep delivery OTP check, emergency SOS.</w:t>
            </w:r>
          </w:p>
        </w:tc>
      </w:tr>
      <w:tr>
        <w:tc>
          <w:tcPr>
            <w:tcW w:type="dxa" w:w="2160"/>
            <w:shd w:fill="FFFFFF"/>
            <w:tcMar>
              <w:top w:w="80" w:type="dxa"/>
              <w:bottom w:w="80" w:type="dxa"/>
              <w:left w:w="100" w:type="dxa"/>
              <w:right w:w="100" w:type="dxa"/>
            </w:tcMar>
          </w:tcPr>
          <w:p>
            <w:r>
              <w:rPr>
                <w:b/>
                <w:color w:val="000000"/>
                <w:sz w:val="17"/>
              </w:rPr>
              <w:t>Payment Gateways</w:t>
            </w:r>
          </w:p>
        </w:tc>
        <w:tc>
          <w:tcPr>
            <w:tcW w:type="dxa" w:w="3168"/>
            <w:shd w:fill="FFFFFF"/>
            <w:tcMar>
              <w:top w:w="80" w:type="dxa"/>
              <w:bottom w:w="80" w:type="dxa"/>
              <w:left w:w="100" w:type="dxa"/>
              <w:right w:w="100" w:type="dxa"/>
            </w:tcMar>
          </w:tcPr>
          <w:p>
            <w:r>
              <w:rPr>
                <w:color w:val="000000"/>
                <w:sz w:val="17"/>
              </w:rPr>
              <w:t>Cashfree PG SDK + Razorpay SDK</w:t>
            </w:r>
          </w:p>
        </w:tc>
        <w:tc>
          <w:tcPr>
            <w:tcW w:type="dxa" w:w="4032"/>
            <w:shd w:fill="FFFFFF"/>
            <w:tcMar>
              <w:top w:w="80" w:type="dxa"/>
              <w:bottom w:w="80" w:type="dxa"/>
              <w:left w:w="100" w:type="dxa"/>
              <w:right w:w="100" w:type="dxa"/>
            </w:tcMar>
          </w:tcPr>
          <w:p>
            <w:r>
              <w:rPr>
                <w:color w:val="000000"/>
                <w:sz w:val="17"/>
              </w:rPr>
              <w:t>Seamless UPI QR, card processing, net banking, instant status callbacks, auto-refund routing.</w:t>
            </w:r>
          </w:p>
        </w:tc>
      </w:tr>
      <w:tr>
        <w:tc>
          <w:tcPr>
            <w:tcW w:type="dxa" w:w="2160"/>
            <w:shd w:fill="FFFFFF"/>
            <w:tcMar>
              <w:top w:w="80" w:type="dxa"/>
              <w:bottom w:w="80" w:type="dxa"/>
              <w:left w:w="100" w:type="dxa"/>
              <w:right w:w="100" w:type="dxa"/>
            </w:tcMar>
          </w:tcPr>
          <w:p>
            <w:r>
              <w:rPr>
                <w:b/>
                <w:color w:val="000000"/>
                <w:sz w:val="17"/>
              </w:rPr>
              <w:t>Customer Engagement</w:t>
            </w:r>
          </w:p>
        </w:tc>
        <w:tc>
          <w:tcPr>
            <w:tcW w:type="dxa" w:w="3168"/>
            <w:shd w:fill="FFFFFF"/>
            <w:tcMar>
              <w:top w:w="80" w:type="dxa"/>
              <w:bottom w:w="80" w:type="dxa"/>
              <w:left w:w="100" w:type="dxa"/>
              <w:right w:w="100" w:type="dxa"/>
            </w:tcMar>
          </w:tcPr>
          <w:p>
            <w:r>
              <w:rPr>
                <w:color w:val="000000"/>
                <w:sz w:val="17"/>
              </w:rPr>
              <w:t>WhatsApp Cloud API / wa.me link generation</w:t>
            </w:r>
          </w:p>
        </w:tc>
        <w:tc>
          <w:tcPr>
            <w:tcW w:type="dxa" w:w="4032"/>
            <w:shd w:fill="FFFFFF"/>
            <w:tcMar>
              <w:top w:w="80" w:type="dxa"/>
              <w:bottom w:w="80" w:type="dxa"/>
              <w:left w:w="100" w:type="dxa"/>
              <w:right w:w="100" w:type="dxa"/>
            </w:tcMar>
          </w:tcPr>
          <w:p>
            <w:r>
              <w:rPr>
                <w:color w:val="000000"/>
                <w:sz w:val="17"/>
              </w:rPr>
              <w:t>Automated order confirmation, live delivery link sharing, OTP delivery alerts.</w:t>
            </w:r>
          </w:p>
        </w:tc>
      </w:tr>
    </w:tbl>
    <w:p/>
    <w:p>
      <w:pPr>
        <w:keepNext/>
        <w:spacing w:before="280" w:after="80"/>
      </w:pPr>
      <w:r>
        <w:rPr>
          <w:rFonts w:ascii="Calibri" w:hAnsi="Calibri"/>
          <w:b/>
          <w:color w:val="000000"/>
          <w:sz w:val="24"/>
        </w:rPr>
        <w:t xml:space="preserve">B. </w:t>
      </w:r>
      <w:r>
        <w:rPr>
          <w:rFonts w:ascii="Calibri" w:hAnsi="Calibri"/>
          <w:b/>
          <w:color w:val="000000"/>
          <w:sz w:val="24"/>
        </w:rPr>
        <w:t>SCHEDULE B: ROUTINE MONTHLY MAINTENANCE CHECKLIST</w:t>
      </w:r>
    </w:p>
    <w:p>
      <w:pPr>
        <w:spacing w:before="40" w:after="100" w:line="276" w:lineRule="auto"/>
      </w:pPr>
      <w:r>
        <w:rPr>
          <w:color w:val="000000"/>
        </w:rPr>
        <w:t>The Developer undertakes to execute the following recurring maintenance actions during each monthly billing cycle:</w:t>
      </w:r>
    </w:p>
    <w:p>
      <w:pPr>
        <w:pStyle w:val="ListBullet"/>
        <w:spacing w:before="20" w:after="60" w:line="276" w:lineRule="auto"/>
      </w:pPr>
      <w:r>
        <w:rPr>
          <w:b/>
          <w:color w:val="000000"/>
        </w:rPr>
        <w:t xml:space="preserve">1. Codebase &amp; Library Auditing: </w:t>
      </w:r>
      <w:r>
        <w:rPr>
          <w:color w:val="000000"/>
        </w:rPr>
        <w:t>Check and upgrade minor security patches across npm dependencies (next, react, @supabase/supabase-js, razorpay).</w:t>
      </w:r>
    </w:p>
    <w:p>
      <w:pPr>
        <w:pStyle w:val="ListBullet"/>
        <w:spacing w:before="20" w:after="60" w:line="276" w:lineRule="auto"/>
      </w:pPr>
      <w:r>
        <w:rPr>
          <w:b/>
          <w:color w:val="000000"/>
        </w:rPr>
        <w:t xml:space="preserve">2. Database Health &amp; Index Verification: </w:t>
      </w:r>
      <w:r>
        <w:rPr>
          <w:color w:val="000000"/>
        </w:rPr>
        <w:t>Inspect Supabase slow query logs, table vacuuming status, connection pool saturation, and real-time subscription quotas.</w:t>
      </w:r>
    </w:p>
    <w:p>
      <w:pPr>
        <w:pStyle w:val="ListBullet"/>
        <w:spacing w:before="20" w:after="60" w:line="276" w:lineRule="auto"/>
      </w:pPr>
      <w:r>
        <w:rPr>
          <w:b/>
          <w:color w:val="000000"/>
        </w:rPr>
        <w:t xml:space="preserve">3. Payment Webhook Testing: </w:t>
      </w:r>
      <w:r>
        <w:rPr>
          <w:color w:val="000000"/>
        </w:rPr>
        <w:t>Verify test transactions across Cashfree and Razorpay sandbox/production environments to ensure zero drops during checkout.</w:t>
      </w:r>
    </w:p>
    <w:p>
      <w:pPr>
        <w:pStyle w:val="ListBullet"/>
        <w:spacing w:before="20" w:after="60" w:line="276" w:lineRule="auto"/>
      </w:pPr>
      <w:r>
        <w:rPr>
          <w:b/>
          <w:color w:val="000000"/>
        </w:rPr>
        <w:t xml:space="preserve">4. Audio &amp; Notification Sanity: </w:t>
      </w:r>
      <w:r>
        <w:rPr>
          <w:color w:val="000000"/>
        </w:rPr>
        <w:t>Verify Web Audio synthesizer chime triggers on Safari iOS and Chrome Android for KDS order alerts.</w:t>
      </w:r>
    </w:p>
    <w:p>
      <w:pPr>
        <w:pStyle w:val="ListBullet"/>
        <w:spacing w:before="20" w:after="60" w:line="276" w:lineRule="auto"/>
      </w:pPr>
      <w:r>
        <w:rPr>
          <w:b/>
          <w:color w:val="000000"/>
        </w:rPr>
        <w:t xml:space="preserve">5. Security &amp; SSL Audit: </w:t>
      </w:r>
      <w:r>
        <w:rPr>
          <w:color w:val="000000"/>
        </w:rPr>
        <w:t>Validate TLS certificate auto-renewal on Vercel and verify CORS headers on /api/delivery/* and /api/orders/* routes.</w:t>
      </w:r>
    </w:p>
    <w:p>
      <w:pPr>
        <w:pStyle w:val="ListBullet"/>
        <w:spacing w:before="20" w:after="60" w:line="276" w:lineRule="auto"/>
      </w:pPr>
      <w:r>
        <w:rPr>
          <w:b/>
          <w:color w:val="000000"/>
        </w:rPr>
        <w:t xml:space="preserve">6. Database Backup Verification: </w:t>
      </w:r>
      <w:r>
        <w:rPr>
          <w:color w:val="000000"/>
        </w:rPr>
        <w:t>Ensure automated daily Supabase database backups are executing without corruption or truncation.</w:t>
      </w:r>
    </w:p>
    <w:p>
      <w:pPr>
        <w:pStyle w:val="ListBullet"/>
        <w:spacing w:before="20" w:after="60" w:line="276" w:lineRule="auto"/>
      </w:pPr>
      <w:r>
        <w:rPr>
          <w:b/>
          <w:color w:val="000000"/>
        </w:rPr>
        <w:t xml:space="preserve">7. Content Revisions: </w:t>
      </w:r>
      <w:r>
        <w:rPr>
          <w:color w:val="000000"/>
        </w:rPr>
        <w:t>Implement up to 2 batches of menu item additions, price changes, or seasonal discount updates per month.</w:t>
      </w:r>
    </w:p>
    <w:p>
      <w:pPr>
        <w:keepNext/>
        <w:spacing w:before="280" w:after="80"/>
      </w:pPr>
      <w:r>
        <w:rPr>
          <w:rFonts w:ascii="Calibri" w:hAnsi="Calibri"/>
          <w:b/>
          <w:color w:val="000000"/>
          <w:sz w:val="24"/>
        </w:rPr>
        <w:t xml:space="preserve">C. </w:t>
      </w:r>
      <w:r>
        <w:rPr>
          <w:rFonts w:ascii="Calibri" w:hAnsi="Calibri"/>
          <w:b/>
          <w:color w:val="000000"/>
          <w:sz w:val="24"/>
        </w:rPr>
        <w:t>SCHEDULE C: INCIDENT ESCALATION &amp; CONTACT MATRIX</w:t>
      </w:r>
    </w:p>
    <w:p>
      <w:pPr>
        <w:spacing w:before="40" w:after="100" w:line="276" w:lineRule="auto"/>
      </w:pPr>
      <w:r>
        <w:rPr>
          <w:color w:val="000000"/>
        </w:rPr>
        <w:t>In the event of an operational anomaly, the Client team shall follow the communication hierarchy outlined below:</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160"/>
            <w:shd w:fill="E5E5E5"/>
            <w:tcMar>
              <w:top w:w="100" w:type="dxa"/>
              <w:bottom w:w="100" w:type="dxa"/>
              <w:left w:w="100" w:type="dxa"/>
              <w:right w:w="100" w:type="dxa"/>
            </w:tcMar>
          </w:tcPr>
          <w:p>
            <w:r>
              <w:rPr>
                <w:b/>
                <w:color w:val="000000"/>
                <w:sz w:val="17"/>
              </w:rPr>
              <w:t>Escalation Level</w:t>
            </w:r>
          </w:p>
        </w:tc>
        <w:tc>
          <w:tcPr>
            <w:tcW w:type="dxa" w:w="2592"/>
            <w:shd w:fill="E5E5E5"/>
            <w:tcMar>
              <w:top w:w="100" w:type="dxa"/>
              <w:bottom w:w="100" w:type="dxa"/>
              <w:left w:w="100" w:type="dxa"/>
              <w:right w:w="100" w:type="dxa"/>
            </w:tcMar>
          </w:tcPr>
          <w:p>
            <w:r>
              <w:rPr>
                <w:b/>
                <w:color w:val="000000"/>
                <w:sz w:val="17"/>
              </w:rPr>
              <w:t>Designated Role</w:t>
            </w:r>
          </w:p>
        </w:tc>
        <w:tc>
          <w:tcPr>
            <w:tcW w:type="dxa" w:w="2592"/>
            <w:shd w:fill="E5E5E5"/>
            <w:tcMar>
              <w:top w:w="100" w:type="dxa"/>
              <w:bottom w:w="100" w:type="dxa"/>
              <w:left w:w="100" w:type="dxa"/>
              <w:right w:w="100" w:type="dxa"/>
            </w:tcMar>
          </w:tcPr>
          <w:p>
            <w:r>
              <w:rPr>
                <w:b/>
                <w:color w:val="000000"/>
                <w:sz w:val="17"/>
              </w:rPr>
              <w:t>Primary Channel</w:t>
            </w:r>
          </w:p>
        </w:tc>
        <w:tc>
          <w:tcPr>
            <w:tcW w:type="dxa" w:w="2016"/>
            <w:shd w:fill="E5E5E5"/>
            <w:tcMar>
              <w:top w:w="100" w:type="dxa"/>
              <w:bottom w:w="100" w:type="dxa"/>
              <w:left w:w="100" w:type="dxa"/>
              <w:right w:w="100" w:type="dxa"/>
            </w:tcMar>
          </w:tcPr>
          <w:p>
            <w:r>
              <w:rPr>
                <w:b/>
                <w:color w:val="000000"/>
                <w:sz w:val="17"/>
              </w:rPr>
              <w:t>Availability</w:t>
            </w:r>
          </w:p>
        </w:tc>
      </w:tr>
      <w:tr>
        <w:tc>
          <w:tcPr>
            <w:tcW w:type="dxa" w:w="2160"/>
            <w:shd w:fill="FFFFFF"/>
            <w:tcMar>
              <w:top w:w="80" w:type="dxa"/>
              <w:bottom w:w="80" w:type="dxa"/>
              <w:left w:w="100" w:type="dxa"/>
              <w:right w:w="100" w:type="dxa"/>
            </w:tcMar>
          </w:tcPr>
          <w:p>
            <w:r>
              <w:rPr>
                <w:b/>
                <w:color w:val="000000"/>
                <w:sz w:val="17"/>
              </w:rPr>
              <w:t>Tier 1: General Maintenance</w:t>
            </w:r>
          </w:p>
        </w:tc>
        <w:tc>
          <w:tcPr>
            <w:tcW w:type="dxa" w:w="2592"/>
            <w:shd w:fill="FFFFFF"/>
            <w:tcMar>
              <w:top w:w="80" w:type="dxa"/>
              <w:bottom w:w="80" w:type="dxa"/>
              <w:left w:w="100" w:type="dxa"/>
              <w:right w:w="100" w:type="dxa"/>
            </w:tcMar>
          </w:tcPr>
          <w:p>
            <w:r>
              <w:rPr>
                <w:color w:val="000000"/>
                <w:sz w:val="17"/>
              </w:rPr>
              <w:t>Lead Full-Stack Developer</w:t>
            </w:r>
          </w:p>
        </w:tc>
        <w:tc>
          <w:tcPr>
            <w:tcW w:type="dxa" w:w="2592"/>
            <w:shd w:fill="FFFFFF"/>
            <w:tcMar>
              <w:top w:w="80" w:type="dxa"/>
              <w:bottom w:w="80" w:type="dxa"/>
              <w:left w:w="100" w:type="dxa"/>
              <w:right w:w="100" w:type="dxa"/>
            </w:tcMar>
          </w:tcPr>
          <w:p>
            <w:r>
              <w:rPr>
                <w:color w:val="000000"/>
                <w:sz w:val="17"/>
              </w:rPr>
              <w:t>WhatsApp Support Group / Email</w:t>
            </w:r>
          </w:p>
        </w:tc>
        <w:tc>
          <w:tcPr>
            <w:tcW w:type="dxa" w:w="2016"/>
            <w:shd w:fill="FFFFFF"/>
            <w:tcMar>
              <w:top w:w="80" w:type="dxa"/>
              <w:bottom w:w="80" w:type="dxa"/>
              <w:left w:w="100" w:type="dxa"/>
              <w:right w:w="100" w:type="dxa"/>
            </w:tcMar>
          </w:tcPr>
          <w:p>
            <w:r>
              <w:rPr>
                <w:color w:val="000000"/>
                <w:sz w:val="17"/>
              </w:rPr>
              <w:t>Mon-Sat, 9:00 AM - 7:00 PM</w:t>
            </w:r>
          </w:p>
        </w:tc>
      </w:tr>
      <w:tr>
        <w:tc>
          <w:tcPr>
            <w:tcW w:type="dxa" w:w="2160"/>
            <w:shd w:fill="FFFFFF"/>
            <w:tcMar>
              <w:top w:w="80" w:type="dxa"/>
              <w:bottom w:w="80" w:type="dxa"/>
              <w:left w:w="100" w:type="dxa"/>
              <w:right w:w="100" w:type="dxa"/>
            </w:tcMar>
          </w:tcPr>
          <w:p>
            <w:r>
              <w:rPr>
                <w:b/>
                <w:color w:val="000000"/>
                <w:sz w:val="17"/>
              </w:rPr>
              <w:t>Tier 2: Major Service Glitch</w:t>
            </w:r>
          </w:p>
        </w:tc>
        <w:tc>
          <w:tcPr>
            <w:tcW w:type="dxa" w:w="2592"/>
            <w:shd w:fill="FFFFFF"/>
            <w:tcMar>
              <w:top w:w="80" w:type="dxa"/>
              <w:bottom w:w="80" w:type="dxa"/>
              <w:left w:w="100" w:type="dxa"/>
              <w:right w:w="100" w:type="dxa"/>
            </w:tcMar>
          </w:tcPr>
          <w:p>
            <w:r>
              <w:rPr>
                <w:color w:val="000000"/>
                <w:sz w:val="17"/>
              </w:rPr>
              <w:t>Technical Lead Engineer</w:t>
            </w:r>
          </w:p>
        </w:tc>
        <w:tc>
          <w:tcPr>
            <w:tcW w:type="dxa" w:w="2592"/>
            <w:shd w:fill="FFFFFF"/>
            <w:tcMar>
              <w:top w:w="80" w:type="dxa"/>
              <w:bottom w:w="80" w:type="dxa"/>
              <w:left w:w="100" w:type="dxa"/>
              <w:right w:w="100" w:type="dxa"/>
            </w:tcMar>
          </w:tcPr>
          <w:p>
            <w:r>
              <w:rPr>
                <w:color w:val="000000"/>
                <w:sz w:val="17"/>
              </w:rPr>
              <w:t>Direct Mobile Phone Call + WhatsApp</w:t>
            </w:r>
          </w:p>
        </w:tc>
        <w:tc>
          <w:tcPr>
            <w:tcW w:type="dxa" w:w="2016"/>
            <w:shd w:fill="FFFFFF"/>
            <w:tcMar>
              <w:top w:w="80" w:type="dxa"/>
              <w:bottom w:w="80" w:type="dxa"/>
              <w:left w:w="100" w:type="dxa"/>
              <w:right w:w="100" w:type="dxa"/>
            </w:tcMar>
          </w:tcPr>
          <w:p>
            <w:r>
              <w:rPr>
                <w:color w:val="000000"/>
                <w:sz w:val="17"/>
              </w:rPr>
              <w:t>Mon-Sun, 8:00 AM - 11:00 PM</w:t>
            </w:r>
          </w:p>
        </w:tc>
      </w:tr>
      <w:tr>
        <w:tc>
          <w:tcPr>
            <w:tcW w:type="dxa" w:w="2160"/>
            <w:shd w:fill="FFFFFF"/>
            <w:tcMar>
              <w:top w:w="80" w:type="dxa"/>
              <w:bottom w:w="80" w:type="dxa"/>
              <w:left w:w="100" w:type="dxa"/>
              <w:right w:w="100" w:type="dxa"/>
            </w:tcMar>
          </w:tcPr>
          <w:p>
            <w:r>
              <w:rPr>
                <w:b/>
                <w:color w:val="000000"/>
                <w:sz w:val="17"/>
              </w:rPr>
              <w:t>Tier 3: P1 Outage (Payment/Crash)</w:t>
            </w:r>
          </w:p>
        </w:tc>
        <w:tc>
          <w:tcPr>
            <w:tcW w:type="dxa" w:w="2592"/>
            <w:shd w:fill="FFFFFF"/>
            <w:tcMar>
              <w:top w:w="80" w:type="dxa"/>
              <w:bottom w:w="80" w:type="dxa"/>
              <w:left w:w="100" w:type="dxa"/>
              <w:right w:w="100" w:type="dxa"/>
            </w:tcMar>
          </w:tcPr>
          <w:p>
            <w:r>
              <w:rPr>
                <w:color w:val="000000"/>
                <w:sz w:val="17"/>
              </w:rPr>
              <w:t>Principal Systems Architect</w:t>
            </w:r>
          </w:p>
        </w:tc>
        <w:tc>
          <w:tcPr>
            <w:tcW w:type="dxa" w:w="2592"/>
            <w:shd w:fill="FFFFFF"/>
            <w:tcMar>
              <w:top w:w="80" w:type="dxa"/>
              <w:bottom w:w="80" w:type="dxa"/>
              <w:left w:w="100" w:type="dxa"/>
              <w:right w:w="100" w:type="dxa"/>
            </w:tcMar>
          </w:tcPr>
          <w:p>
            <w:r>
              <w:rPr>
                <w:color w:val="000000"/>
                <w:sz w:val="17"/>
              </w:rPr>
              <w:t>Emergency Hotline (+91-__________)</w:t>
            </w:r>
          </w:p>
        </w:tc>
        <w:tc>
          <w:tcPr>
            <w:tcW w:type="dxa" w:w="2016"/>
            <w:shd w:fill="FFFFFF"/>
            <w:tcMar>
              <w:top w:w="80" w:type="dxa"/>
              <w:bottom w:w="80" w:type="dxa"/>
              <w:left w:w="100" w:type="dxa"/>
              <w:right w:w="100" w:type="dxa"/>
            </w:tcMar>
          </w:tcPr>
          <w:p>
            <w:r>
              <w:rPr>
                <w:color w:val="000000"/>
                <w:sz w:val="17"/>
              </w:rPr>
              <w:t>24/7 On-Call for Active Hours</w:t>
            </w:r>
          </w:p>
        </w:tc>
      </w:tr>
    </w:tbl>
    <w:p/>
    <w:p>
      <w:pPr>
        <w:keepNext/>
        <w:spacing w:before="280" w:after="80"/>
      </w:pPr>
      <w:r>
        <w:rPr>
          <w:rFonts w:ascii="Calibri" w:hAnsi="Calibri"/>
          <w:b/>
          <w:color w:val="000000"/>
          <w:sz w:val="24"/>
        </w:rPr>
        <w:t xml:space="preserve">D. </w:t>
      </w:r>
      <w:r>
        <w:rPr>
          <w:rFonts w:ascii="Calibri" w:hAnsi="Calibri"/>
          <w:b/>
          <w:color w:val="000000"/>
          <w:sz w:val="24"/>
        </w:rPr>
        <w:t>SCHEDULE D: BANK REMITTANCE &amp; PAYMENT DETAILS</w:t>
      </w:r>
    </w:p>
    <w:p>
      <w:pPr>
        <w:spacing w:before="40" w:after="100" w:line="276" w:lineRule="auto"/>
      </w:pPr>
      <w:r>
        <w:rPr>
          <w:color w:val="000000"/>
        </w:rPr>
        <w:t>The Client shall remit the monthly retainer fee of ₹2,300 (Rupees Two Thousand Three Hundred Only) by the 10th of each calendar month using the following banking credentials: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3168"/>
            <w:shd w:fill="F0F0F0"/>
            <w:tcMar>
              <w:top w:w="90" w:type="dxa"/>
              <w:bottom w:w="90" w:type="dxa"/>
              <w:left w:w="120" w:type="dxa"/>
              <w:right w:w="120" w:type="dxa"/>
            </w:tcMar>
          </w:tcPr>
          <w:p>
            <w:r>
              <w:rPr>
                <w:b/>
                <w:color w:val="000000"/>
                <w:sz w:val="18"/>
              </w:rPr>
              <w:t>Beneficiary Name / Account Holder:</w:t>
            </w:r>
          </w:p>
        </w:tc>
        <w:tc>
          <w:tcPr>
            <w:tcW w:type="dxa" w:w="6192"/>
            <w:shd w:fill="FFFFFF"/>
            <w:tcMar>
              <w:top w:w="90" w:type="dxa"/>
              <w:bottom w:w="90" w:type="dxa"/>
              <w:left w:w="120" w:type="dxa"/>
              <w:right w:w="120" w:type="dxa"/>
            </w:tcMar>
          </w:tcPr>
          <w:p>
            <w:r>
              <w:rPr>
                <w:color w:val="000000"/>
                <w:sz w:val="18"/>
              </w:rPr>
              <w:t>[Developer / Software Agency Legal Name]</w:t>
            </w:r>
          </w:p>
        </w:tc>
      </w:tr>
      <w:tr>
        <w:tc>
          <w:tcPr>
            <w:tcW w:type="dxa" w:w="3168"/>
            <w:shd w:fill="F0F0F0"/>
            <w:tcMar>
              <w:top w:w="90" w:type="dxa"/>
              <w:bottom w:w="90" w:type="dxa"/>
              <w:left w:w="120" w:type="dxa"/>
              <w:right w:w="120" w:type="dxa"/>
            </w:tcMar>
          </w:tcPr>
          <w:p>
            <w:r>
              <w:rPr>
                <w:b/>
                <w:color w:val="000000"/>
                <w:sz w:val="18"/>
              </w:rPr>
              <w:t>Bank Name:</w:t>
            </w:r>
          </w:p>
        </w:tc>
        <w:tc>
          <w:tcPr>
            <w:tcW w:type="dxa" w:w="6192"/>
            <w:shd w:fill="FFFFFF"/>
            <w:tcMar>
              <w:top w:w="90" w:type="dxa"/>
              <w:bottom w:w="90" w:type="dxa"/>
              <w:left w:w="120" w:type="dxa"/>
              <w:right w:w="120" w:type="dxa"/>
            </w:tcMar>
          </w:tcPr>
          <w:p>
            <w:r>
              <w:rPr>
                <w:color w:val="000000"/>
                <w:sz w:val="18"/>
              </w:rPr>
              <w:t>[e.g., HDFC Bank / ICICI Bank / State Bank of India]</w:t>
            </w:r>
          </w:p>
        </w:tc>
      </w:tr>
      <w:tr>
        <w:tc>
          <w:tcPr>
            <w:tcW w:type="dxa" w:w="3168"/>
            <w:shd w:fill="F0F0F0"/>
            <w:tcMar>
              <w:top w:w="90" w:type="dxa"/>
              <w:bottom w:w="90" w:type="dxa"/>
              <w:left w:w="120" w:type="dxa"/>
              <w:right w:w="120" w:type="dxa"/>
            </w:tcMar>
          </w:tcPr>
          <w:p>
            <w:r>
              <w:rPr>
                <w:b/>
                <w:color w:val="000000"/>
                <w:sz w:val="18"/>
              </w:rPr>
              <w:t>Account Number:</w:t>
            </w:r>
          </w:p>
        </w:tc>
        <w:tc>
          <w:tcPr>
            <w:tcW w:type="dxa" w:w="6192"/>
            <w:shd w:fill="FFFFFF"/>
            <w:tcMar>
              <w:top w:w="90" w:type="dxa"/>
              <w:bottom w:w="90" w:type="dxa"/>
              <w:left w:w="120" w:type="dxa"/>
              <w:right w:w="120" w:type="dxa"/>
            </w:tcMar>
          </w:tcPr>
          <w:p>
            <w:r>
              <w:rPr>
                <w:color w:val="000000"/>
                <w:sz w:val="18"/>
              </w:rPr>
              <w:t>[____________________________________]</w:t>
            </w:r>
          </w:p>
        </w:tc>
      </w:tr>
      <w:tr>
        <w:tc>
          <w:tcPr>
            <w:tcW w:type="dxa" w:w="3168"/>
            <w:shd w:fill="F0F0F0"/>
            <w:tcMar>
              <w:top w:w="90" w:type="dxa"/>
              <w:bottom w:w="90" w:type="dxa"/>
              <w:left w:w="120" w:type="dxa"/>
              <w:right w:w="120" w:type="dxa"/>
            </w:tcMar>
          </w:tcPr>
          <w:p>
            <w:r>
              <w:rPr>
                <w:b/>
                <w:color w:val="000000"/>
                <w:sz w:val="18"/>
              </w:rPr>
              <w:t>Account Type:</w:t>
            </w:r>
          </w:p>
        </w:tc>
        <w:tc>
          <w:tcPr>
            <w:tcW w:type="dxa" w:w="6192"/>
            <w:shd w:fill="FFFFFF"/>
            <w:tcMar>
              <w:top w:w="90" w:type="dxa"/>
              <w:bottom w:w="90" w:type="dxa"/>
              <w:left w:w="120" w:type="dxa"/>
              <w:right w:w="120" w:type="dxa"/>
            </w:tcMar>
          </w:tcPr>
          <w:p>
            <w:r>
              <w:rPr>
                <w:color w:val="000000"/>
                <w:sz w:val="18"/>
              </w:rPr>
              <w:t>Current Account / Savings Account</w:t>
            </w:r>
          </w:p>
        </w:tc>
      </w:tr>
      <w:tr>
        <w:tc>
          <w:tcPr>
            <w:tcW w:type="dxa" w:w="3168"/>
            <w:shd w:fill="F0F0F0"/>
            <w:tcMar>
              <w:top w:w="90" w:type="dxa"/>
              <w:bottom w:w="90" w:type="dxa"/>
              <w:left w:w="120" w:type="dxa"/>
              <w:right w:w="120" w:type="dxa"/>
            </w:tcMar>
          </w:tcPr>
          <w:p>
            <w:r>
              <w:rPr>
                <w:b/>
                <w:color w:val="000000"/>
                <w:sz w:val="18"/>
              </w:rPr>
              <w:t>IFSC Code:</w:t>
            </w:r>
          </w:p>
        </w:tc>
        <w:tc>
          <w:tcPr>
            <w:tcW w:type="dxa" w:w="6192"/>
            <w:shd w:fill="FFFFFF"/>
            <w:tcMar>
              <w:top w:w="90" w:type="dxa"/>
              <w:bottom w:w="90" w:type="dxa"/>
              <w:left w:w="120" w:type="dxa"/>
              <w:right w:w="120" w:type="dxa"/>
            </w:tcMar>
          </w:tcPr>
          <w:p>
            <w:r>
              <w:rPr>
                <w:color w:val="000000"/>
                <w:sz w:val="18"/>
              </w:rPr>
              <w:t>[____________________]</w:t>
            </w:r>
          </w:p>
        </w:tc>
      </w:tr>
      <w:tr>
        <w:tc>
          <w:tcPr>
            <w:tcW w:type="dxa" w:w="3168"/>
            <w:shd w:fill="F0F0F0"/>
            <w:tcMar>
              <w:top w:w="90" w:type="dxa"/>
              <w:bottom w:w="90" w:type="dxa"/>
              <w:left w:w="120" w:type="dxa"/>
              <w:right w:w="120" w:type="dxa"/>
            </w:tcMar>
          </w:tcPr>
          <w:p>
            <w:r>
              <w:rPr>
                <w:b/>
                <w:color w:val="000000"/>
                <w:sz w:val="18"/>
              </w:rPr>
              <w:t>UPI ID / VPA:</w:t>
            </w:r>
          </w:p>
        </w:tc>
        <w:tc>
          <w:tcPr>
            <w:tcW w:type="dxa" w:w="6192"/>
            <w:shd w:fill="FFFFFF"/>
            <w:tcMar>
              <w:top w:w="90" w:type="dxa"/>
              <w:bottom w:w="90" w:type="dxa"/>
              <w:left w:w="120" w:type="dxa"/>
              <w:right w:w="120" w:type="dxa"/>
            </w:tcMar>
          </w:tcPr>
          <w:p>
            <w:r>
              <w:rPr>
                <w:color w:val="000000"/>
                <w:sz w:val="18"/>
              </w:rPr>
              <w:t>[developer@upi / business@okaxis]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444444"/>
        <w:sz w:val="17"/>
      </w:rPr>
      <w:t>CONFIDENTIAL &amp; LEGALLY BINDING  |  Term: 36 Months  |  ₹2,300/Month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44444"/>
        <w:sz w:val="17"/>
      </w:rPr>
      <w:t>Zafiroo Gourmet Cafe • Master Web Development &amp; SLA Retainer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