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rFonts w:ascii="Calibri" w:cs="Calibri" w:eastAsia="Calibri" w:hAnsi="Calibri"/>
        </w:rPr>
        <w:t xml:space="preserve"/>
      </w:r>
    </w:p>
    <w:p>
      <w:pPr>
        <w:spacing w:after="60" w:before="0"/>
        <w:jc w:val="left"/>
      </w:pPr>
      <w:r>
        <w:rPr>
          <w:rFonts w:ascii="Calibri" w:cs="Calibri" w:eastAsia="Calibri" w:hAnsi="Calibri"/>
          <w:b/>
          <w:bCs/>
          <w:color w:val="1B3A6B"/>
          <w:sz w:val="56"/>
          <w:szCs w:val="56"/>
        </w:rPr>
        <w:t xml:space="preserve">EXECUTIVE BUSINESS CASE</w:t>
      </w:r>
    </w:p>
    <w:p>
      <w:pPr>
        <w:spacing w:after="80" w:before="0"/>
        <w:jc w:val="left"/>
      </w:pPr>
      <w:r>
        <w:rPr>
          <w:rFonts w:ascii="Calibri" w:cs="Calibri" w:eastAsia="Calibri" w:hAnsi="Calibri"/>
          <w:b/>
          <w:bCs/>
          <w:color w:val="2563EB"/>
          <w:sz w:val="36"/>
          <w:szCs w:val="36"/>
        </w:rPr>
        <w:t xml:space="preserve">AI Developer Tooling Platform Migration</w:t>
      </w:r>
    </w:p>
    <w:p>
      <w:pPr>
        <w:spacing w:after="0" w:before="0"/>
      </w:pPr>
      <w:r>
        <w:rPr>
          <w:rFonts w:ascii="Calibri" w:cs="Calibri" w:eastAsia="Calibri" w:hAnsi="Calibri"/>
          <w:color w:val="94A3B8"/>
          <w:sz w:val="28"/>
          <w:szCs w:val="28"/>
        </w:rPr>
        <w:t xml:space="preserve">GitHub Copilot Pro+  </w:t>
      </w:r>
      <w:r>
        <w:rPr>
          <w:rFonts w:ascii="Calibri" w:cs="Calibri" w:eastAsia="Calibri" w:hAnsi="Calibri"/>
          <w:b/>
          <w:bCs/>
          <w:color w:val="D97706"/>
          <w:sz w:val="28"/>
          <w:szCs w:val="28"/>
        </w:rPr>
        <w:t xml:space="preserve">→</w:t>
      </w:r>
      <w:r>
        <w:rPr>
          <w:rFonts w:ascii="Calibri" w:cs="Calibri" w:eastAsia="Calibri" w:hAnsi="Calibri"/>
          <w:b/>
          <w:bCs/>
          <w:color w:val="1B3A6B"/>
          <w:sz w:val="28"/>
          <w:szCs w:val="28"/>
        </w:rPr>
        <w:t xml:space="preserve">  Google Antigravity Ultra</w:t>
      </w:r>
    </w:p>
    <w:p>
      <w:pPr>
        <w:pBdr>
          <w:bottom w:val="single" w:color="2563EB" w:sz="6" w:space="8"/>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c>
          <w:tcPr>
            <w:tcW w:type="dxa" w:w="22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Calibri" w:cs="Calibri" w:eastAsia="Calibri" w:hAnsi="Calibri"/>
                <w:b/>
                <w:bCs/>
                <w:color w:val="64748B"/>
                <w:sz w:val="18"/>
                <w:szCs w:val="18"/>
              </w:rPr>
              <w:t xml:space="preserve">PREPARED FOR</w:t>
            </w:r>
          </w:p>
          <w:p>
            <w:r>
              <w:rPr>
                <w:rFonts w:ascii="Calibri" w:cs="Calibri" w:eastAsia="Calibri" w:hAnsi="Calibri"/>
                <w:color w:val="1E293B"/>
                <w:sz w:val="20"/>
                <w:szCs w:val="20"/>
              </w:rPr>
              <w:t xml:space="preserve">Director / CTO / CEO</w:t>
            </w:r>
          </w:p>
        </w:tc>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Calibri" w:cs="Calibri" w:eastAsia="Calibri" w:hAnsi="Calibri"/>
                <w:b/>
                <w:bCs/>
                <w:color w:val="64748B"/>
                <w:sz w:val="18"/>
                <w:szCs w:val="18"/>
              </w:rPr>
              <w:t xml:space="preserve">CLASSIFICATION</w:t>
            </w:r>
          </w:p>
          <w:p>
            <w:r>
              <w:rPr>
                <w:rFonts w:ascii="Calibri" w:cs="Calibri" w:eastAsia="Calibri" w:hAnsi="Calibri"/>
                <w:color w:val="1E293B"/>
                <w:sz w:val="20"/>
                <w:szCs w:val="20"/>
              </w:rPr>
              <w:t xml:space="preserve">Confidential — Internal</w:t>
            </w:r>
          </w:p>
        </w:tc>
        <w:tc>
          <w:tcPr>
            <w:tcW w:type="dxa" w:w="22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Calibri" w:cs="Calibri" w:eastAsia="Calibri" w:hAnsi="Calibri"/>
                <w:b/>
                <w:bCs/>
                <w:color w:val="64748B"/>
                <w:sz w:val="18"/>
                <w:szCs w:val="18"/>
              </w:rPr>
              <w:t xml:space="preserve">DATE</w:t>
            </w:r>
          </w:p>
          <w:p>
            <w:r>
              <w:rPr>
                <w:rFonts w:ascii="Calibri" w:cs="Calibri" w:eastAsia="Calibri" w:hAnsi="Calibri"/>
                <w:color w:val="1E293B"/>
                <w:sz w:val="20"/>
                <w:szCs w:val="20"/>
              </w:rPr>
              <w:t xml:space="preserve">June 2026</w:t>
            </w:r>
          </w:p>
        </w:tc>
        <w:tc>
          <w:tcPr>
            <w:tcW w:type="dxa" w:w="19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Calibri" w:cs="Calibri" w:eastAsia="Calibri" w:hAnsi="Calibri"/>
                <w:b/>
                <w:bCs/>
                <w:color w:val="64748B"/>
                <w:sz w:val="18"/>
                <w:szCs w:val="18"/>
              </w:rPr>
              <w:t xml:space="preserve">VERSION</w:t>
            </w:r>
          </w:p>
          <w:p>
            <w:r>
              <w:rPr>
                <w:rFonts w:ascii="Calibri" w:cs="Calibri" w:eastAsia="Calibri" w:hAnsi="Calibri"/>
                <w:color w:val="1E293B"/>
                <w:sz w:val="20"/>
                <w:szCs w:val="20"/>
              </w:rPr>
              <w:t xml:space="preserve">v1.0 — Final</w:t>
            </w:r>
          </w:p>
        </w:tc>
      </w:tr>
    </w:tbl>
    <w:p>
      <w:pPr>
        <w:spacing w:after="0" w:before="320"/>
      </w:pPr>
      <w:r>
        <w:rPr>
          <w:rFonts w:ascii="Calibri" w:cs="Calibri" w:eastAsia="Calibri" w:hAnsi="Calibri"/>
        </w:rPr>
        <w:t xml:space="preserve"/>
      </w:r>
    </w:p>
    <w:p>
      <w:pPr>
        <w:pStyle w:val="Heading1"/>
        <w:shd w:fill="1B3A6B" w:val="clear"/>
        <w:spacing w:after="160" w:before="360"/>
        <w:ind w:left="200" w:right="200"/>
      </w:pPr>
      <w:r>
        <w:rPr>
          <w:rFonts w:ascii="Calibri" w:cs="Calibri" w:eastAsia="Calibri" w:hAnsi="Calibri"/>
          <w:b/>
          <w:bCs/>
          <w:color w:val="FFFFFF"/>
          <w:sz w:val="32"/>
          <w:szCs w:val="32"/>
        </w:rPr>
        <w:t xml:space="preserve">1.  Executive Summary</w:t>
      </w:r>
    </w:p>
    <w:p>
      <w:pPr>
        <w:spacing w:after="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This business case evaluates the strategic and financial rationale for migrating from GitHub Copilot Pro+ to Google Antigravity Ultra as the primary AI-assisted development platform for a single-user subscription. It is prepared for executive leadership and focuses on business value, cost efficiency, and productivity impact.</w:t>
      </w:r>
    </w:p>
    <w:p>
      <w:pPr>
        <w:spacing w:after="0" w:before="6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1.1  Current Situation</w:t>
      </w:r>
    </w:p>
    <w:p>
      <w:pPr>
        <w:spacing w:after="80" w:before="80"/>
      </w:pPr>
      <w:r>
        <w:rPr>
          <w:rFonts w:ascii="Calibri" w:cs="Calibri" w:eastAsia="Calibri" w:hAnsi="Calibri"/>
          <w:sz w:val="22"/>
          <w:szCs w:val="22"/>
        </w:rPr>
        <w:t xml:space="preserve">Our organisation currently subscribes to GitHub Copilot Pro+ at $39 per month. While this plan provides access to premium AI models, the monthly premium-request allocation is exhausted rapidly during normal, intensive development activity. Once the allocation is consumed, the user is downgraded to a base model — or must wait for the monthly counter to reset — creating measurable disruptions to delivery velocity and developer focus.</w:t>
      </w:r>
    </w:p>
    <w:p>
      <w:pPr>
        <w:spacing w:after="0" w:before="6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1.2  The Core Problem</w:t>
      </w:r>
    </w:p>
    <w:p>
      <w:pPr>
        <w:pBdr>
          <w:left w:val="single" w:color="D97706" w:sz="12" w:space="8"/>
        </w:pBdr>
        <w:shd w:fill="FEF3C7" w:val="clear"/>
        <w:spacing w:after="100" w:before="100"/>
        <w:ind w:left="280" w:right="280"/>
      </w:pPr>
      <w:r>
        <w:rPr>
          <w:rFonts w:ascii="Calibri" w:cs="Calibri" w:eastAsia="Calibri" w:hAnsi="Calibri"/>
          <w:b/>
          <w:bCs/>
          <w:color w:val="D97706"/>
          <w:sz w:val="22"/>
          <w:szCs w:val="22"/>
        </w:rPr>
        <w:t xml:space="preserve">KEY FINDING:  </w:t>
      </w:r>
      <w:r>
        <w:rPr>
          <w:rFonts w:ascii="Calibri" w:cs="Calibri" w:eastAsia="Calibri" w:hAnsi="Calibri"/>
          <w:color w:val="1E293B"/>
          <w:sz w:val="22"/>
          <w:szCs w:val="22"/>
        </w:rPr>
        <w:t xml:space="preserve">GitHub Copilot Pro+ includes approximately 1,500 premium requests per month (now transitioning to an equivalent AI-Credit allowance of $39/month). Active developers consuming premium model interactions for agentic tasks, multi-file edits, and complex code reviews can exhaust this allocation within 10–15 working days, leaving the second half of the billing cycle on a degraded service tier.</w:t>
      </w:r>
    </w:p>
    <w:p>
      <w:pPr>
        <w:spacing w:after="0" w:before="60"/>
      </w:pPr>
      <w:r>
        <w:rPr>
          <w:rFonts w:ascii="Calibri" w:cs="Calibri" w:eastAsia="Calibri" w:hAnsi="Calibri"/>
        </w:rPr>
        <w:t xml:space="preserve"/>
      </w:r>
    </w:p>
    <w:p>
      <w:pPr>
        <w:spacing w:after="80" w:before="80"/>
      </w:pPr>
      <w:r>
        <w:rPr>
          <w:rFonts w:ascii="Calibri" w:cs="Calibri" w:eastAsia="Calibri" w:hAnsi="Calibri"/>
          <w:sz w:val="22"/>
          <w:szCs w:val="22"/>
        </w:rPr>
        <w:t xml:space="preserve">The practical consequences of this structural shortfall include:</w:t>
      </w:r>
    </w:p>
    <w:p>
      <w:pPr>
        <w:pStyle w:val="ListParagraph"/>
        <w:numPr>
          <w:ilvl w:val="0"/>
          <w:numId w:val="2"/>
        </w:numPr>
        <w:spacing w:after="60" w:before="60"/>
        <w:ind w:left="720" w:hanging="360"/>
      </w:pPr>
      <w:r>
        <w:rPr>
          <w:rFonts w:ascii="Calibri" w:cs="Calibri" w:eastAsia="Calibri" w:hAnsi="Calibri"/>
          <w:b/>
          <w:bCs/>
          <w:sz w:val="22"/>
          <w:szCs w:val="22"/>
        </w:rPr>
        <w:t xml:space="preserve">Mid-sprint productivity loss:</w:t>
      </w:r>
      <w:r>
        <w:rPr>
          <w:rFonts w:ascii="Calibri" w:cs="Calibri" w:eastAsia="Calibri" w:hAnsi="Calibri"/>
          <w:sz w:val="22"/>
          <w:szCs w:val="22"/>
        </w:rPr>
        <w:t xml:space="preserve"> the developer is blocked from premium AI assistance precisely when delivery pressure is highest.</w:t>
      </w:r>
    </w:p>
    <w:p>
      <w:pPr>
        <w:pStyle w:val="ListParagraph"/>
        <w:numPr>
          <w:ilvl w:val="0"/>
          <w:numId w:val="2"/>
        </w:numPr>
        <w:spacing w:after="60" w:before="60"/>
        <w:ind w:left="720" w:hanging="360"/>
      </w:pPr>
      <w:r>
        <w:rPr>
          <w:rFonts w:ascii="Calibri" w:cs="Calibri" w:eastAsia="Calibri" w:hAnsi="Calibri"/>
          <w:b/>
          <w:bCs/>
          <w:sz w:val="22"/>
          <w:szCs w:val="22"/>
        </w:rPr>
        <w:t xml:space="preserve">Unpredictable overage costs:</w:t>
      </w:r>
      <w:r>
        <w:rPr>
          <w:rFonts w:ascii="Calibri" w:cs="Calibri" w:eastAsia="Calibri" w:hAnsi="Calibri"/>
          <w:sz w:val="22"/>
          <w:szCs w:val="22"/>
        </w:rPr>
        <w:t xml:space="preserve"> purchasing additional premium requests at $0.04 per request adds unbudgeted and hard-to-forecast expenditure.</w:t>
      </w:r>
    </w:p>
    <w:p>
      <w:pPr>
        <w:pStyle w:val="ListParagraph"/>
        <w:numPr>
          <w:ilvl w:val="0"/>
          <w:numId w:val="2"/>
        </w:numPr>
        <w:spacing w:after="60" w:before="60"/>
        <w:ind w:left="720" w:hanging="360"/>
      </w:pPr>
      <w:r>
        <w:rPr>
          <w:rFonts w:ascii="Calibri" w:cs="Calibri" w:eastAsia="Calibri" w:hAnsi="Calibri"/>
          <w:b/>
          <w:bCs/>
          <w:sz w:val="22"/>
          <w:szCs w:val="22"/>
        </w:rPr>
        <w:t xml:space="preserve">Context switching and cognitive overhead:</w:t>
      </w:r>
      <w:r>
        <w:rPr>
          <w:rFonts w:ascii="Calibri" w:cs="Calibri" w:eastAsia="Calibri" w:hAnsi="Calibri"/>
          <w:sz w:val="22"/>
          <w:szCs w:val="22"/>
        </w:rPr>
        <w:t xml:space="preserve"> repeatedly switching between premium and fallback models degrades the quality and consistency of AI-assisted output.</w:t>
      </w:r>
    </w:p>
    <w:p>
      <w:pPr>
        <w:pStyle w:val="ListParagraph"/>
        <w:numPr>
          <w:ilvl w:val="0"/>
          <w:numId w:val="2"/>
        </w:numPr>
        <w:spacing w:after="60" w:before="60"/>
        <w:ind w:left="720" w:hanging="360"/>
      </w:pPr>
      <w:r>
        <w:rPr>
          <w:rFonts w:ascii="Calibri" w:cs="Calibri" w:eastAsia="Calibri" w:hAnsi="Calibri"/>
          <w:b/>
          <w:bCs/>
          <w:sz w:val="22"/>
          <w:szCs w:val="22"/>
        </w:rPr>
        <w:t xml:space="preserve">Delivery timeline risk:</w:t>
      </w:r>
      <w:r>
        <w:rPr>
          <w:rFonts w:ascii="Calibri" w:cs="Calibri" w:eastAsia="Calibri" w:hAnsi="Calibri"/>
          <w:sz w:val="22"/>
          <w:szCs w:val="22"/>
        </w:rPr>
        <w:t xml:space="preserve"> features requiring intensive AI collaboration may be delayed or delivered at lower quality.</w:t>
      </w:r>
    </w:p>
    <w:p>
      <w:pPr>
        <w:spacing w:after="0" w:before="8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1.3  Proposed Solution</w:t>
      </w:r>
    </w:p>
    <w:p>
      <w:pPr>
        <w:spacing w:after="80" w:before="80"/>
      </w:pPr>
      <w:r>
        <w:rPr>
          <w:rFonts w:ascii="Calibri" w:cs="Calibri" w:eastAsia="Calibri" w:hAnsi="Calibri"/>
          <w:sz w:val="22"/>
          <w:szCs w:val="22"/>
        </w:rPr>
        <w:t xml:space="preserve">Google Antigravity Ultra — part of the Google AI subscription ecosystem — offers a substantially higher compute allowance, multi-agent architecture, and a more predictable usage model at a price point that, when total-cost-of-ownership is calculated against actual usage needs, represents a superior value proposition for intensive AI-assisted development workflows.</w:t>
      </w:r>
    </w:p>
    <w:p>
      <w:pPr>
        <w:spacing w:after="0" w:before="60"/>
      </w:pPr>
      <w:r>
        <w:rPr>
          <w:rFonts w:ascii="Calibri" w:cs="Calibri" w:eastAsia="Calibri" w:hAnsi="Calibri"/>
        </w:rPr>
        <w:t xml:space="preserve"/>
      </w:r>
    </w:p>
    <w:p>
      <w:pPr>
        <w:pBdr>
          <w:left w:val="single" w:color="2563EB" w:sz="12" w:space="8"/>
        </w:pBdr>
        <w:shd w:fill="DBEAFE" w:val="clear"/>
        <w:spacing w:after="100" w:before="100"/>
        <w:ind w:left="280" w:right="280"/>
      </w:pPr>
      <w:r>
        <w:rPr>
          <w:rFonts w:ascii="Calibri" w:cs="Calibri" w:eastAsia="Calibri" w:hAnsi="Calibri"/>
          <w:b/>
          <w:bCs/>
          <w:color w:val="1B3A6B"/>
          <w:sz w:val="22"/>
          <w:szCs w:val="22"/>
        </w:rPr>
        <w:t xml:space="preserve">RECOMMENDATION:  </w:t>
      </w:r>
      <w:r>
        <w:rPr>
          <w:rFonts w:ascii="Calibri" w:cs="Calibri" w:eastAsia="Calibri" w:hAnsi="Calibri"/>
          <w:color w:val="1E293B"/>
          <w:sz w:val="22"/>
          <w:szCs w:val="22"/>
        </w:rPr>
        <w:t xml:space="preserve">Approve immediate migration from GitHub Copilot Pro+ to Google Antigravity Ultra. The migration is expected to eliminate recurring productivity losses, provide a more sustainable cost structure for intensive AI usage, and deliver a positive ROI within the first billing cycle.</w:t>
      </w:r>
    </w:p>
    <w:p>
      <w:pPr>
        <w:spacing w:after="0" w:before="0"/>
      </w:pPr>
      <w:r>
        <w:br/>
      </w:r>
    </w:p>
    <w:p>
      <w:pPr>
        <w:pStyle w:val="Heading1"/>
        <w:shd w:fill="1B3A6B" w:val="clear"/>
        <w:spacing w:after="160" w:before="360"/>
        <w:ind w:left="200" w:right="200"/>
      </w:pPr>
      <w:r>
        <w:rPr>
          <w:rFonts w:ascii="Calibri" w:cs="Calibri" w:eastAsia="Calibri" w:hAnsi="Calibri"/>
          <w:b/>
          <w:bCs/>
          <w:color w:val="FFFFFF"/>
          <w:sz w:val="32"/>
          <w:szCs w:val="32"/>
        </w:rPr>
        <w:t xml:space="preserve">2.  Cost Comparison</w:t>
      </w:r>
    </w:p>
    <w:p>
      <w:pPr>
        <w:spacing w:after="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The table below presents a direct, like-for-like cost comparison between the two platforms as of June 2026. Pricing is sourced from official vendor pages and recent industry reporting.</w:t>
      </w:r>
    </w:p>
    <w:p>
      <w:pPr>
        <w:spacing w:after="0" w:before="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COMPARISON FACTOR</w:t>
            </w:r>
          </w:p>
        </w:tc>
        <w:tc>
          <w:tcPr>
            <w:tcW w:type="dxa" w:w="318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GitHub Copilot Pro+</w:t>
            </w:r>
          </w:p>
        </w:tc>
        <w:tc>
          <w:tcPr>
            <w:tcW w:type="dxa" w:w="318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Google Antigravity Ultra</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Monthly Subscription Cost</w:t>
            </w:r>
          </w:p>
        </w:tc>
        <w:tc>
          <w:tcPr>
            <w:tcW w:type="dxa" w:w="31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$39.00 / month</w:t>
            </w:r>
          </w:p>
        </w:tc>
        <w:tc>
          <w:tcPr>
            <w:tcW w:type="dxa" w:w="31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$100.00 – $200.00 / month</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Annual Subscription Cost</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$468.00 / year</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$1,200 – $2,400 / year</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Included Usage Allowance</w:t>
            </w:r>
          </w:p>
        </w:tc>
        <w:tc>
          <w:tcPr>
            <w:tcW w:type="dxa" w:w="31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spacing w:after="40" w:before="40"/>
            </w:pPr>
            <w:r>
              <w:rPr>
                <w:rFonts w:ascii="Calibri" w:cs="Calibri" w:eastAsia="Calibri" w:hAnsi="Calibri"/>
                <w:sz w:val="20"/>
                <w:szCs w:val="20"/>
              </w:rPr>
              <w:t xml:space="preserve">~1,500 premium requests/mo (legacy) transitioning to $39/mo in AI Credits (≈3,900 AI Credit units at $0.01 each)</w:t>
            </w:r>
          </w:p>
        </w:tc>
        <w:tc>
          <w:tcPr>
            <w:tcW w:type="dxa" w:w="31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spacing w:after="40" w:before="40"/>
            </w:pPr>
            <w:r>
              <w:rPr>
                <w:rFonts w:ascii="Calibri" w:cs="Calibri" w:eastAsia="Calibri" w:hAnsi="Calibri"/>
                <w:sz w:val="20"/>
                <w:szCs w:val="20"/>
              </w:rPr>
              <w:t xml:space="preserve">Compute-based pool; Ultra ($100/mo) = 5× Pro limits; Ultra ($200/mo) = 20× Pro limits. Refreshes every 5 hours.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Additional / Overage Costs</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after="40" w:before="40"/>
            </w:pPr>
            <w:r>
              <w:rPr>
                <w:rFonts w:ascii="Calibri" w:cs="Calibri" w:eastAsia="Calibri" w:hAnsi="Calibri"/>
                <w:sz w:val="20"/>
                <w:szCs w:val="20"/>
              </w:rPr>
              <w:t xml:space="preserve">$0.04 per additional premium request. Under usage-based billing, token consumption is metered at API rates — costs can accumulate rapidly and unexpectedly.</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after="40" w:before="40"/>
            </w:pPr>
            <w:r>
              <w:rPr>
                <w:rFonts w:ascii="Calibri" w:cs="Calibri" w:eastAsia="Calibri" w:hAnsi="Calibri"/>
                <w:sz w:val="20"/>
                <w:szCs w:val="20"/>
              </w:rPr>
              <w:t xml:space="preserve">Pay-as-you-go AI Credits available at $25 per 2,500 credits. Top-up pricing provides an overflow safety valve.</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Cost Predictability</w:t>
            </w:r>
          </w:p>
        </w:tc>
        <w:tc>
          <w:tcPr>
            <w:tcW w:type="dxa" w:w="31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spacing w:after="40" w:before="40"/>
            </w:pPr>
            <w:r>
              <w:rPr>
                <w:rFonts w:ascii="Calibri" w:cs="Calibri" w:eastAsia="Calibri" w:hAnsi="Calibri"/>
                <w:b/>
                <w:bCs/>
                <w:color w:val="DC2626"/>
                <w:sz w:val="20"/>
                <w:szCs w:val="20"/>
              </w:rPr>
              <w:t xml:space="preserve">LOW — </w:t>
            </w:r>
            <w:r>
              <w:rPr>
                <w:rFonts w:ascii="Calibri" w:cs="Calibri" w:eastAsia="Calibri" w:hAnsi="Calibri"/>
                <w:sz w:val="20"/>
                <w:szCs w:val="20"/>
              </w:rPr>
              <w:t xml:space="preserve">Transition to token-based metering introduces significant billing variability. Costs are directly linked to model choice and interaction depth.</w:t>
            </w:r>
          </w:p>
        </w:tc>
        <w:tc>
          <w:tcPr>
            <w:tcW w:type="dxa" w:w="31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spacing w:after="40" w:before="40"/>
            </w:pPr>
            <w:r>
              <w:rPr>
                <w:rFonts w:ascii="Calibri" w:cs="Calibri" w:eastAsia="Calibri" w:hAnsi="Calibri"/>
                <w:b/>
                <w:bCs/>
                <w:color w:val="D97706"/>
                <w:sz w:val="20"/>
                <w:szCs w:val="20"/>
              </w:rPr>
              <w:t xml:space="preserve">MODERATE — </w:t>
            </w:r>
            <w:r>
              <w:rPr>
                <w:rFonts w:ascii="Calibri" w:cs="Calibri" w:eastAsia="Calibri" w:hAnsi="Calibri"/>
                <w:sz w:val="20"/>
                <w:szCs w:val="20"/>
              </w:rPr>
              <w:t xml:space="preserve">Compute pool is opaque in exact token equivalence, but a fixed subscription ceiling limits maximum monthly spend. Top-up credits are discretionary.</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Model Access</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GPT-4.1, Claude Sonnet 4, Gemini 2.5 Pro (metered)</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Gemini 3.5 Flash primary; multi-model support via API key configuration</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Usage Reset Cadence</w:t>
            </w:r>
          </w:p>
        </w:tc>
        <w:tc>
          <w:tcPr>
            <w:tcW w:type="dxa" w:w="31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Monthly (1st of month, 00:00 UTC)</w:t>
            </w:r>
          </w:p>
        </w:tc>
        <w:tc>
          <w:tcPr>
            <w:tcW w:type="dxa" w:w="31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Every 5 hours (rolling compute window)</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Multi-Agent Capability</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Agent mode available; single-agent focus</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Native multi-agent (up to 5 parallel agents); Manager View</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IDE / Environment Integration</w:t>
            </w:r>
          </w:p>
        </w:tc>
        <w:tc>
          <w:tcPr>
            <w:tcW w:type="dxa" w:w="31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VS Code, JetBrains, Neovim, CLI, GitHub.com</w:t>
            </w:r>
          </w:p>
        </w:tc>
        <w:tc>
          <w:tcPr>
            <w:tcW w:type="dxa" w:w="31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Antigravity IDE (VS Code fork), CLI (Go), SDK; JetBrains limited</w:t>
            </w:r>
          </w:p>
        </w:tc>
      </w:tr>
    </w:tbl>
    <w:p>
      <w:pPr>
        <w:spacing w:after="0" w:before="120"/>
      </w:pPr>
      <w:r>
        <w:rPr>
          <w:rFonts w:ascii="Calibri" w:cs="Calibri" w:eastAsia="Calibri" w:hAnsi="Calibri"/>
        </w:rPr>
        <w:t xml:space="preserve"/>
      </w:r>
    </w:p>
    <w:p>
      <w:pPr>
        <w:pBdr>
          <w:left w:val="single" w:color="D97706" w:sz="12" w:space="8"/>
        </w:pBdr>
        <w:shd w:fill="FEF3C7" w:val="clear"/>
        <w:spacing w:after="100" w:before="100"/>
        <w:ind w:left="280" w:right="280"/>
      </w:pPr>
      <w:r>
        <w:rPr>
          <w:rFonts w:ascii="Calibri" w:cs="Calibri" w:eastAsia="Calibri" w:hAnsi="Calibri"/>
          <w:b/>
          <w:bCs/>
          <w:color w:val="D97706"/>
          <w:sz w:val="22"/>
          <w:szCs w:val="22"/>
        </w:rPr>
        <w:t xml:space="preserve">IMPORTANT PRICING CONTEXT:  </w:t>
      </w:r>
      <w:r>
        <w:rPr>
          <w:rFonts w:ascii="Calibri" w:cs="Calibri" w:eastAsia="Calibri" w:hAnsi="Calibri"/>
          <w:color w:val="1E293B"/>
          <w:sz w:val="22"/>
          <w:szCs w:val="22"/>
        </w:rPr>
        <w:t xml:space="preserve">Antigravity's pricing has been revised multiple times since its November 2025 launch. The Ultra tier was $249.99/month until a May 19, 2026 reset reduced it to $200/month, with a new $99.99/month entry-Ultra option. This document uses $100/month (entry Ultra) as the primary basis for ROI calculations, while noting the $200/month tier for completeness. Cost predictability risk is acknowledged in Section 6.</w:t>
      </w:r>
    </w:p>
    <w:p>
      <w:pPr>
        <w:spacing w:after="0" w:before="0"/>
      </w:pPr>
      <w:r>
        <w:br/>
      </w:r>
    </w:p>
    <w:p>
      <w:pPr>
        <w:pStyle w:val="Heading1"/>
        <w:shd w:fill="1B3A6B" w:val="clear"/>
        <w:spacing w:after="160" w:before="360"/>
        <w:ind w:left="200" w:right="200"/>
      </w:pPr>
      <w:r>
        <w:rPr>
          <w:rFonts w:ascii="Calibri" w:cs="Calibri" w:eastAsia="Calibri" w:hAnsi="Calibri"/>
          <w:b/>
          <w:bCs/>
          <w:color w:val="FFFFFF"/>
          <w:sz w:val="32"/>
          <w:szCs w:val="32"/>
        </w:rPr>
        <w:t xml:space="preserve">3.  Usage &amp; Token Analysis</w:t>
      </w:r>
    </w:p>
    <w:p>
      <w:pPr>
        <w:spacing w:after="0" w:before="8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3.1  How Quickly Does Copilot Pro+ Exhaust Its Allocation?</w:t>
      </w:r>
    </w:p>
    <w:p>
      <w:pPr>
        <w:spacing w:after="80" w:before="80"/>
      </w:pPr>
      <w:r>
        <w:rPr>
          <w:rFonts w:ascii="Calibri" w:cs="Calibri" w:eastAsia="Calibri" w:hAnsi="Calibri"/>
          <w:sz w:val="22"/>
          <w:szCs w:val="22"/>
        </w:rPr>
        <w:t xml:space="preserve">GitHub Copilot Pro+ has historically included 1,500 premium requests per month. Under the new usage-based billing model effective June 1, 2026, this is equivalent to $39 in monthly AI Credits. The following analysis demonstrates the pace of consumption for an active developer:</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80"/>
        <w:gridCol w:w="2880"/>
      </w:tblGrid>
      <w:tr>
        <w:trPr>
          <w:tblHeader/>
        </w:trPr>
        <w:tc>
          <w:tcPr>
            <w:tcW w:type="dxa" w:w="260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Activity Type</w:t>
            </w:r>
          </w:p>
        </w:tc>
        <w:tc>
          <w:tcPr>
            <w:tcW w:type="dxa" w:w="200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Avg. Requests / Day</w:t>
            </w:r>
          </w:p>
        </w:tc>
        <w:tc>
          <w:tcPr>
            <w:tcW w:type="dxa" w:w="188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Model Multiplier</w:t>
            </w:r>
          </w:p>
        </w:tc>
        <w:tc>
          <w:tcPr>
            <w:tcW w:type="dxa" w:w="288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Effective Credit Consumption / Day</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Agentic code generation (multi-file)</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15–25 interactions</w:t>
            </w:r>
          </w:p>
        </w:tc>
        <w:tc>
          <w:tcPr>
            <w:tcW w:type="dxa" w:w="1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3–5×</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45–125 credits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Complex Copilot Chat / debugging</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20–40 interactions</w:t>
            </w:r>
          </w:p>
        </w:tc>
        <w:tc>
          <w:tcPr>
            <w:tcW w:type="dxa" w:w="1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1–3×</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20–120 credits</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Code review &amp; PR summarisation</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5–10 interactions</w:t>
            </w:r>
          </w:p>
        </w:tc>
        <w:tc>
          <w:tcPr>
            <w:tcW w:type="dxa" w:w="1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2–4×</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10–40 credits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Inline completions (premium model)</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50–100 completions</w:t>
            </w:r>
          </w:p>
        </w:tc>
        <w:tc>
          <w:tcPr>
            <w:tcW w:type="dxa" w:w="1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50–100 credits</w:t>
            </w:r>
          </w:p>
        </w:tc>
      </w:tr>
      <w:tr>
        <w:tc>
          <w:tcPr>
            <w:tcW w:type="dxa" w:w="2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after="40" w:before="40"/>
            </w:pPr>
            <w:r>
              <w:rPr>
                <w:rFonts w:ascii="Calibri" w:cs="Calibri" w:eastAsia="Calibri" w:hAnsi="Calibri"/>
                <w:b/>
                <w:bCs/>
                <w:sz w:val="20"/>
                <w:szCs w:val="20"/>
              </w:rPr>
              <w:t xml:space="preserve">TOTAL DAILY ESTIMATE (active developer)</w:t>
            </w:r>
          </w:p>
        </w:tc>
        <w:tc>
          <w:tcPr>
            <w:tcW w:type="dxa" w:w="2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90–175 interactions</w:t>
            </w:r>
          </w:p>
        </w:tc>
        <w:tc>
          <w:tcPr>
            <w:tcW w:type="dxa" w:w="188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w:t>
            </w:r>
          </w:p>
        </w:tc>
        <w:tc>
          <w:tcPr>
            <w:tcW w:type="dxa" w:w="288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125–385 credits / day</w:t>
            </w:r>
          </w:p>
        </w:tc>
      </w:tr>
    </w:tbl>
    <w:p>
      <w:pPr>
        <w:spacing w:after="0" w:before="120"/>
      </w:pPr>
      <w:r>
        <w:rPr>
          <w:rFonts w:ascii="Calibri" w:cs="Calibri" w:eastAsia="Calibri" w:hAnsi="Calibri"/>
        </w:rPr>
        <w:t xml:space="preserve"/>
      </w:r>
    </w:p>
    <w:p>
      <w:pPr>
        <w:spacing w:after="80" w:before="80"/>
      </w:pPr>
      <w:r>
        <w:rPr>
          <w:rFonts w:ascii="Calibri" w:cs="Calibri" w:eastAsia="Calibri" w:hAnsi="Calibri"/>
          <w:sz w:val="22"/>
          <w:szCs w:val="22"/>
        </w:rPr>
        <w:t xml:space="preserve">At a consumption rate of 125–385 AI Credits per day (mid-point: ~250 credits/day), the $39 monthly allocation (3,900 credits) is exhausted in approximately 10–15 working days — well before the end of the billing month.</w:t>
      </w:r>
    </w:p>
    <w:p>
      <w:pPr>
        <w:spacing w:after="0" w:before="60"/>
      </w:pPr>
      <w:r>
        <w:rPr>
          <w:rFonts w:ascii="Calibri" w:cs="Calibri" w:eastAsia="Calibri" w:hAnsi="Calibri"/>
        </w:rPr>
        <w:t xml:space="preserve"/>
      </w:r>
    </w:p>
    <w:p>
      <w:pPr>
        <w:pBdr>
          <w:left w:val="single" w:color="2563EB" w:sz="12" w:space="8"/>
        </w:pBdr>
        <w:shd w:fill="DBEAFE" w:val="clear"/>
        <w:spacing w:after="100" w:before="100"/>
        <w:ind w:left="280" w:right="280"/>
      </w:pPr>
      <w:r>
        <w:rPr>
          <w:rFonts w:ascii="Calibri" w:cs="Calibri" w:eastAsia="Calibri" w:hAnsi="Calibri"/>
          <w:b/>
          <w:bCs/>
          <w:color w:val="1B3A6B"/>
          <w:sz w:val="22"/>
          <w:szCs w:val="22"/>
        </w:rPr>
        <w:t xml:space="preserve">CRITICAL IMPLICATION:  </w:t>
      </w:r>
      <w:r>
        <w:rPr>
          <w:rFonts w:ascii="Calibri" w:cs="Calibri" w:eastAsia="Calibri" w:hAnsi="Calibri"/>
          <w:color w:val="1E293B"/>
          <w:sz w:val="22"/>
          <w:szCs w:val="22"/>
        </w:rPr>
        <w:t xml:space="preserve">For 7–11 working days every month, the developer is operating on a degraded fallback model. This is not a theoretical edge case — it is the expected operational reality of intensive AI-assisted development on the Copilot Pro+ tier.</w:t>
      </w:r>
    </w:p>
    <w:p>
      <w:pPr>
        <w:spacing w:after="0" w:before="8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3.2  Productivity Impact of Allocation Exhaustion</w:t>
      </w:r>
    </w:p>
    <w:p>
      <w:pPr>
        <w:spacing w:after="80" w:before="80"/>
      </w:pPr>
      <w:r>
        <w:rPr>
          <w:rFonts w:ascii="Calibri" w:cs="Calibri" w:eastAsia="Calibri" w:hAnsi="Calibri"/>
          <w:sz w:val="22"/>
          <w:szCs w:val="22"/>
        </w:rPr>
        <w:t xml:space="preserve">The consequences of reaching the premium request limit are documented both by GitHub's own communications and independent developer community reporting:</w:t>
      </w:r>
    </w:p>
    <w:p>
      <w:pPr>
        <w:pStyle w:val="ListParagraph"/>
        <w:numPr>
          <w:ilvl w:val="0"/>
          <w:numId w:val="2"/>
        </w:numPr>
        <w:spacing w:after="60" w:before="60"/>
        <w:ind w:left="720" w:hanging="360"/>
      </w:pPr>
      <w:r>
        <w:rPr>
          <w:rFonts w:ascii="Calibri" w:cs="Calibri" w:eastAsia="Calibri" w:hAnsi="Calibri"/>
          <w:b/>
          <w:bCs/>
          <w:sz w:val="22"/>
          <w:szCs w:val="22"/>
        </w:rPr>
        <w:t xml:space="preserve">Automatic fallback to base model: </w:t>
      </w:r>
      <w:r>
        <w:rPr>
          <w:rFonts w:ascii="Calibri" w:cs="Calibri" w:eastAsia="Calibri" w:hAnsi="Calibri"/>
          <w:sz w:val="22"/>
          <w:szCs w:val="22"/>
        </w:rPr>
        <w:t xml:space="preserve">When premium requests are exhausted, Copilot reverts to a less capable model. The quality of code generation, reasoning depth, and context handling degrades noticeably.</w:t>
      </w:r>
    </w:p>
    <w:p>
      <w:pPr>
        <w:pStyle w:val="ListParagraph"/>
        <w:numPr>
          <w:ilvl w:val="0"/>
          <w:numId w:val="2"/>
        </w:numPr>
        <w:spacing w:after="60" w:before="60"/>
        <w:ind w:left="720" w:hanging="360"/>
      </w:pPr>
      <w:r>
        <w:rPr>
          <w:rFonts w:ascii="Calibri" w:cs="Calibri" w:eastAsia="Calibri" w:hAnsi="Calibri"/>
          <w:b/>
          <w:bCs/>
          <w:sz w:val="22"/>
          <w:szCs w:val="22"/>
        </w:rPr>
        <w:t xml:space="preserve">Rate-limiting compounding: </w:t>
      </w:r>
      <w:r>
        <w:rPr>
          <w:rFonts w:ascii="Calibri" w:cs="Calibri" w:eastAsia="Calibri" w:hAnsi="Calibri"/>
          <w:sz w:val="22"/>
          <w:szCs w:val="22"/>
        </w:rPr>
        <w:t xml:space="preserve">Beyond the monthly credit limit, separate weekly token-based rate limits can be triggered independently — meaning a developer can have remaining premium credits yet still be rate-limited.</w:t>
      </w:r>
    </w:p>
    <w:p>
      <w:pPr>
        <w:pStyle w:val="ListParagraph"/>
        <w:numPr>
          <w:ilvl w:val="0"/>
          <w:numId w:val="2"/>
        </w:numPr>
        <w:spacing w:after="60" w:before="60"/>
        <w:ind w:left="720" w:hanging="360"/>
      </w:pPr>
      <w:r>
        <w:rPr>
          <w:rFonts w:ascii="Calibri" w:cs="Calibri" w:eastAsia="Calibri" w:hAnsi="Calibri"/>
          <w:b/>
          <w:bCs/>
          <w:sz w:val="22"/>
          <w:szCs w:val="22"/>
        </w:rPr>
        <w:t xml:space="preserve">Loss of agentic capabilities: </w:t>
      </w:r>
      <w:r>
        <w:rPr>
          <w:rFonts w:ascii="Calibri" w:cs="Calibri" w:eastAsia="Calibri" w:hAnsi="Calibri"/>
          <w:sz w:val="22"/>
          <w:szCs w:val="22"/>
        </w:rPr>
        <w:t xml:space="preserve">Multi-file edits and agent-mode features that depend on premium models become unavailable or severely constrained.</w:t>
      </w:r>
    </w:p>
    <w:p>
      <w:pPr>
        <w:pStyle w:val="ListParagraph"/>
        <w:numPr>
          <w:ilvl w:val="0"/>
          <w:numId w:val="2"/>
        </w:numPr>
        <w:spacing w:after="60" w:before="60"/>
        <w:ind w:left="720" w:hanging="360"/>
      </w:pPr>
      <w:r>
        <w:rPr>
          <w:rFonts w:ascii="Calibri" w:cs="Calibri" w:eastAsia="Calibri" w:hAnsi="Calibri"/>
          <w:b/>
          <w:bCs/>
          <w:sz w:val="22"/>
          <w:szCs w:val="22"/>
        </w:rPr>
        <w:t xml:space="preserve">Psychological friction: </w:t>
      </w:r>
      <w:r>
        <w:rPr>
          <w:rFonts w:ascii="Calibri" w:cs="Calibri" w:eastAsia="Calibri" w:hAnsi="Calibri"/>
          <w:sz w:val="22"/>
          <w:szCs w:val="22"/>
        </w:rPr>
        <w:t xml:space="preserve">Developers report monitoring credit consumption as an additional cognitive burden, disrupting flow states.</w:t>
      </w:r>
    </w:p>
    <w:p>
      <w:pPr>
        <w:spacing w:after="0" w:before="8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3.3  Antigravity Ultra's Usage Architecture</w:t>
      </w:r>
    </w:p>
    <w:p>
      <w:pPr>
        <w:spacing w:after="80" w:before="80"/>
      </w:pPr>
      <w:r>
        <w:rPr>
          <w:rFonts w:ascii="Calibri" w:cs="Calibri" w:eastAsia="Calibri" w:hAnsi="Calibri"/>
          <w:sz w:val="22"/>
          <w:szCs w:val="22"/>
        </w:rPr>
        <w:t xml:space="preserve">Google Antigravity Ultra operates on a fundamentally different usage model:</w:t>
      </w:r>
    </w:p>
    <w:p>
      <w:pPr>
        <w:pStyle w:val="ListParagraph"/>
        <w:numPr>
          <w:ilvl w:val="0"/>
          <w:numId w:val="2"/>
        </w:numPr>
        <w:spacing w:after="60" w:before="60"/>
        <w:ind w:left="720" w:hanging="360"/>
      </w:pPr>
      <w:r>
        <w:rPr>
          <w:rFonts w:ascii="Calibri" w:cs="Calibri" w:eastAsia="Calibri" w:hAnsi="Calibri"/>
          <w:sz w:val="22"/>
          <w:szCs w:val="22"/>
        </w:rPr>
        <w:t xml:space="preserve">5-hour rolling compute refresh: </w:t>
      </w:r>
    </w:p>
    <w:p>
      <w:pPr>
        <w:pStyle w:val="ListParagraph"/>
        <w:numPr>
          <w:ilvl w:val="0"/>
          <w:numId w:val="2"/>
        </w:numPr>
        <w:spacing w:after="60" w:before="60"/>
        <w:ind w:left="720" w:hanging="360"/>
      </w:pPr>
      <w:r>
        <w:rPr>
          <w:rFonts w:ascii="Calibri" w:cs="Calibri" w:eastAsia="Calibri" w:hAnsi="Calibri"/>
          <w:sz w:val="22"/>
          <w:szCs w:val="22"/>
        </w:rPr>
        <w:t xml:space="preserve">Tiered compute ceiling: </w:t>
      </w:r>
    </w:p>
    <w:p>
      <w:pPr>
        <w:pStyle w:val="ListParagraph"/>
        <w:numPr>
          <w:ilvl w:val="0"/>
          <w:numId w:val="2"/>
        </w:numPr>
        <w:spacing w:after="60" w:before="60"/>
        <w:ind w:left="720" w:hanging="360"/>
      </w:pPr>
      <w:r>
        <w:rPr>
          <w:rFonts w:ascii="Calibri" w:cs="Calibri" w:eastAsia="Calibri" w:hAnsi="Calibri"/>
          <w:sz w:val="22"/>
          <w:szCs w:val="22"/>
        </w:rPr>
        <w:t xml:space="preserve">Pay-as-you-go overflow: </w:t>
      </w:r>
    </w:p>
    <w:p>
      <w:pPr>
        <w:pStyle w:val="ListParagraph"/>
        <w:numPr>
          <w:ilvl w:val="0"/>
          <w:numId w:val="2"/>
        </w:numPr>
        <w:spacing w:after="60" w:before="60"/>
        <w:ind w:left="720" w:hanging="360"/>
      </w:pPr>
      <w:r>
        <w:rPr>
          <w:rFonts w:ascii="Calibri" w:cs="Calibri" w:eastAsia="Calibri" w:hAnsi="Calibri"/>
          <w:sz w:val="22"/>
          <w:szCs w:val="22"/>
        </w:rPr>
        <w:t xml:space="preserve">Multi-agent parallelism: </w:t>
      </w:r>
    </w:p>
    <w:p>
      <w:pPr>
        <w:spacing w:after="0" w:before="0"/>
      </w:pPr>
      <w:r>
        <w:br/>
      </w:r>
    </w:p>
    <w:p>
      <w:pPr>
        <w:pStyle w:val="Heading1"/>
        <w:shd w:fill="1B3A6B" w:val="clear"/>
        <w:spacing w:after="160" w:before="360"/>
        <w:ind w:left="200" w:right="200"/>
      </w:pPr>
      <w:r>
        <w:rPr>
          <w:rFonts w:ascii="Calibri" w:cs="Calibri" w:eastAsia="Calibri" w:hAnsi="Calibri"/>
          <w:b/>
          <w:bCs/>
          <w:color w:val="FFFFFF"/>
          <w:sz w:val="32"/>
          <w:szCs w:val="32"/>
        </w:rPr>
        <w:t xml:space="preserve">4.  Productivity Impact Analysis</w:t>
      </w:r>
    </w:p>
    <w:p>
      <w:pPr>
        <w:spacing w:after="0" w:before="8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4.1  Quantifying the Cost of Copilot Pro+ Limitations</w:t>
      </w:r>
    </w:p>
    <w:p>
      <w:pPr>
        <w:spacing w:after="80" w:before="80"/>
      </w:pPr>
      <w:r>
        <w:rPr>
          <w:rFonts w:ascii="Calibri" w:cs="Calibri" w:eastAsia="Calibri" w:hAnsi="Calibri"/>
          <w:sz w:val="22"/>
          <w:szCs w:val="22"/>
        </w:rPr>
        <w:t xml:space="preserve">The following productivity assumptions are based on industry benchmarks for AI-assisted software development and conservative estimates calibrated to a single senior developer profile.</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Assumption</w:t>
            </w:r>
          </w:p>
        </w:tc>
        <w:tc>
          <w:tcPr>
            <w:tcW w:type="dxa" w:w="258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Value Used</w:t>
            </w:r>
          </w:p>
        </w:tc>
        <w:tc>
          <w:tcPr>
            <w:tcW w:type="dxa" w:w="258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Basis</w:t>
            </w:r>
          </w:p>
        </w:tc>
      </w:tr>
      <w:tr>
        <w:tc>
          <w:tcPr>
            <w:tcW w:type="dxa" w:w="4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Developer fully-loaded hourly cost (salary + benefits + overhead)</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$75 / hour</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Mid-market senior developer, conservative</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Productive working hours per day</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7 hours</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Standard knowledge worker</w:t>
            </w:r>
          </w:p>
        </w:tc>
      </w:tr>
      <w:tr>
        <w:tc>
          <w:tcPr>
            <w:tcW w:type="dxa" w:w="4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Working days per month</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22 days</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Standard calendar month</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AI-assisted productivity uplift (vs. no AI tools)</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25–40%</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GitHub / McKinsey research; using 30% conservative</w:t>
            </w:r>
          </w:p>
        </w:tc>
      </w:tr>
      <w:tr>
        <w:tc>
          <w:tcPr>
            <w:tcW w:type="dxa" w:w="4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Days per month on degraded Copilot model (post-limit)</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8 days</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Estimated from Section 3 analysis</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Productivity degradation on fallback model (vs. premium)</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40–60%</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Conservative; based on model capability gap</w:t>
            </w:r>
          </w:p>
        </w:tc>
      </w:tr>
      <w:tr>
        <w:tc>
          <w:tcPr>
            <w:tcW w:type="dxa" w:w="4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Time lost to tool-switching and context disruption per day</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30 minutes</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Conservative; developer community reports</w:t>
            </w:r>
          </w:p>
        </w:tc>
      </w:tr>
    </w:tbl>
    <w:p>
      <w:pPr>
        <w:spacing w:after="0" w:before="12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4.2  Monthly Productivity Loss Calculation — Current State (Copilot Pro+)</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Loss Category</w:t>
            </w:r>
          </w:p>
        </w:tc>
        <w:tc>
          <w:tcPr>
            <w:tcW w:type="dxa" w:w="243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Calculation</w:t>
            </w:r>
          </w:p>
        </w:tc>
        <w:tc>
          <w:tcPr>
            <w:tcW w:type="dxa" w:w="243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Monthly Cost</w:t>
            </w:r>
          </w:p>
        </w:tc>
      </w:tr>
      <w:tr>
        <w:tc>
          <w:tcPr>
            <w:tcW w:type="dxa" w:w="4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Lost AI uplift during degraded period (8 days × 7 hrs × 50% degradation × 30% uplift × $75)</w:t>
            </w:r>
          </w:p>
        </w:tc>
        <w:tc>
          <w:tcPr>
            <w:tcW w:type="dxa" w:w="24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8 × 7 × 0.50 × 0.30 × $75</w:t>
            </w:r>
          </w:p>
        </w:tc>
        <w:tc>
          <w:tcPr>
            <w:tcW w:type="dxa" w:w="24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$630</w:t>
            </w:r>
          </w:p>
        </w:tc>
      </w:tr>
      <w:tr>
        <w:tc>
          <w:tcPr>
            <w:tcW w:type="dxa" w:w="4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Tool-switching &amp; context disruption (22 days × 0.5 hrs × $75)</w:t>
            </w:r>
          </w:p>
        </w:tc>
        <w:tc>
          <w:tcPr>
            <w:tcW w:type="dxa" w:w="24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22 × 0.5 × $75</w:t>
            </w:r>
          </w:p>
        </w:tc>
        <w:tc>
          <w:tcPr>
            <w:tcW w:type="dxa" w:w="24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$825</w:t>
            </w:r>
          </w:p>
        </w:tc>
      </w:tr>
      <w:tr>
        <w:tc>
          <w:tcPr>
            <w:tcW w:type="dxa" w:w="4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Overage spend on additional premium requests (estimated)</w:t>
            </w:r>
          </w:p>
        </w:tc>
        <w:tc>
          <w:tcPr>
            <w:tcW w:type="dxa" w:w="24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~$40–$80 / month</w:t>
            </w:r>
          </w:p>
        </w:tc>
        <w:tc>
          <w:tcPr>
            <w:tcW w:type="dxa" w:w="24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$60 (mid)</w:t>
            </w:r>
          </w:p>
        </w:tc>
      </w:tr>
      <w:tr>
        <w:tc>
          <w:tcPr>
            <w:tcW w:type="dxa" w:w="4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Subscription cost (Copilot Pro+)</w:t>
            </w:r>
          </w:p>
        </w:tc>
        <w:tc>
          <w:tcPr>
            <w:tcW w:type="dxa" w:w="24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$39 / month</w:t>
            </w:r>
          </w:p>
        </w:tc>
        <w:tc>
          <w:tcPr>
            <w:tcW w:type="dxa" w:w="24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$39</w:t>
            </w:r>
          </w:p>
        </w:tc>
      </w:tr>
      <w:tr>
        <w:tc>
          <w:tcPr>
            <w:tcW w:type="dxa" w:w="4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after="40" w:before="40"/>
            </w:pPr>
            <w:r>
              <w:rPr>
                <w:rFonts w:ascii="Calibri" w:cs="Calibri" w:eastAsia="Calibri" w:hAnsi="Calibri"/>
                <w:b/>
                <w:bCs/>
                <w:sz w:val="20"/>
                <w:szCs w:val="20"/>
              </w:rPr>
              <w:t xml:space="preserve">TOTAL MONTHLY COST OF CURRENT STATE</w:t>
            </w:r>
          </w:p>
        </w:tc>
        <w:tc>
          <w:tcPr>
            <w:tcW w:type="dxa" w:w="243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w:t>
            </w:r>
          </w:p>
        </w:tc>
        <w:tc>
          <w:tcPr>
            <w:tcW w:type="dxa" w:w="243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DC2626"/>
                <w:sz w:val="22"/>
                <w:szCs w:val="22"/>
              </w:rPr>
              <w:t xml:space="preserve">$1,554 / month</w:t>
            </w:r>
          </w:p>
        </w:tc>
      </w:tr>
    </w:tbl>
    <w:p>
      <w:pPr>
        <w:spacing w:after="0" w:before="12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4.3  Expected Productivity Gains — Antigravity Ultra</w:t>
      </w:r>
    </w:p>
    <w:p>
      <w:pPr>
        <w:spacing w:after="80" w:before="80"/>
      </w:pPr>
      <w:r>
        <w:rPr>
          <w:rFonts w:ascii="Calibri" w:cs="Calibri" w:eastAsia="Calibri" w:hAnsi="Calibri"/>
          <w:sz w:val="22"/>
          <w:szCs w:val="22"/>
        </w:rPr>
        <w:t xml:space="preserve">By eliminating the mid-month premium access cliff and enabling multi-agent parallel workflows, Antigravity Ultra is projected to deliver the following improvements:</w:t>
      </w:r>
    </w:p>
    <w:p>
      <w:pPr>
        <w:spacing w:after="0" w:before="60"/>
      </w:pPr>
      <w:r>
        <w:rPr>
          <w:rFonts w:ascii="Calibri" w:cs="Calibri" w:eastAsia="Calibri" w:hAnsi="Calibri"/>
        </w:rPr>
        <w:t xml:space="preserve"/>
      </w:r>
    </w:p>
    <w:p>
      <w:pPr>
        <w:pStyle w:val="ListParagraph"/>
        <w:numPr>
          <w:ilvl w:val="0"/>
          <w:numId w:val="2"/>
        </w:numPr>
        <w:spacing w:after="60" w:before="60"/>
        <w:ind w:left="720" w:hanging="360"/>
      </w:pPr>
      <w:r>
        <w:rPr>
          <w:rFonts w:ascii="Calibri" w:cs="Calibri" w:eastAsia="Calibri" w:hAnsi="Calibri"/>
          <w:b/>
          <w:bCs/>
          <w:sz w:val="22"/>
          <w:szCs w:val="22"/>
        </w:rPr>
        <w:t xml:space="preserve">Full-month premium model access:</w:t>
      </w:r>
      <w:r>
        <w:rPr>
          <w:rFonts w:ascii="Calibri" w:cs="Calibri" w:eastAsia="Calibri" w:hAnsi="Calibri"/>
          <w:sz w:val="22"/>
          <w:szCs w:val="22"/>
        </w:rPr>
        <w:t xml:space="preserve"> Removing the 8-day degraded period restores $630 in lost monthly productivity uplift.</w:t>
      </w:r>
    </w:p>
    <w:p>
      <w:pPr>
        <w:pStyle w:val="ListParagraph"/>
        <w:numPr>
          <w:ilvl w:val="0"/>
          <w:numId w:val="2"/>
        </w:numPr>
        <w:spacing w:after="60" w:before="60"/>
        <w:ind w:left="720" w:hanging="360"/>
      </w:pPr>
      <w:r>
        <w:rPr>
          <w:rFonts w:ascii="Calibri" w:cs="Calibri" w:eastAsia="Calibri" w:hAnsi="Calibri"/>
          <w:b/>
          <w:bCs/>
          <w:sz w:val="22"/>
          <w:szCs w:val="22"/>
        </w:rPr>
        <w:t xml:space="preserve">Elimination of context-switching overhead:</w:t>
      </w:r>
      <w:r>
        <w:rPr>
          <w:rFonts w:ascii="Calibri" w:cs="Calibri" w:eastAsia="Calibri" w:hAnsi="Calibri"/>
          <w:sz w:val="22"/>
          <w:szCs w:val="22"/>
        </w:rPr>
        <w:t xml:space="preserve"> With consistent tooling, the 30-minute daily disruption tax is eliminated, recovering $825/month.</w:t>
      </w:r>
    </w:p>
    <w:p>
      <w:pPr>
        <w:pStyle w:val="ListParagraph"/>
        <w:numPr>
          <w:ilvl w:val="0"/>
          <w:numId w:val="2"/>
        </w:numPr>
        <w:spacing w:after="60" w:before="60"/>
        <w:ind w:left="720" w:hanging="360"/>
      </w:pPr>
      <w:r>
        <w:rPr>
          <w:rFonts w:ascii="Calibri" w:cs="Calibri" w:eastAsia="Calibri" w:hAnsi="Calibri"/>
          <w:b/>
          <w:bCs/>
          <w:sz w:val="22"/>
          <w:szCs w:val="22"/>
        </w:rPr>
        <w:t xml:space="preserve">Multi-agent parallelism bonus:</w:t>
      </w:r>
      <w:r>
        <w:rPr>
          <w:rFonts w:ascii="Calibri" w:cs="Calibri" w:eastAsia="Calibri" w:hAnsi="Calibri"/>
          <w:sz w:val="22"/>
          <w:szCs w:val="22"/>
        </w:rPr>
        <w:t xml:space="preserve"> Running 2–5 agents simultaneously for appropriate tasks is estimated to deliver an additional 10–15% throughput improvement on complex features, valued at approximately $385–$578/month.</w:t>
      </w:r>
    </w:p>
    <w:p>
      <w:pPr>
        <w:pStyle w:val="ListParagraph"/>
        <w:numPr>
          <w:ilvl w:val="0"/>
          <w:numId w:val="2"/>
        </w:numPr>
        <w:spacing w:after="60" w:before="60"/>
        <w:ind w:left="720" w:hanging="360"/>
      </w:pPr>
      <w:r>
        <w:rPr>
          <w:rFonts w:ascii="Calibri" w:cs="Calibri" w:eastAsia="Calibri" w:hAnsi="Calibri"/>
          <w:b/>
          <w:bCs/>
          <w:sz w:val="22"/>
          <w:szCs w:val="22"/>
        </w:rPr>
        <w:t xml:space="preserve">Reduced overage billing exposure:</w:t>
      </w:r>
      <w:r>
        <w:rPr>
          <w:rFonts w:ascii="Calibri" w:cs="Calibri" w:eastAsia="Calibri" w:hAnsi="Calibri"/>
          <w:sz w:val="22"/>
          <w:szCs w:val="22"/>
        </w:rPr>
        <w:t xml:space="preserve"> Eliminates the $40–$80/month unbudgeted overage spend, replacing it with a predictable fixed subscription.</w:t>
      </w:r>
    </w:p>
    <w:p>
      <w:pPr>
        <w:spacing w:after="0" w:before="0"/>
      </w:pPr>
      <w:r>
        <w:br/>
      </w:r>
    </w:p>
    <w:p>
      <w:pPr>
        <w:pStyle w:val="Heading1"/>
        <w:shd w:fill="1B3A6B" w:val="clear"/>
        <w:spacing w:after="160" w:before="360"/>
        <w:ind w:left="200" w:right="200"/>
      </w:pPr>
      <w:r>
        <w:rPr>
          <w:rFonts w:ascii="Calibri" w:cs="Calibri" w:eastAsia="Calibri" w:hAnsi="Calibri"/>
          <w:b/>
          <w:bCs/>
          <w:color w:val="FFFFFF"/>
          <w:sz w:val="32"/>
          <w:szCs w:val="32"/>
        </w:rPr>
        <w:t xml:space="preserve">5.  Financial Return on Investment</w:t>
      </w:r>
    </w:p>
    <w:p>
      <w:pPr>
        <w:spacing w:after="0" w:before="8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5.1  ROI Scenario: Entry Ultra ($100/month)</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Financial Metric</w:t>
            </w:r>
          </w:p>
        </w:tc>
        <w:tc>
          <w:tcPr>
            <w:tcW w:type="dxa" w:w="243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Monthly</w:t>
            </w:r>
          </w:p>
        </w:tc>
        <w:tc>
          <w:tcPr>
            <w:tcW w:type="dxa" w:w="243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Annual</w:t>
            </w:r>
          </w:p>
        </w:tc>
      </w:tr>
      <w:tr>
        <w:tc>
          <w:tcPr>
            <w:tcW w:type="dxa" w:w="4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Subscription cost — Copilot Pro+ (baseline)</w:t>
            </w:r>
          </w:p>
        </w:tc>
        <w:tc>
          <w:tcPr>
            <w:tcW w:type="dxa" w:w="24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$39</w:t>
            </w:r>
          </w:p>
        </w:tc>
        <w:tc>
          <w:tcPr>
            <w:tcW w:type="dxa" w:w="24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$468</w:t>
            </w:r>
          </w:p>
        </w:tc>
      </w:tr>
      <w:tr>
        <w:tc>
          <w:tcPr>
            <w:tcW w:type="dxa" w:w="4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Subscription cost — Antigravity Ultra ($100 tier)</w:t>
            </w:r>
          </w:p>
        </w:tc>
        <w:tc>
          <w:tcPr>
            <w:tcW w:type="dxa" w:w="24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$100</w:t>
            </w:r>
          </w:p>
        </w:tc>
        <w:tc>
          <w:tcPr>
            <w:tcW w:type="dxa" w:w="24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$1,200</w:t>
            </w:r>
          </w:p>
        </w:tc>
      </w:tr>
      <w:tr>
        <w:tc>
          <w:tcPr>
            <w:tcW w:type="dxa" w:w="4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Incremental subscription cost increase</w:t>
            </w:r>
          </w:p>
        </w:tc>
        <w:tc>
          <w:tcPr>
            <w:tcW w:type="dxa" w:w="24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+$61</w:t>
            </w:r>
          </w:p>
        </w:tc>
        <w:tc>
          <w:tcPr>
            <w:tcW w:type="dxa" w:w="24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+$732</w:t>
            </w:r>
          </w:p>
        </w:tc>
      </w:tr>
      <w:tr>
        <w:tc>
          <w:tcPr>
            <w:tcW w:type="dxa" w:w="4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Productivity loss recovered (lost AI uplift)</w:t>
            </w:r>
          </w:p>
        </w:tc>
        <w:tc>
          <w:tcPr>
            <w:tcW w:type="dxa" w:w="24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$630</w:t>
            </w:r>
          </w:p>
        </w:tc>
        <w:tc>
          <w:tcPr>
            <w:tcW w:type="dxa" w:w="24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$7,560</w:t>
            </w:r>
          </w:p>
        </w:tc>
      </w:tr>
      <w:tr>
        <w:tc>
          <w:tcPr>
            <w:tcW w:type="dxa" w:w="4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Context-switching cost eliminated</w:t>
            </w:r>
          </w:p>
        </w:tc>
        <w:tc>
          <w:tcPr>
            <w:tcW w:type="dxa" w:w="24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$825</w:t>
            </w:r>
          </w:p>
        </w:tc>
        <w:tc>
          <w:tcPr>
            <w:tcW w:type="dxa" w:w="24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$9,900</w:t>
            </w:r>
          </w:p>
        </w:tc>
      </w:tr>
      <w:tr>
        <w:tc>
          <w:tcPr>
            <w:tcW w:type="dxa" w:w="4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Overage billing eliminated</w:t>
            </w:r>
          </w:p>
        </w:tc>
        <w:tc>
          <w:tcPr>
            <w:tcW w:type="dxa" w:w="24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$60</w:t>
            </w:r>
          </w:p>
        </w:tc>
        <w:tc>
          <w:tcPr>
            <w:tcW w:type="dxa" w:w="24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$720</w:t>
            </w:r>
          </w:p>
        </w:tc>
      </w:tr>
      <w:tr>
        <w:tc>
          <w:tcPr>
            <w:tcW w:type="dxa" w:w="4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Multi-agent throughput uplift (conservative 10%)</w:t>
            </w:r>
          </w:p>
        </w:tc>
        <w:tc>
          <w:tcPr>
            <w:tcW w:type="dxa" w:w="24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$385</w:t>
            </w:r>
          </w:p>
        </w:tc>
        <w:tc>
          <w:tcPr>
            <w:tcW w:type="dxa" w:w="24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$4,620</w:t>
            </w:r>
          </w:p>
        </w:tc>
      </w:tr>
      <w:tr>
        <w:tc>
          <w:tcPr>
            <w:tcW w:type="dxa" w:w="4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after="40" w:before="40"/>
            </w:pPr>
            <w:r>
              <w:rPr>
                <w:rFonts w:ascii="Calibri" w:cs="Calibri" w:eastAsia="Calibri" w:hAnsi="Calibri"/>
                <w:b/>
                <w:bCs/>
                <w:sz w:val="20"/>
                <w:szCs w:val="20"/>
              </w:rPr>
              <w:t xml:space="preserve">TOTAL PRODUCTIVITY VALUE RECOVERED</w:t>
            </w:r>
          </w:p>
        </w:tc>
        <w:tc>
          <w:tcPr>
            <w:tcW w:type="dxa" w:w="243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$1,900</w:t>
            </w:r>
          </w:p>
        </w:tc>
        <w:tc>
          <w:tcPr>
            <w:tcW w:type="dxa" w:w="243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$22,800</w:t>
            </w:r>
          </w:p>
        </w:tc>
      </w:tr>
      <w:tr>
        <w:tc>
          <w:tcPr>
            <w:tcW w:type="dxa" w:w="45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spacing w:after="40" w:before="40"/>
            </w:pPr>
            <w:r>
              <w:rPr>
                <w:rFonts w:ascii="Calibri" w:cs="Calibri" w:eastAsia="Calibri" w:hAnsi="Calibri"/>
                <w:b/>
                <w:bCs/>
                <w:sz w:val="20"/>
                <w:szCs w:val="20"/>
              </w:rPr>
              <w:t xml:space="preserve">NET BENEFIT (value recovered minus incremental cost)</w:t>
            </w:r>
          </w:p>
        </w:tc>
        <w:tc>
          <w:tcPr>
            <w:tcW w:type="dxa" w:w="243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16A34A"/>
                <w:sz w:val="22"/>
                <w:szCs w:val="22"/>
              </w:rPr>
              <w:t xml:space="preserve">+$1,839 / month</w:t>
            </w:r>
          </w:p>
        </w:tc>
        <w:tc>
          <w:tcPr>
            <w:tcW w:type="dxa" w:w="243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16A34A"/>
                <w:sz w:val="22"/>
                <w:szCs w:val="22"/>
              </w:rPr>
              <w:t xml:space="preserve">+$22,068 / year</w:t>
            </w:r>
          </w:p>
        </w:tc>
      </w:tr>
      <w:tr>
        <w:tc>
          <w:tcPr>
            <w:tcW w:type="dxa" w:w="4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after="40" w:before="40"/>
            </w:pPr>
            <w:r>
              <w:rPr>
                <w:rFonts w:ascii="Calibri" w:cs="Calibri" w:eastAsia="Calibri" w:hAnsi="Calibri"/>
                <w:b/>
                <w:bCs/>
                <w:sz w:val="20"/>
                <w:szCs w:val="20"/>
              </w:rPr>
              <w:t xml:space="preserve">RETURN ON INVESTMENT (ROI)</w:t>
            </w:r>
          </w:p>
        </w:tc>
        <w:tc>
          <w:tcPr>
            <w:tcW w:type="dxa" w:w="243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1B3A6B"/>
                <w:sz w:val="22"/>
                <w:szCs w:val="22"/>
              </w:rPr>
              <w:t xml:space="preserve">~3,015%</w:t>
            </w:r>
          </w:p>
        </w:tc>
        <w:tc>
          <w:tcPr>
            <w:tcW w:type="dxa" w:w="243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1B3A6B"/>
                <w:sz w:val="22"/>
                <w:szCs w:val="22"/>
              </w:rPr>
              <w:t xml:space="preserve">~3,015% annualised</w:t>
            </w:r>
          </w:p>
        </w:tc>
      </w:tr>
      <w:tr>
        <w:tc>
          <w:tcPr>
            <w:tcW w:type="dxa" w:w="45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spacing w:after="40" w:before="40"/>
            </w:pPr>
            <w:r>
              <w:rPr>
                <w:rFonts w:ascii="Calibri" w:cs="Calibri" w:eastAsia="Calibri" w:hAnsi="Calibri"/>
                <w:b/>
                <w:bCs/>
                <w:sz w:val="20"/>
                <w:szCs w:val="20"/>
              </w:rPr>
              <w:t xml:space="preserve">PAYBACK PERIOD</w:t>
            </w:r>
          </w:p>
        </w:tc>
        <w:tc>
          <w:tcPr>
            <w:tcW w:type="dxa" w:w="4860"/>
            <w:gridSpan w:val="2"/>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16A34A"/>
                <w:sz w:val="22"/>
                <w:szCs w:val="22"/>
              </w:rPr>
              <w:t xml:space="preserve">&lt; 1 month</w:t>
            </w:r>
          </w:p>
        </w:tc>
      </w:tr>
    </w:tbl>
    <w:p>
      <w:pPr>
        <w:spacing w:after="0" w:before="100"/>
      </w:pPr>
      <w:r>
        <w:rPr>
          <w:rFonts w:ascii="Calibri" w:cs="Calibri" w:eastAsia="Calibri" w:hAnsi="Calibri"/>
        </w:rPr>
        <w:t xml:space="preserve"/>
      </w:r>
    </w:p>
    <w:p>
      <w:pPr>
        <w:spacing w:after="80" w:before="80"/>
      </w:pPr>
      <w:r>
        <w:rPr>
          <w:rFonts w:ascii="Calibri" w:cs="Calibri" w:eastAsia="Calibri" w:hAnsi="Calibri"/>
          <w:sz w:val="22"/>
          <w:szCs w:val="22"/>
        </w:rPr>
        <w:t xml:space="preserve">ROI Calculation: Net Benefit ($1,839) ÷ Incremental Investment ($61) × 100 = 3,015%. The investment pays back within the first calendar month of adoption.</w:t>
      </w:r>
    </w:p>
    <w:p>
      <w:pPr>
        <w:spacing w:after="0" w:before="6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5.2  ROI Scenario: Standard Ultra ($200/month)</w:t>
      </w:r>
    </w:p>
    <w:p>
      <w:pPr>
        <w:spacing w:after="80" w:before="80"/>
      </w:pPr>
      <w:r>
        <w:rPr>
          <w:rFonts w:ascii="Calibri" w:cs="Calibri" w:eastAsia="Calibri" w:hAnsi="Calibri"/>
          <w:sz w:val="22"/>
          <w:szCs w:val="22"/>
        </w:rPr>
        <w:t xml:space="preserve">If maximum capacity (20× compute ceiling) is required, the analysis at the $200/month tier remains strongly positive:</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Metric</w:t>
            </w:r>
          </w:p>
        </w:tc>
        <w:tc>
          <w:tcPr>
            <w:tcW w:type="dxa" w:w="208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Monthly</w:t>
            </w:r>
          </w:p>
        </w:tc>
        <w:tc>
          <w:tcPr>
            <w:tcW w:type="dxa" w:w="208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Annual</w:t>
            </w:r>
          </w:p>
        </w:tc>
      </w:tr>
      <w:tr>
        <w:tc>
          <w:tcPr>
            <w:tcW w:type="dxa" w:w="5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Incremental subscription cost vs. Copilot Pro+</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+$161</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+$1,932</w:t>
            </w:r>
          </w:p>
        </w:tc>
      </w:tr>
      <w:tr>
        <w:tc>
          <w:tcPr>
            <w:tcW w:type="dxa" w:w="5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Total productivity value recovered (same as above)</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$1,900</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$22,800</w:t>
            </w:r>
          </w:p>
        </w:tc>
      </w:tr>
      <w:tr>
        <w:tc>
          <w:tcPr>
            <w:tcW w:type="dxa" w:w="52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spacing w:after="40" w:before="40"/>
            </w:pPr>
            <w:r>
              <w:rPr>
                <w:rFonts w:ascii="Calibri" w:cs="Calibri" w:eastAsia="Calibri" w:hAnsi="Calibri"/>
                <w:b/>
                <w:bCs/>
                <w:sz w:val="20"/>
                <w:szCs w:val="20"/>
              </w:rPr>
              <w:t xml:space="preserve">NET BENEFIT</w:t>
            </w:r>
          </w:p>
        </w:tc>
        <w:tc>
          <w:tcPr>
            <w:tcW w:type="dxa" w:w="20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+$1,739</w:t>
            </w:r>
          </w:p>
        </w:tc>
        <w:tc>
          <w:tcPr>
            <w:tcW w:type="dxa" w:w="20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+$20,868</w:t>
            </w:r>
          </w:p>
        </w:tc>
      </w:tr>
      <w:tr>
        <w:tc>
          <w:tcPr>
            <w:tcW w:type="dxa" w:w="5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after="40" w:before="40"/>
            </w:pPr>
            <w:r>
              <w:rPr>
                <w:rFonts w:ascii="Calibri" w:cs="Calibri" w:eastAsia="Calibri" w:hAnsi="Calibri"/>
                <w:b/>
                <w:bCs/>
                <w:sz w:val="20"/>
                <w:szCs w:val="20"/>
              </w:rPr>
              <w:t xml:space="preserve">ROI</w:t>
            </w:r>
          </w:p>
        </w:tc>
        <w:tc>
          <w:tcPr>
            <w:tcW w:type="dxa" w:w="208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~1,080%</w:t>
            </w:r>
          </w:p>
        </w:tc>
        <w:tc>
          <w:tcPr>
            <w:tcW w:type="dxa" w:w="208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~1,080% annualised</w:t>
            </w:r>
          </w:p>
        </w:tc>
      </w:tr>
    </w:tbl>
    <w:p>
      <w:pPr>
        <w:spacing w:after="0" w:before="100"/>
      </w:pPr>
      <w:r>
        <w:rPr>
          <w:rFonts w:ascii="Calibri" w:cs="Calibri" w:eastAsia="Calibri" w:hAnsi="Calibri"/>
        </w:rPr>
        <w:t xml:space="preserve"/>
      </w:r>
    </w:p>
    <w:p>
      <w:pPr>
        <w:pBdr>
          <w:left w:val="single" w:color="2563EB" w:sz="12" w:space="8"/>
        </w:pBdr>
        <w:shd w:fill="DBEAFE" w:val="clear"/>
        <w:spacing w:after="100" w:before="100"/>
        <w:ind w:left="280" w:right="280"/>
      </w:pPr>
      <w:r>
        <w:rPr>
          <w:rFonts w:ascii="Calibri" w:cs="Calibri" w:eastAsia="Calibri" w:hAnsi="Calibri"/>
          <w:b/>
          <w:bCs/>
          <w:color w:val="1B3A6B"/>
          <w:sz w:val="22"/>
          <w:szCs w:val="22"/>
        </w:rPr>
        <w:t xml:space="preserve">RECOMMENDATION ON TIER:  </w:t>
      </w:r>
      <w:r>
        <w:rPr>
          <w:rFonts w:ascii="Calibri" w:cs="Calibri" w:eastAsia="Calibri" w:hAnsi="Calibri"/>
          <w:color w:val="1E293B"/>
          <w:sz w:val="22"/>
          <w:szCs w:val="22"/>
        </w:rPr>
        <w:t xml:space="preserve">Begin with the $100/month entry-Ultra tier. Monitor compute utilisation over 60 days. Upgrade to the $200/month tier only if the 5-hour compute windows are consistently exhausted during normal working hours. Both tiers deliver strongly positive ROI.</w:t>
      </w:r>
    </w:p>
    <w:p>
      <w:pPr>
        <w:spacing w:after="0" w:before="0"/>
      </w:pPr>
      <w:r>
        <w:br/>
      </w:r>
    </w:p>
    <w:p>
      <w:pPr>
        <w:pStyle w:val="Heading1"/>
        <w:shd w:fill="1B3A6B" w:val="clear"/>
        <w:spacing w:after="160" w:before="360"/>
        <w:ind w:left="200" w:right="200"/>
      </w:pPr>
      <w:r>
        <w:rPr>
          <w:rFonts w:ascii="Calibri" w:cs="Calibri" w:eastAsia="Calibri" w:hAnsi="Calibri"/>
          <w:b/>
          <w:bCs/>
          <w:color w:val="FFFFFF"/>
          <w:sz w:val="32"/>
          <w:szCs w:val="32"/>
        </w:rPr>
        <w:t xml:space="preserve">6.  Risk Assessment</w:t>
      </w:r>
    </w:p>
    <w:p>
      <w:pPr>
        <w:spacing w:after="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A balanced risk assessment is presented below. Risks of both the status quo (remaining on Copilot Pro+) and the proposed migration are evaluated.</w:t>
      </w:r>
    </w:p>
    <w:p>
      <w:pPr>
        <w:spacing w:after="0" w:before="8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6.1  Risks of Remaining on GitHub Copilot Pro+</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1440"/>
        <w:gridCol w:w="2240"/>
      </w:tblGrid>
      <w:tr>
        <w:trPr>
          <w:tblHeader/>
        </w:trPr>
        <w:tc>
          <w:tcPr>
            <w:tcW w:type="dxa" w:w="220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Risk Category</w:t>
            </w:r>
          </w:p>
        </w:tc>
        <w:tc>
          <w:tcPr>
            <w:tcW w:type="dxa" w:w="348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Description</w:t>
            </w:r>
          </w:p>
        </w:tc>
        <w:tc>
          <w:tcPr>
            <w:tcW w:type="dxa" w:w="144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Likelihood</w:t>
            </w:r>
          </w:p>
        </w:tc>
        <w:tc>
          <w:tcPr>
            <w:tcW w:type="dxa" w:w="224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Impact</w:t>
            </w:r>
          </w:p>
        </w:tc>
      </w:tr>
      <w:tr>
        <w:tc>
          <w:tcPr>
            <w:tcW w:type="dxa" w:w="22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Escalating Costs</w:t>
            </w:r>
          </w:p>
        </w:tc>
        <w:tc>
          <w:tcPr>
            <w:tcW w:type="dxa" w:w="348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Usage-based billing (live June 1, 2026) ties costs directly to token consumption. Heavy agentic use of Claude Sonnet 4 or GPT-4.1 will generate variable monthly bills that are difficult to budget or forecast.</w:t>
            </w:r>
          </w:p>
        </w:tc>
        <w:tc>
          <w:tcPr>
            <w:tcW w:type="dxa" w:w="144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HIGH</w:t>
            </w:r>
          </w:p>
        </w:tc>
        <w:tc>
          <w:tcPr>
            <w:tcW w:type="dxa" w:w="224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HIGH</w:t>
            </w:r>
          </w:p>
        </w:tc>
      </w:tr>
      <w:tr>
        <w:tc>
          <w:tcPr>
            <w:tcW w:type="dxa" w:w="22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Recurring Productivity Loss</w:t>
            </w:r>
          </w:p>
        </w:tc>
        <w:tc>
          <w:tcPr>
            <w:tcW w:type="dxa" w:w="348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The structural mismatch between a $39/month allocation and intensive daily usage guarantees continued mid-month capability degradation. This is not a configuration issue — it is a plan-design constraint.</w:t>
            </w:r>
          </w:p>
        </w:tc>
        <w:tc>
          <w:tcPr>
            <w:tcW w:type="dxa" w:w="144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CERTAIN</w:t>
            </w:r>
          </w:p>
        </w:tc>
        <w:tc>
          <w:tcPr>
            <w:tcW w:type="dxa" w:w="224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HIGH</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Delivery Timeline Risk</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Features requiring sustained AI collaboration during the degraded window will take longer to deliver or may be deprioritised. This creates hidden schedule risk on sprint commitments.</w:t>
            </w:r>
          </w:p>
        </w:tc>
        <w:tc>
          <w:tcPr>
            <w:tcW w:type="dxa" w:w="14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HIGH</w:t>
            </w:r>
          </w:p>
        </w:tc>
        <w:tc>
          <w:tcPr>
            <w:tcW w:type="dxa" w:w="2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MEDIUM</w:t>
            </w:r>
          </w:p>
        </w:tc>
      </w:tr>
      <w:tr>
        <w:tc>
          <w:tcPr>
            <w:tcW w:type="dxa" w:w="22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Billing Surprise Risk</w:t>
            </w:r>
          </w:p>
        </w:tc>
        <w:tc>
          <w:tcPr>
            <w:tcW w:type="dxa" w:w="348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Under metered billing, unexpectedly intensive tasks (e.g., large codebase refactors) can generate premium request charges that appear on the bill with no prior warning to the developer.</w:t>
            </w:r>
          </w:p>
        </w:tc>
        <w:tc>
          <w:tcPr>
            <w:tcW w:type="dxa" w:w="144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MEDIUM</w:t>
            </w:r>
          </w:p>
        </w:tc>
        <w:tc>
          <w:tcPr>
            <w:tcW w:type="dxa" w:w="224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MEDIUM</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Platform Evolution Risk</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GitHub's pricing architecture is actively shifting. Further changes to AI Credit valuation, model multipliers, or included allowances cannot be ruled out in the next 12 months.</w:t>
            </w:r>
          </w:p>
        </w:tc>
        <w:tc>
          <w:tcPr>
            <w:tcW w:type="dxa" w:w="14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MEDIUM</w:t>
            </w:r>
          </w:p>
        </w:tc>
        <w:tc>
          <w:tcPr>
            <w:tcW w:type="dxa" w:w="2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MEDIUM</w:t>
            </w:r>
          </w:p>
        </w:tc>
      </w:tr>
    </w:tbl>
    <w:p>
      <w:pPr>
        <w:spacing w:after="0" w:before="12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6.2  Risks of Migrating to Google Antigravity Ultra</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1440"/>
        <w:gridCol w:w="2240"/>
      </w:tblGrid>
      <w:tr>
        <w:trPr>
          <w:tblHeader/>
        </w:trPr>
        <w:tc>
          <w:tcPr>
            <w:tcW w:type="dxa" w:w="220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Risk Category</w:t>
            </w:r>
          </w:p>
        </w:tc>
        <w:tc>
          <w:tcPr>
            <w:tcW w:type="dxa" w:w="348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Description</w:t>
            </w:r>
          </w:p>
        </w:tc>
        <w:tc>
          <w:tcPr>
            <w:tcW w:type="dxa" w:w="144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Likelihood</w:t>
            </w:r>
          </w:p>
        </w:tc>
        <w:tc>
          <w:tcPr>
            <w:tcW w:type="dxa" w:w="224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Impact / Mitigation</w:t>
            </w:r>
          </w:p>
        </w:tc>
      </w:tr>
      <w:tr>
        <w:tc>
          <w:tcPr>
            <w:tcW w:type="dxa" w:w="22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Platform Pricing Instability</w:t>
            </w:r>
          </w:p>
        </w:tc>
        <w:tc>
          <w:tcPr>
            <w:tcW w:type="dxa" w:w="348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Antigravity has revised its pricing and quotas multiple times since launch (November 2025 to June 2026). Developers have reported unexpected quota reductions. The pricing structure, while improved, should be monitored monthly.</w:t>
            </w:r>
          </w:p>
        </w:tc>
        <w:tc>
          <w:tcPr>
            <w:tcW w:type="dxa" w:w="144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MEDIUM</w:t>
            </w:r>
          </w:p>
        </w:tc>
        <w:tc>
          <w:tcPr>
            <w:tcW w:type="dxa" w:w="224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MEDIUM — mitigated by pay-as-you-go credit top-ups and monthly review</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Opaque Compute Metrics</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The exact token-to-credit conversion rate for Antigravity's compute pool is not fully documented. It can be unclear how much compute a given agentic task will consume before execution.</w:t>
            </w:r>
          </w:p>
        </w:tc>
        <w:tc>
          <w:tcPr>
            <w:tcW w:type="dxa" w:w="14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MEDIUM</w:t>
            </w:r>
          </w:p>
        </w:tc>
        <w:tc>
          <w:tcPr>
            <w:tcW w:type="dxa" w:w="22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LOW — 5-hour refresh limits maximum downtime exposure to 5 hrs</w:t>
            </w:r>
          </w:p>
        </w:tc>
      </w:tr>
      <w:tr>
        <w:tc>
          <w:tcPr>
            <w:tcW w:type="dxa" w:w="22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IDE / Workflow Transition</w:t>
            </w:r>
          </w:p>
        </w:tc>
        <w:tc>
          <w:tcPr>
            <w:tcW w:type="dxa" w:w="34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Antigravity's IDE is a VS Code fork; JetBrains support is limited via CLI only. If JetBrains is the primary IDE, some workflow adjustment will be required.</w:t>
            </w:r>
          </w:p>
        </w:tc>
        <w:tc>
          <w:tcPr>
            <w:tcW w:type="dxa" w:w="144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LOW-MED</w:t>
            </w:r>
          </w:p>
        </w:tc>
        <w:tc>
          <w:tcPr>
            <w:tcW w:type="dxa" w:w="224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LOW — CLI provides full capability; adoption curve estimated at 2–5 days</w:t>
            </w:r>
          </w:p>
        </w:tc>
      </w:tr>
      <w:tr>
        <w:tc>
          <w:tcPr>
            <w:tcW w:type="dxa" w:w="22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Model Quality Trade-off</w:t>
            </w:r>
          </w:p>
        </w:tc>
        <w:tc>
          <w:tcPr>
            <w:tcW w:type="dxa" w:w="34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Antigravity's primary model (Gemini 3.5 Flash) is optimised for speed. For tasks requiring deep reasoning, Claude Opus 4.7 or GPT-4.1 (available via Copilot) may outperform. Antigravity supports bring-your-own API key for premium model access.</w:t>
            </w:r>
          </w:p>
        </w:tc>
        <w:tc>
          <w:tcPr>
            <w:tcW w:type="dxa" w:w="144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LOW</w:t>
            </w:r>
          </w:p>
        </w:tc>
        <w:tc>
          <w:tcPr>
            <w:tcW w:type="dxa" w:w="224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LOW — mitigated by BYOK configuration for complex tasks</w:t>
            </w:r>
          </w:p>
        </w:tc>
      </w:tr>
      <w:tr>
        <w:tc>
          <w:tcPr>
            <w:tcW w:type="dxa" w:w="22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Higher Fixed Monthly Cost</w:t>
            </w:r>
          </w:p>
        </w:tc>
        <w:tc>
          <w:tcPr>
            <w:tcW w:type="dxa" w:w="34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At $100/month vs. $39/month, the nominal subscription cost is higher. This is outweighed by productivity ROI (Section 5) but must be approved in the operating budget.</w:t>
            </w:r>
          </w:p>
        </w:tc>
        <w:tc>
          <w:tcPr>
            <w:tcW w:type="dxa" w:w="144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CERTAIN</w:t>
            </w:r>
          </w:p>
        </w:tc>
        <w:tc>
          <w:tcPr>
            <w:tcW w:type="dxa" w:w="224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LOW — budget delta of $61/month is justified by $1,839 net benefit</w:t>
            </w:r>
          </w:p>
        </w:tc>
      </w:tr>
    </w:tbl>
    <w:p>
      <w:pPr>
        <w:spacing w:after="0" w:before="12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6.3  Scalability Considerations</w:t>
      </w:r>
    </w:p>
    <w:p>
      <w:pPr>
        <w:spacing w:after="80" w:before="80"/>
      </w:pPr>
      <w:r>
        <w:rPr>
          <w:rFonts w:ascii="Calibri" w:cs="Calibri" w:eastAsia="Calibri" w:hAnsi="Calibri"/>
          <w:sz w:val="22"/>
          <w:szCs w:val="22"/>
        </w:rPr>
        <w:t xml:space="preserve">Both platforms offer organisation-level plans for team scaling:</w:t>
      </w:r>
    </w:p>
    <w:p>
      <w:pPr>
        <w:pStyle w:val="ListParagraph"/>
        <w:numPr>
          <w:ilvl w:val="0"/>
          <w:numId w:val="2"/>
        </w:numPr>
        <w:spacing w:after="60" w:before="60"/>
        <w:ind w:left="720" w:hanging="360"/>
      </w:pPr>
      <w:r>
        <w:rPr>
          <w:rFonts w:ascii="Calibri" w:cs="Calibri" w:eastAsia="Calibri" w:hAnsi="Calibri"/>
          <w:b/>
          <w:bCs/>
          <w:sz w:val="22"/>
          <w:szCs w:val="22"/>
        </w:rPr>
        <w:t xml:space="preserve">GitHub Copilot Business:</w:t>
      </w:r>
      <w:r>
        <w:rPr>
          <w:rFonts w:ascii="Calibri" w:cs="Calibri" w:eastAsia="Calibri" w:hAnsi="Calibri"/>
          <w:sz w:val="22"/>
          <w:szCs w:val="22"/>
        </w:rPr>
        <w:t xml:space="preserve"> $19/user/month with metered premium requests. The same structural allocation constraints apply at team scale.</w:t>
      </w:r>
    </w:p>
    <w:p>
      <w:pPr>
        <w:pStyle w:val="ListParagraph"/>
        <w:numPr>
          <w:ilvl w:val="0"/>
          <w:numId w:val="2"/>
        </w:numPr>
        <w:spacing w:after="60" w:before="60"/>
        <w:ind w:left="720" w:hanging="360"/>
      </w:pPr>
      <w:r>
        <w:rPr>
          <w:rFonts w:ascii="Calibri" w:cs="Calibri" w:eastAsia="Calibri" w:hAnsi="Calibri"/>
          <w:b/>
          <w:bCs/>
          <w:sz w:val="22"/>
          <w:szCs w:val="22"/>
        </w:rPr>
        <w:t xml:space="preserve">Google Antigravity Enterprise:</w:t>
      </w:r>
      <w:r>
        <w:rPr>
          <w:rFonts w:ascii="Calibri" w:cs="Calibri" w:eastAsia="Calibri" w:hAnsi="Calibri"/>
          <w:sz w:val="22"/>
          <w:szCs w:val="22"/>
        </w:rPr>
        <w:t xml:space="preserve"> Available as part of Google Workspace / Google Cloud agreements with negotiated compute allocations. Antigravity's compute-pool model scales more predictably for teams.</w:t>
      </w:r>
    </w:p>
    <w:p>
      <w:pPr>
        <w:spacing w:after="80" w:before="80"/>
      </w:pPr>
      <w:r>
        <w:rPr>
          <w:rFonts w:ascii="Calibri" w:cs="Calibri" w:eastAsia="Calibri" w:hAnsi="Calibri"/>
          <w:sz w:val="22"/>
          <w:szCs w:val="22"/>
        </w:rPr>
        <w:t xml:space="preserve">Should headcount expand, the Antigravity platform's architecture is better suited to multi-user, multi-agent workloads without the per-user premium request contention that characterises Copilot's current model.</w:t>
      </w:r>
    </w:p>
    <w:p>
      <w:pPr>
        <w:spacing w:after="0" w:before="0"/>
      </w:pPr>
      <w:r>
        <w:br/>
      </w:r>
    </w:p>
    <w:p>
      <w:pPr>
        <w:pStyle w:val="Heading1"/>
        <w:shd w:fill="1B3A6B" w:val="clear"/>
        <w:spacing w:after="160" w:before="360"/>
        <w:ind w:left="200" w:right="200"/>
      </w:pPr>
      <w:r>
        <w:rPr>
          <w:rFonts w:ascii="Calibri" w:cs="Calibri" w:eastAsia="Calibri" w:hAnsi="Calibri"/>
          <w:b/>
          <w:bCs/>
          <w:color w:val="FFFFFF"/>
          <w:sz w:val="32"/>
          <w:szCs w:val="32"/>
        </w:rPr>
        <w:t xml:space="preserve">7.  Final Recommendation &amp; Decision</w:t>
      </w:r>
    </w:p>
    <w:p>
      <w:pPr>
        <w:spacing w:after="0" w:before="8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7.1  Executive Recommendation</w:t>
      </w:r>
    </w:p>
    <w:p>
      <w:pPr>
        <w:spacing w:after="0" w:before="60"/>
      </w:pPr>
      <w:r>
        <w:rPr>
          <w:rFonts w:ascii="Calibri" w:cs="Calibri" w:eastAsia="Calibri" w:hAnsi="Calibri"/>
        </w:rPr>
        <w:t xml:space="preserve"/>
      </w:r>
    </w:p>
    <w:p>
      <w:pPr>
        <w:pBdr>
          <w:left w:val="single" w:color="D97706" w:sz="16" w:space="10"/>
        </w:pBdr>
        <w:shd w:fill="1B3A6B" w:val="clear"/>
        <w:spacing w:after="160" w:before="160"/>
        <w:ind w:left="280" w:right="280"/>
      </w:pPr>
      <w:r>
        <w:rPr>
          <w:rFonts w:ascii="Calibri" w:cs="Calibri" w:eastAsia="Calibri" w:hAnsi="Calibri"/>
          <w:b/>
          <w:bCs/>
          <w:color w:val="FFFFFF"/>
          <w:sz w:val="26"/>
          <w:szCs w:val="26"/>
        </w:rPr>
        <w:t xml:space="preserve">RECOMMENDED ACTION: </w:t>
      </w:r>
      <w:r>
        <w:rPr>
          <w:rFonts w:ascii="Calibri" w:cs="Calibri" w:eastAsia="Calibri" w:hAnsi="Calibri"/>
          <w:b/>
          <w:bCs/>
          <w:color w:val="FDE68A"/>
          <w:sz w:val="26"/>
          <w:szCs w:val="26"/>
        </w:rPr>
        <w:t xml:space="preserve">APPROVE MIGRATION TO GOOGLE ANTIGRAVITY ULTRA</w:t>
      </w:r>
    </w:p>
    <w:p>
      <w:pPr>
        <w:spacing w:after="0" w:before="120"/>
      </w:pPr>
      <w:r>
        <w:rPr>
          <w:rFonts w:ascii="Calibri" w:cs="Calibri" w:eastAsia="Calibri" w:hAnsi="Calibri"/>
        </w:rPr>
        <w:t xml:space="preserve"/>
      </w:r>
    </w:p>
    <w:p>
      <w:pPr>
        <w:spacing w:after="80" w:before="80"/>
      </w:pPr>
      <w:r>
        <w:rPr>
          <w:rFonts w:ascii="Calibri" w:cs="Calibri" w:eastAsia="Calibri" w:hAnsi="Calibri"/>
          <w:sz w:val="22"/>
          <w:szCs w:val="22"/>
        </w:rPr>
        <w:t xml:space="preserve">After a rigorous evaluation of subscription economics, usage architecture, productivity impact, and financial return, the evidence strongly supports migrating from GitHub Copilot Pro+ to Google Antigravity Ultra. The recommendation is grounded in the following data-driven conclusions:</w:t>
      </w:r>
    </w:p>
    <w:p>
      <w:pPr>
        <w:spacing w:after="0" w:before="8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7.2  Key Decision Rationale</w:t>
      </w:r>
    </w:p>
    <w:p>
      <w:pPr>
        <w:spacing w:after="0" w:before="60"/>
      </w:pPr>
      <w:r>
        <w:rPr>
          <w:rFonts w:ascii="Calibri" w:cs="Calibri" w:eastAsia="Calibri" w:hAnsi="Calibri"/>
        </w:rPr>
        <w:t xml:space="preserve"/>
      </w:r>
    </w:p>
    <w:p>
      <w:pPr>
        <w:pStyle w:val="ListParagraph"/>
        <w:numPr>
          <w:ilvl w:val="0"/>
          <w:numId w:val="3"/>
        </w:numPr>
        <w:spacing w:after="80" w:before="80"/>
      </w:pPr>
      <w:r>
        <w:rPr>
          <w:rFonts w:ascii="Calibri" w:cs="Calibri" w:eastAsia="Calibri" w:hAnsi="Calibri"/>
          <w:b/>
          <w:bCs/>
          <w:sz w:val="22"/>
          <w:szCs w:val="22"/>
        </w:rPr>
        <w:t xml:space="preserve">The current plan is structurally inadequate for intensive use. </w:t>
      </w:r>
      <w:r>
        <w:rPr>
          <w:rFonts w:ascii="Calibri" w:cs="Calibri" w:eastAsia="Calibri" w:hAnsi="Calibri"/>
          <w:sz w:val="22"/>
          <w:szCs w:val="22"/>
        </w:rPr>
        <w:t xml:space="preserve">The Copilot Pro+ allocation — $39 in monthly AI Credits — is consumed in 10–15 working days by an active developer. This is not a usage anomaly; it is the predictable outcome of using premium AI models for professional development work. The plan was not designed for this usage profile.</w:t>
      </w:r>
    </w:p>
    <w:p>
      <w:pPr>
        <w:pStyle w:val="ListParagraph"/>
        <w:numPr>
          <w:ilvl w:val="0"/>
          <w:numId w:val="3"/>
        </w:numPr>
        <w:spacing w:after="80" w:before="80"/>
      </w:pPr>
      <w:r>
        <w:rPr>
          <w:rFonts w:ascii="Calibri" w:cs="Calibri" w:eastAsia="Calibri" w:hAnsi="Calibri"/>
          <w:b/>
          <w:bCs/>
          <w:sz w:val="22"/>
          <w:szCs w:val="22"/>
        </w:rPr>
        <w:t xml:space="preserve">The productivity cost of the status quo exceeds the cost of migration. </w:t>
      </w:r>
      <w:r>
        <w:rPr>
          <w:rFonts w:ascii="Calibri" w:cs="Calibri" w:eastAsia="Calibri" w:hAnsi="Calibri"/>
          <w:sz w:val="22"/>
          <w:szCs w:val="22"/>
        </w:rPr>
        <w:t xml:space="preserve">The estimated $1,515/month in lost productivity and disruption costs (excluding the subscription fee) dramatically exceeds the $61/month incremental investment in Antigravity Ultra (entry tier). Remaining on the current plan is the more expensive option.</w:t>
      </w:r>
    </w:p>
    <w:p>
      <w:pPr>
        <w:pStyle w:val="ListParagraph"/>
        <w:numPr>
          <w:ilvl w:val="0"/>
          <w:numId w:val="3"/>
        </w:numPr>
        <w:spacing w:after="80" w:before="80"/>
      </w:pPr>
      <w:r>
        <w:rPr>
          <w:rFonts w:ascii="Calibri" w:cs="Calibri" w:eastAsia="Calibri" w:hAnsi="Calibri"/>
          <w:b/>
          <w:bCs/>
          <w:sz w:val="22"/>
          <w:szCs w:val="22"/>
        </w:rPr>
        <w:t xml:space="preserve">The ROI is immediate and substantial. </w:t>
      </w:r>
      <w:r>
        <w:rPr>
          <w:rFonts w:ascii="Calibri" w:cs="Calibri" w:eastAsia="Calibri" w:hAnsi="Calibri"/>
          <w:sz w:val="22"/>
          <w:szCs w:val="22"/>
        </w:rPr>
        <w:t xml:space="preserve">The migration delivers a net monthly benefit of $1,839 against an incremental cost of $61, representing a 3,015% ROI with a payback period of less than one billing cycle. Even at the $200/month tier, the ROI exceeds 1,080% annually.</w:t>
      </w:r>
    </w:p>
    <w:p>
      <w:pPr>
        <w:pStyle w:val="ListParagraph"/>
        <w:numPr>
          <w:ilvl w:val="0"/>
          <w:numId w:val="3"/>
        </w:numPr>
        <w:spacing w:after="80" w:before="80"/>
      </w:pPr>
      <w:r>
        <w:rPr>
          <w:rFonts w:ascii="Calibri" w:cs="Calibri" w:eastAsia="Calibri" w:hAnsi="Calibri"/>
          <w:b/>
          <w:bCs/>
          <w:sz w:val="22"/>
          <w:szCs w:val="22"/>
        </w:rPr>
        <w:t xml:space="preserve">Antigravity's usage architecture solves the core problem. </w:t>
      </w:r>
      <w:r>
        <w:rPr>
          <w:rFonts w:ascii="Calibri" w:cs="Calibri" w:eastAsia="Calibri" w:hAnsi="Calibri"/>
          <w:sz w:val="22"/>
          <w:szCs w:val="22"/>
        </w:rPr>
        <w:t xml:space="preserve">The 5-hour rolling compute refresh eliminates the mid-month capability cliff that defines the Copilot Pro+ user experience. Maximum downtime exposure is 5 hours — not 11 working days.</w:t>
      </w:r>
    </w:p>
    <w:p>
      <w:pPr>
        <w:pStyle w:val="ListParagraph"/>
        <w:numPr>
          <w:ilvl w:val="0"/>
          <w:numId w:val="3"/>
        </w:numPr>
        <w:spacing w:after="80" w:before="80"/>
      </w:pPr>
      <w:r>
        <w:rPr>
          <w:rFonts w:ascii="Calibri" w:cs="Calibri" w:eastAsia="Calibri" w:hAnsi="Calibri"/>
          <w:b/>
          <w:bCs/>
          <w:sz w:val="22"/>
          <w:szCs w:val="22"/>
        </w:rPr>
        <w:t xml:space="preserve">Multi-agent capability unlocks a new productivity tier. </w:t>
      </w:r>
      <w:r>
        <w:rPr>
          <w:rFonts w:ascii="Calibri" w:cs="Calibri" w:eastAsia="Calibri" w:hAnsi="Calibri"/>
          <w:sz w:val="22"/>
          <w:szCs w:val="22"/>
        </w:rPr>
        <w:t xml:space="preserve">Antigravity Ultra's native support for up to 5 parallel agents enables workflows that are structurally impossible on Copilot Pro+, delivering throughput improvements estimated at 10–20% for complex, multi-file development tasks.</w:t>
      </w:r>
    </w:p>
    <w:p>
      <w:pPr>
        <w:pStyle w:val="ListParagraph"/>
        <w:numPr>
          <w:ilvl w:val="0"/>
          <w:numId w:val="3"/>
        </w:numPr>
        <w:spacing w:after="80" w:before="80"/>
      </w:pPr>
      <w:r>
        <w:rPr>
          <w:rFonts w:ascii="Calibri" w:cs="Calibri" w:eastAsia="Calibri" w:hAnsi="Calibri"/>
          <w:b/>
          <w:bCs/>
          <w:sz w:val="22"/>
          <w:szCs w:val="22"/>
        </w:rPr>
        <w:t xml:space="preserve">Risks are manageable and lower than the risk of inaction. </w:t>
      </w:r>
      <w:r>
        <w:rPr>
          <w:rFonts w:ascii="Calibri" w:cs="Calibri" w:eastAsia="Calibri" w:hAnsi="Calibri"/>
          <w:sz w:val="22"/>
          <w:szCs w:val="22"/>
        </w:rPr>
        <w:t xml:space="preserve">Antigravity's pricing history warrants monitoring, but the 5-hour refresh cadence caps downside exposure. GitHub's new usage-based billing model introduces a higher and less predictable financial risk for intensive users than Antigravity's fixed-tier subscription.</w:t>
      </w:r>
    </w:p>
    <w:p>
      <w:pPr>
        <w:spacing w:after="0" w:before="8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7.3  Recommended Implementation Steps</w:t>
      </w:r>
    </w:p>
    <w:p>
      <w:pPr>
        <w:pStyle w:val="ListParagraph"/>
        <w:numPr>
          <w:ilvl w:val="0"/>
          <w:numId w:val="2"/>
        </w:numPr>
        <w:spacing w:after="60" w:before="60"/>
        <w:ind w:left="720" w:hanging="360"/>
      </w:pPr>
      <w:r>
        <w:rPr>
          <w:rFonts w:ascii="Calibri" w:cs="Calibri" w:eastAsia="Calibri" w:hAnsi="Calibri"/>
          <w:b/>
          <w:bCs/>
          <w:sz w:val="22"/>
          <w:szCs w:val="22"/>
        </w:rPr>
        <w:t xml:space="preserve">Immediate (Week 1): </w:t>
      </w:r>
      <w:r>
        <w:rPr>
          <w:rFonts w:ascii="Calibri" w:cs="Calibri" w:eastAsia="Calibri" w:hAnsi="Calibri"/>
          <w:sz w:val="22"/>
          <w:szCs w:val="22"/>
        </w:rPr>
        <w:t xml:space="preserve">Initiate Google AI Ultra subscription at the $100/month entry tier.</w:t>
      </w:r>
    </w:p>
    <w:p>
      <w:pPr>
        <w:pStyle w:val="ListParagraph"/>
        <w:numPr>
          <w:ilvl w:val="0"/>
          <w:numId w:val="2"/>
        </w:numPr>
        <w:spacing w:after="60" w:before="60"/>
        <w:ind w:left="720" w:hanging="360"/>
      </w:pPr>
      <w:r>
        <w:rPr>
          <w:rFonts w:ascii="Calibri" w:cs="Calibri" w:eastAsia="Calibri" w:hAnsi="Calibri"/>
          <w:b/>
          <w:bCs/>
          <w:sz w:val="22"/>
          <w:szCs w:val="22"/>
        </w:rPr>
        <w:t xml:space="preserve">Onboarding (Week 1–2): </w:t>
      </w:r>
      <w:r>
        <w:rPr>
          <w:rFonts w:ascii="Calibri" w:cs="Calibri" w:eastAsia="Calibri" w:hAnsi="Calibri"/>
          <w:sz w:val="22"/>
          <w:szCs w:val="22"/>
        </w:rPr>
        <w:t xml:space="preserve">Configure Antigravity CLI and/or IDE. Establish bring-your-own API key for Claude or GPT-4.1 access on tasks requiring advanced reasoning.</w:t>
      </w:r>
    </w:p>
    <w:p>
      <w:pPr>
        <w:pStyle w:val="ListParagraph"/>
        <w:numPr>
          <w:ilvl w:val="0"/>
          <w:numId w:val="2"/>
        </w:numPr>
        <w:spacing w:after="60" w:before="60"/>
        <w:ind w:left="720" w:hanging="360"/>
      </w:pPr>
      <w:r>
        <w:rPr>
          <w:rFonts w:ascii="Calibri" w:cs="Calibri" w:eastAsia="Calibri" w:hAnsi="Calibri"/>
          <w:b/>
          <w:bCs/>
          <w:sz w:val="22"/>
          <w:szCs w:val="22"/>
        </w:rPr>
        <w:t xml:space="preserve">Parallel monitoring (Month 1–2): </w:t>
      </w:r>
      <w:r>
        <w:rPr>
          <w:rFonts w:ascii="Calibri" w:cs="Calibri" w:eastAsia="Calibri" w:hAnsi="Calibri"/>
          <w:sz w:val="22"/>
          <w:szCs w:val="22"/>
        </w:rPr>
        <w:t xml:space="preserve">Track Antigravity compute utilisation across 5-hour windows. Document productivity and workflow quality.</w:t>
      </w:r>
    </w:p>
    <w:p>
      <w:pPr>
        <w:pStyle w:val="ListParagraph"/>
        <w:numPr>
          <w:ilvl w:val="0"/>
          <w:numId w:val="2"/>
        </w:numPr>
        <w:spacing w:after="60" w:before="60"/>
        <w:ind w:left="720" w:hanging="360"/>
      </w:pPr>
      <w:r>
        <w:rPr>
          <w:rFonts w:ascii="Calibri" w:cs="Calibri" w:eastAsia="Calibri" w:hAnsi="Calibri"/>
          <w:b/>
          <w:bCs/>
          <w:sz w:val="22"/>
          <w:szCs w:val="22"/>
        </w:rPr>
        <w:t xml:space="preserve">Review decision point (End of Month 2): </w:t>
      </w:r>
      <w:r>
        <w:rPr>
          <w:rFonts w:ascii="Calibri" w:cs="Calibri" w:eastAsia="Calibri" w:hAnsi="Calibri"/>
          <w:sz w:val="22"/>
          <w:szCs w:val="22"/>
        </w:rPr>
        <w:t xml:space="preserve">Evaluate whether entry-Ultra compute is sufficient or whether upgrade to the $200/month tier is warranted.</w:t>
      </w:r>
    </w:p>
    <w:p>
      <w:pPr>
        <w:pStyle w:val="ListParagraph"/>
        <w:numPr>
          <w:ilvl w:val="0"/>
          <w:numId w:val="2"/>
        </w:numPr>
        <w:spacing w:after="60" w:before="60"/>
        <w:ind w:left="720" w:hanging="360"/>
      </w:pPr>
      <w:r>
        <w:rPr>
          <w:rFonts w:ascii="Calibri" w:cs="Calibri" w:eastAsia="Calibri" w:hAnsi="Calibri"/>
          <w:b/>
          <w:bCs/>
          <w:sz w:val="22"/>
          <w:szCs w:val="22"/>
        </w:rPr>
        <w:t xml:space="preserve">Cancel Copilot Pro+ (End of Month 1): </w:t>
      </w:r>
      <w:r>
        <w:rPr>
          <w:rFonts w:ascii="Calibri" w:cs="Calibri" w:eastAsia="Calibri" w:hAnsi="Calibri"/>
          <w:sz w:val="22"/>
          <w:szCs w:val="22"/>
        </w:rPr>
        <w:t xml:space="preserve">Terminate the GitHub Copilot Pro+ subscription once Antigravity workflows are validated.</w:t>
      </w:r>
    </w:p>
    <w:p>
      <w:pPr>
        <w:spacing w:after="0" w:before="80"/>
      </w:pPr>
      <w:r>
        <w:rPr>
          <w:rFonts w:ascii="Calibri" w:cs="Calibri" w:eastAsia="Calibri" w:hAnsi="Calibri"/>
        </w:rPr>
        <w:t xml:space="preserve"/>
      </w:r>
    </w:p>
    <w:p>
      <w:pPr>
        <w:pStyle w:val="Heading3"/>
        <w:spacing w:after="80" w:before="200"/>
      </w:pPr>
      <w:r>
        <w:rPr>
          <w:rFonts w:ascii="Calibri" w:cs="Calibri" w:eastAsia="Calibri" w:hAnsi="Calibri"/>
          <w:b/>
          <w:bCs/>
          <w:color w:val="2563EB"/>
          <w:sz w:val="22"/>
          <w:szCs w:val="22"/>
        </w:rPr>
        <w:t xml:space="preserve">7.4  Approval Request</w:t>
      </w:r>
    </w:p>
    <w:p>
      <w:pPr>
        <w:spacing w:after="80" w:before="80"/>
      </w:pPr>
      <w:r>
        <w:rPr>
          <w:rFonts w:ascii="Calibri" w:cs="Calibri" w:eastAsia="Calibri" w:hAnsi="Calibri"/>
          <w:sz w:val="22"/>
          <w:szCs w:val="22"/>
        </w:rPr>
        <w:t xml:space="preserve">Executive approval is requested for the following:</w:t>
      </w:r>
    </w:p>
    <w:p>
      <w:pPr>
        <w:spacing w:after="0" w:before="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Item</w:t>
            </w:r>
          </w:p>
        </w:tc>
        <w:tc>
          <w:tcPr>
            <w:tcW w:type="dxa" w:w="208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Monthly Budget</w:t>
            </w:r>
          </w:p>
        </w:tc>
        <w:tc>
          <w:tcPr>
            <w:tcW w:type="dxa" w:w="2080"/>
            <w:tcBorders>
              <w:top w:val="single" w:color="2563EB" w:sz="4"/>
              <w:left w:val="none" w:color="FFFFFF" w:sz="0"/>
              <w:bottom w:val="single" w:color="2563EB" w:sz="4"/>
              <w:right w:val="none" w:color="FFFFFF" w:sz="0"/>
            </w:tcBorders>
            <w:shd w:fill="2563E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Annual Budget</w:t>
            </w:r>
          </w:p>
        </w:tc>
      </w:tr>
      <w:tr>
        <w:tc>
          <w:tcPr>
            <w:tcW w:type="dxa" w:w="5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Google AI Ultra subscription (entry tier — $100/month)</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$100</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$1,200</w:t>
            </w:r>
          </w:p>
        </w:tc>
      </w:tr>
      <w:tr>
        <w:tc>
          <w:tcPr>
            <w:tcW w:type="dxa" w:w="5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Optional: pay-as-you-go credit reserve (if needed)</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$0–$50</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$0–$600</w:t>
            </w:r>
          </w:p>
        </w:tc>
      </w:tr>
      <w:tr>
        <w:tc>
          <w:tcPr>
            <w:tcW w:type="dxa" w:w="52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left"/>
            </w:pPr>
            <w:r>
              <w:rPr>
                <w:rFonts w:ascii="Calibri" w:cs="Calibri" w:eastAsia="Calibri" w:hAnsi="Calibri"/>
                <w:sz w:val="20"/>
                <w:szCs w:val="20"/>
              </w:rPr>
              <w:t xml:space="preserve">Cancel: GitHub Copilot Pro+ subscription</w:t>
            </w:r>
          </w:p>
        </w:tc>
        <w:tc>
          <w:tcPr>
            <w:tcW w:type="dxa" w:w="20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−$39 saving</w:t>
            </w:r>
          </w:p>
        </w:tc>
        <w:tc>
          <w:tcPr>
            <w:tcW w:type="dxa" w:w="20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−$468 saving</w:t>
            </w:r>
          </w:p>
        </w:tc>
      </w:tr>
      <w:tr>
        <w:tc>
          <w:tcPr>
            <w:tcW w:type="dxa" w:w="5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after="40" w:before="40"/>
            </w:pPr>
            <w:r>
              <w:rPr>
                <w:rFonts w:ascii="Calibri" w:cs="Calibri" w:eastAsia="Calibri" w:hAnsi="Calibri"/>
                <w:b/>
                <w:bCs/>
                <w:sz w:val="20"/>
                <w:szCs w:val="20"/>
              </w:rPr>
              <w:t xml:space="preserve">NET BUDGET IMPACT</w:t>
            </w:r>
          </w:p>
        </w:tc>
        <w:tc>
          <w:tcPr>
            <w:tcW w:type="dxa" w:w="208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1B3A6B"/>
                <w:sz w:val="22"/>
                <w:szCs w:val="22"/>
              </w:rPr>
              <w:t xml:space="preserve">+$61/month</w:t>
            </w:r>
          </w:p>
        </w:tc>
        <w:tc>
          <w:tcPr>
            <w:tcW w:type="dxa" w:w="208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1B3A6B"/>
                <w:sz w:val="22"/>
                <w:szCs w:val="22"/>
              </w:rPr>
              <w:t xml:space="preserve">+$732/year</w:t>
            </w:r>
          </w:p>
        </w:tc>
      </w:tr>
    </w:tbl>
    <w:p>
      <w:pPr>
        <w:spacing w:after="0" w:before="120"/>
      </w:pPr>
      <w:r>
        <w:rPr>
          <w:rFonts w:ascii="Calibri" w:cs="Calibri" w:eastAsia="Calibri" w:hAnsi="Calibri"/>
        </w:rPr>
        <w:t xml:space="preserve"/>
      </w:r>
    </w:p>
    <w:p>
      <w:pPr>
        <w:pBdr>
          <w:left w:val="single" w:color="2563EB" w:sz="12" w:space="8"/>
        </w:pBdr>
        <w:shd w:fill="DBEAFE" w:val="clear"/>
        <w:spacing w:after="100" w:before="100"/>
        <w:ind w:left="280" w:right="280"/>
      </w:pPr>
      <w:r>
        <w:rPr>
          <w:rFonts w:ascii="Calibri" w:cs="Calibri" w:eastAsia="Calibri" w:hAnsi="Calibri"/>
          <w:b/>
          <w:bCs/>
          <w:color w:val="1B3A6B"/>
          <w:sz w:val="22"/>
          <w:szCs w:val="22"/>
        </w:rPr>
        <w:t xml:space="preserve">CONCLUSION:  </w:t>
      </w:r>
      <w:r>
        <w:rPr>
          <w:rFonts w:ascii="Calibri" w:cs="Calibri" w:eastAsia="Calibri" w:hAnsi="Calibri"/>
          <w:color w:val="1E293B"/>
          <w:sz w:val="22"/>
          <w:szCs w:val="22"/>
        </w:rPr>
        <w:t xml:space="preserve">The migration from GitHub Copilot Pro+ to Google Antigravity Ultra is financially and operationally justified. The $61/month incremental investment eliminates a structural productivity bottleneck that costs the organisation an estimated $1,515/month in lost developer output. The business case is clear, the ROI is immediate, and the risk of inaction materially exceeds the risk of migration. Leadership approval to proceed is respectfully requested.</w:t>
      </w:r>
    </w:p>
    <w:p>
      <w:pPr>
        <w:spacing w:after="0" w:before="200"/>
      </w:pPr>
      <w:r>
        <w:rPr>
          <w:rFonts w:ascii="Calibri" w:cs="Calibri" w:eastAsia="Calibri" w:hAnsi="Calibri"/>
        </w:rPr>
        <w:t xml:space="preserve"/>
      </w:r>
    </w:p>
    <w:p>
      <w:pPr>
        <w:spacing w:after="80" w:before="80"/>
        <w:jc w:val="center"/>
      </w:pPr>
      <w:r>
        <w:rPr>
          <w:rFonts w:ascii="Calibri" w:cs="Calibri" w:eastAsia="Calibri" w:hAnsi="Calibri"/>
          <w:i/>
          <w:iCs/>
          <w:color w:val="94A3B8"/>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6"/>
      </w:pBdr>
    </w:pPr>
    <w:r>
      <w:rPr>
        <w:rFonts w:ascii="Calibri" w:cs="Calibri" w:eastAsia="Calibri" w:hAnsi="Calibri"/>
        <w:color w:val="64748B"/>
        <w:sz w:val="18"/>
        <w:szCs w:val="18"/>
      </w:rPr>
      <w:t xml:space="preserve">Internal Use Only  |  Prepared for Executive Review  |  June 2026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3A6B" w:val="clear"/>
      <w:spacing w:after="80" w:before="80"/>
      <w:ind w:left="200" w:right="200"/>
    </w:pPr>
    <w:r>
      <w:rPr>
        <w:rFonts w:ascii="Calibri" w:cs="Calibri" w:eastAsia="Calibri" w:hAnsi="Calibri"/>
        <w:b/>
        <w:bCs/>
        <w:color w:val="FFFFFF"/>
        <w:sz w:val="18"/>
        <w:szCs w:val="18"/>
      </w:rPr>
      <w:t xml:space="preserve">CONFIDENTIAL — EXECUTIVE BUSINESS CASE</w:t>
    </w:r>
    <w:r>
      <w:rPr>
        <w:rFonts w:ascii="Calibri" w:cs="Calibri" w:eastAsia="Calibri" w:hAnsi="Calibri"/>
        <w:color w:val="BFD7FF"/>
        <w:sz w:val="18"/>
        <w:szCs w:val="18"/>
      </w:rPr>
      <w:t xml:space="preserve">    |    AI Developer Tooling: Platform Migration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FFFFFF"/>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1B3A6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2026-06-05T00:42:52.505Z</dcterms:created>
  <dcterms:modified xsi:type="dcterms:W3CDTF">2026-06-05T00:42:52.505Z</dcterms:modified>
</cp:coreProperties>
</file>

<file path=docProps/custom.xml><?xml version="1.0" encoding="utf-8"?>
<Properties xmlns="http://schemas.openxmlformats.org/officeDocument/2006/custom-properties" xmlns:vt="http://schemas.openxmlformats.org/officeDocument/2006/docPropsVTypes"/>
</file>