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40" w:before="6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pacing w:val="30"/>
          <w:sz w:val="26"/>
          <w:szCs w:val="26"/>
          <w:rtl w:val="false"/>
        </w:rPr>
        <w:t xml:space="preserve">KAYAN</w:t>
      </w: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21"/>
          <w:szCs w:val="21"/>
          <w:rtl w:val="false"/>
        </w:rPr>
        <w:t xml:space="preserve">      ◆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Ecosystem &amp; Platform</w:t>
      </w:r>
    </w:p>
    <w:p>
      <w:pPr>
        <w:bidi w:val="false"/>
        <w:spacing w:after="12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C8962E"/>
          <w:sz w:val="18"/>
          <w:szCs w:val="18"/>
          <w:rtl w:val="false"/>
        </w:rPr>
        <w:t xml:space="preserve">Connecting Excellence. Empowering Growth.</w:t>
      </w:r>
    </w:p>
    <w:p>
      <w:pPr>
        <w:bidi w:val="false"/>
        <w:spacing w:after="60" w:before="6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5A5A5A"/>
          <w:spacing w:val="20"/>
          <w:sz w:val="16"/>
          <w:szCs w:val="16"/>
          <w:rtl w:val="false"/>
        </w:rPr>
        <w:t xml:space="preserve">09 — Strategy &amp; Impact</w:t>
      </w:r>
    </w:p>
    <w:p>
      <w:pPr>
        <w:bidi w:val="false"/>
        <w:spacing w:after="20" w:before="4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40"/>
          <w:szCs w:val="40"/>
          <w:rtl w:val="false"/>
        </w:rPr>
        <w:t xml:space="preserve">Ecosystem &amp; Platform Strategy</w:t>
      </w:r>
    </w:p>
    <w:p>
      <w:pPr>
        <w:bidi/>
        <w:spacing w:after="60" w:before="60" w:line="276"/>
        <w:jc w:val="right"/>
      </w:pPr>
      <w:r>
        <w:rPr>
          <w:rFonts w:ascii="Cairo" w:cs="Cairo" w:eastAsia="Cairo" w:hAnsi="Cairo"/>
          <w:b/>
          <w:bCs/>
          <w:i w:val="false"/>
          <w:iCs w:val="false"/>
          <w:caps w:val="false"/>
          <w:color w:val="0D4F4F"/>
          <w:sz w:val="34"/>
          <w:szCs w:val="34"/>
          <w:rtl/>
        </w:rPr>
        <w:t xml:space="preserve">استراتيجية المنظومة والمنصة</w:t>
      </w:r>
    </w:p>
    <w:p>
      <w:pPr>
        <w:bidi w:val="false"/>
        <w:spacing w:after="120" w:before="80" w:line="276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20"/>
          <w:szCs w:val="20"/>
          <w:rtl w:val="false"/>
        </w:rPr>
        <w:t xml:space="preserve">◆ ◆ ◆</w:t>
      </w:r>
    </w:p>
    <w:p>
      <w:pPr>
        <w:bidi w:val="false"/>
        <w:spacing w:after="20" w:before="1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15"/>
          <w:sz w:val="18"/>
          <w:szCs w:val="18"/>
          <w:rtl w:val="false"/>
        </w:rPr>
        <w:t xml:space="preserve">What This Is</w:t>
      </w:r>
    </w:p>
    <w:p>
      <w:pPr>
        <w:bidi w:val="false"/>
        <w:spacing w:after="12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1A1A1A"/>
          <w:sz w:val="22"/>
          <w:szCs w:val="22"/>
          <w:rtl w:val="false"/>
        </w:rPr>
        <w:t xml:space="preserve">What Kayan really is, the market it serves, the flywheel that compounds it, and the platform it becomes.</w:t>
      </w:r>
    </w:p>
    <w:p>
      <w:pPr>
        <w:bidi w:val="false"/>
        <w:spacing w:after="3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5A5A5A"/>
          <w:sz w:val="18"/>
          <w:szCs w:val="18"/>
          <w:rtl w:val="false"/>
        </w:rPr>
        <w:t xml:space="preserve">A Yemeni operating institution      ◆      Aden</w:t>
      </w:r>
    </w:p>
    <w:p>
      <w:pPr>
        <w:bidi w:val="false"/>
        <w:spacing w:after="3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5A5A5A"/>
          <w:sz w:val="18"/>
          <w:szCs w:val="18"/>
          <w:rtl w:val="false"/>
        </w:rPr>
        <w:t xml:space="preserve">Kayan Innovation, Entrepreneurship &amp; Work Environments LLC</w:t>
      </w:r>
    </w:p>
    <w:p>
      <w:pPr>
        <w:bidi w:val="false"/>
        <w:spacing w:after="3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5A5A5A"/>
          <w:sz w:val="18"/>
          <w:szCs w:val="18"/>
          <w:rtl w:val="false"/>
        </w:rPr>
        <w:t xml:space="preserve">OWNER: CEO (MAHER FAISAL SAEED FAREA)      ◆      SHAREABLE — INVESTOR &amp; PARTNER</w:t>
      </w:r>
    </w:p>
    <w:p>
      <w:pPr>
        <w:bidi w:val="false"/>
        <w:spacing w:after="120" w:before="6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1A1A1A"/>
          <w:sz w:val="19"/>
          <w:szCs w:val="19"/>
          <w:rtl w:val="false"/>
        </w:rPr>
        <w:t xml:space="preserve">Effective 30 June 2026</w:t>
      </w:r>
    </w:p>
    <w:p>
      <w:pPr>
        <w:bidi w:val="false"/>
        <w:spacing w:after="20" w:before="1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15"/>
          <w:sz w:val="18"/>
          <w:szCs w:val="18"/>
          <w:rtl w:val="false"/>
        </w:rPr>
        <w:t xml:space="preserve">How It Operates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What this is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Kayan's ecosystem and platform strategy — the thesis, the market, the flywheel, the roadmap, and the moat.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Who it is for</w:t>
            </w:r>
          </w:p>
        </w:tc>
        <w:tc>
          <w:tcPr>
            <w:tcW w:type="pct" w:w="72%"/>
            <w:shd w:fill="F2F0E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The founding team, investors, and serious partners assessing what Kayan is and where it goes.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Approval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Owned by the CEO; the roadmap is maintained with the technology and finance leads.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When it is used</w:t>
            </w:r>
          </w:p>
        </w:tc>
        <w:tc>
          <w:tcPr>
            <w:tcW w:type="pct" w:w="72%"/>
            <w:shd w:fill="F2F0E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In investor conversations, partnership decisions, and the annual strategy review.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Workflow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Trust infrastructure → flywheel → platform (managed delivery, then direct selection, then community) → ventures.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Cost / fee</w:t>
            </w:r>
          </w:p>
        </w:tc>
        <w:tc>
          <w:tcPr>
            <w:tcW w:type="pct" w:w="72%"/>
            <w:shd w:fill="F2F0E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None — it is the investment and partnership case.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Owner &amp; review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CEO. Reviewed annually, roadmap quarterly.</w:t>
            </w:r>
          </w:p>
        </w:tc>
      </w:tr>
    </w:tbl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01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Thesis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What Kayan Really Is</w:t>
      </w:r>
    </w:p>
    <w:p>
      <w:pPr>
        <w:pBdr>
          <w:left w:val="single" w:color="C8962E" w:sz="18" w:space="14"/>
        </w:pBdr>
        <w:bidi w:val="false"/>
        <w:spacing w:after="100" w:before="20" w:line="276"/>
        <w:ind w:left="200"/>
        <w:jc w:val="left"/>
      </w:pP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C8962E"/>
          <w:sz w:val="21"/>
          <w:szCs w:val="21"/>
          <w:rtl w:val="false"/>
        </w:rPr>
        <w:t xml:space="preserve">Kayan is not a coworking space. It is the institutional trust layer that makes professional-service transactions possible where they currently cannot happen at scale.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In Aden today, a business that needs a developer, a designer, a consultant, or a project manager faces one problem: there is no credible way to verify credentials, enforce delivery, or secure payment. So transactions that should happen do not — or they happen informally, at risk, at a fraction of their value. Kayan solves this by placing itself in the middle. The Hub is the physical proof of credibility; the Kayan Card is the verification credential; the gate system and escrow are the delivery-and-payment enforcement; Kayan Forge is the talent pipeline; and the platform is the scale engine.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These are not separate products — they are interlocking components of a single trust infrastructure, each becoming more valuable as the others grow. That is why Kayan is a platform company at an early stage, not a services company — and the distinction governs how it is run, priced, financed, and valued.</w:t>
      </w:r>
    </w:p>
    <w:p>
      <w:pPr>
        <w:pBdr>
          <w:left w:val="single" w:color="0D4F4F" w:sz="18" w:space="14"/>
        </w:pBdr>
        <w:shd w:fill="F2F0EB" w:val="clear"/>
        <w:bidi w:val="false"/>
        <w:spacing w:after="120" w:before="60" w:line="276"/>
        <w:ind w:left="120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z w:val="16"/>
          <w:szCs w:val="16"/>
          <w:rtl w:val="false"/>
        </w:rPr>
        <w:t xml:space="preserve">FIGURE   ◆   </w:t>
      </w: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5A5A5A"/>
          <w:sz w:val="18"/>
          <w:szCs w:val="18"/>
          <w:rtl w:val="false"/>
        </w:rPr>
        <w:t xml:space="preserve">Five interlocking components — one trust infrastructure.</w:t>
      </w:r>
    </w:p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02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Market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The Market, Counted Correctly</w:t>
      </w:r>
    </w:p>
    <w:p>
      <w:pPr>
        <w:pBdr>
          <w:left w:val="single" w:color="C8962E" w:sz="18" w:space="14"/>
        </w:pBdr>
        <w:bidi w:val="false"/>
        <w:spacing w:after="100" w:before="20" w:line="276"/>
        <w:ind w:left="200"/>
        <w:jc w:val="left"/>
      </w:pP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C8962E"/>
          <w:sz w:val="21"/>
          <w:szCs w:val="21"/>
          <w:rtl w:val="false"/>
        </w:rPr>
        <w:t xml:space="preserve">Aden's professional-services market is not underdeveloped. It is underpinned.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Counting Aden's population or its potential coworking members undercounts the opportunity by an order of magnitude. The correct lens is the professional-services transaction economy of the southern governorates — the volume of work that needs to happen and currently cannot happen efficiently. It has three layers: the formal professionals of Aden who need credible infrastructure; the humanitarian and INGO procurement, training, and advisory spend that today flows to Amman, Cairo, and Dubai for want of credible Aden infrastructure to receive it; and the international clients that verified Yemeni professionals can serve through managed delivery. Kayan does not create this demand — it removes the friction that has been suppressing it.</w:t>
      </w:r>
    </w:p>
    <w:p>
      <w:pPr>
        <w:pBdr>
          <w:left w:val="single" w:color="0D4F4F" w:sz="18" w:space="14"/>
        </w:pBdr>
        <w:shd w:fill="F2F0EB" w:val="clear"/>
        <w:bidi w:val="false"/>
        <w:spacing w:after="120" w:before="60" w:line="276"/>
        <w:ind w:left="120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z w:val="16"/>
          <w:szCs w:val="16"/>
          <w:rtl w:val="false"/>
        </w:rPr>
        <w:t xml:space="preserve">FIGURE   ◆   </w:t>
      </w: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5A5A5A"/>
          <w:sz w:val="18"/>
          <w:szCs w:val="18"/>
          <w:rtl w:val="false"/>
        </w:rPr>
        <w:t xml:space="preserve">The opportunity, sized by transactions rather than population.</w:t>
      </w:r>
    </w:p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03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Flywheel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The Flywheel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The reason to build all the lines at once is that they compound. Density at the Hub makes Kayan the credible anchor; that draws professionals to seek Card verification; a verified registry is the prerequisite for managed delivery; Kayan Forge and INGO training feed both talent and institutional clients; and every completed delivery record strengthens the credential, which attracts more talent. By Year 3 the loop is self-sustaining and very hard to disrupt.</w:t>
      </w:r>
    </w:p>
    <w:p>
      <w:pPr>
        <w:pBdr>
          <w:left w:val="single" w:color="0D4F4F" w:sz="18" w:space="14"/>
        </w:pBdr>
        <w:shd w:fill="F2F0EB" w:val="clear"/>
        <w:bidi w:val="false"/>
        <w:spacing w:after="120" w:before="60" w:line="276"/>
        <w:ind w:left="120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z w:val="16"/>
          <w:szCs w:val="16"/>
          <w:rtl w:val="false"/>
        </w:rPr>
        <w:t xml:space="preserve">FIGURE   ◆   </w:t>
      </w: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5A5A5A"/>
          <w:sz w:val="18"/>
          <w:szCs w:val="18"/>
          <w:rtl w:val="false"/>
        </w:rPr>
        <w:t xml:space="preserve">Each element feeds the next — a services company has parts; a platform has a flywheel.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The discipline this demands is to never optimise one line at the expense of the loop. Raising the Hub day-pass to maximise short-term revenue reduces the density that makes the Hub valuable; narrowing Kayan Forge to only high-paying corporate training starves the talent pipeline. The strategic question for every decision is simply: what does this do to the flywheel?</w:t>
      </w:r>
    </w:p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04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Roadmap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The Platform Roadmap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The platform is built in deliberate stages, each unlocking the next, and from Phase 2 it offers clients two paths on the same verified base — managed delivery, where Kayan assembles and guarantees the pod, and direct selection, where the client picks verified talent on the open marketplace.</w:t>
      </w:r>
    </w:p>
    <w:p>
      <w:pPr>
        <w:pBdr>
          <w:left w:val="single" w:color="0D4F4F" w:sz="18" w:space="14"/>
        </w:pBdr>
        <w:shd w:fill="F2F0EB" w:val="clear"/>
        <w:bidi w:val="false"/>
        <w:spacing w:after="120" w:before="60" w:line="276"/>
        <w:ind w:left="120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z w:val="16"/>
          <w:szCs w:val="16"/>
          <w:rtl w:val="false"/>
        </w:rPr>
        <w:t xml:space="preserve">FIGURE   ◆   </w:t>
      </w: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5A5A5A"/>
          <w:sz w:val="18"/>
          <w:szCs w:val="18"/>
          <w:rtl w:val="false"/>
        </w:rPr>
        <w:t xml:space="preserve">From managed delivery to a marketplace, a community, and ultimately ventures.</w:t>
      </w:r>
    </w:p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05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Moat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The Moat</w:t>
      </w:r>
    </w:p>
    <w:p>
      <w:pPr>
        <w:pBdr>
          <w:left w:val="single" w:color="C8962E" w:sz="18" w:space="14"/>
        </w:pBdr>
        <w:bidi w:val="false"/>
        <w:spacing w:after="100" w:before="20" w:line="276"/>
        <w:ind w:left="200"/>
        <w:jc w:val="left"/>
      </w:pP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C8962E"/>
          <w:sz w:val="21"/>
          <w:szCs w:val="21"/>
          <w:rtl w:val="false"/>
        </w:rPr>
        <w:t xml:space="preserve">At roughly 300 verified Card holders and 100 completed delivery records, the accumulated institutional record becomes an asset no new entrant can replicate.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The physical space is evidence of credibility, not the business — any landlord can rent a floor; no one else has built what sits inside it. The defensibility is the accumulating record of verified people and guaranteed deliveries, and the fact that trust infrastructures in trust-scarce markets, once established, become structurally irreplaceable. The model is not theoretical; it has precedent in comparable markets: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400"/>
        <w:gridCol w:w="2360"/>
      </w:tblGrid>
      <w:tr>
        <w:trPr>
          <w:tblHeader/>
        </w:trPr>
        <w:tc>
          <w:tcPr>
            <w:tcW w:type="dxa" w:w="1700"/>
            <w:shd w:fill="0D4F4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  <w:rtl w:val="false"/>
              </w:rPr>
              <w:t xml:space="preserve">Precedent</w:t>
            </w:r>
          </w:p>
        </w:tc>
        <w:tc>
          <w:tcPr>
            <w:tcW w:type="dxa" w:w="2900"/>
            <w:shd w:fill="0D4F4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  <w:rtl w:val="false"/>
              </w:rPr>
              <w:t xml:space="preserve">Context</w:t>
            </w:r>
          </w:p>
        </w:tc>
        <w:tc>
          <w:tcPr>
            <w:tcW w:type="dxa" w:w="2400"/>
            <w:shd w:fill="0D4F4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  <w:rtl w:val="false"/>
              </w:rPr>
              <w:t xml:space="preserve">Result</w:t>
            </w:r>
          </w:p>
        </w:tc>
        <w:tc>
          <w:tcPr>
            <w:tcW w:type="dxa" w:w="2360"/>
            <w:shd w:fill="0D4F4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  <w:rtl w:val="false"/>
              </w:rPr>
              <w:t xml:space="preserve">Relevance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ActivSpaces (Buea)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Mid-sized city, post-conflict sentiment, no coworking precedent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Catalyst for an entire ecosystem; waitlist by Month 18</w:t>
            </w:r>
          </w:p>
        </w:tc>
        <w:tc>
          <w:tcPr>
            <w:tcW w:type="dxa" w:w="2360"/>
            <w:shd w:fill="FFFFF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Mirrors Kayan's founding-member thesis</w:t>
            </w:r>
          </w:p>
        </w:tc>
      </w:tr>
      <w:tr>
        <w:tc>
          <w:tcPr>
            <w:tcW w:type="dxa" w:w="1700"/>
            <w:shd w:fill="F2F0EB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Andela</w:t>
            </w:r>
          </w:p>
        </w:tc>
        <w:tc>
          <w:tcPr>
            <w:tcW w:type="dxa" w:w="2900"/>
            <w:shd w:fill="F2F0EB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Large informal tech pool, no verification, locked-out clients</w:t>
            </w:r>
          </w:p>
        </w:tc>
        <w:tc>
          <w:tcPr>
            <w:tcW w:type="dxa" w:w="2400"/>
            <w:shd w:fill="F2F0EB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~$1.2M Year-1 revenue on a trust + escrow model</w:t>
            </w:r>
          </w:p>
        </w:tc>
        <w:tc>
          <w:tcPr>
            <w:tcW w:type="dxa" w:w="2360"/>
            <w:shd w:fill="F2F0EB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Same model as Managed Delivery; gates are its quality framework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iMMAP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Conflict-affected markets, INGO/UN clients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$2,500–$8,000 per training event</w:t>
            </w:r>
          </w:p>
        </w:tc>
        <w:tc>
          <w:tcPr>
            <w:tcW w:type="dxa" w:w="2360"/>
            <w:shd w:fill="FFFFFF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Template for Kayan Forge's INGO channel; the Hub is a venue edge</w:t>
            </w:r>
          </w:p>
        </w:tc>
      </w:tr>
      <w:tr>
        <w:tc>
          <w:tcPr>
            <w:tcW w:type="dxa" w:w="1700"/>
            <w:shd w:fill="F2F0EB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Rwanda anchor</w:t>
            </w:r>
          </w:p>
        </w:tc>
        <w:tc>
          <w:tcPr>
            <w:tcW w:type="dxa" w:w="2900"/>
            <w:shd w:fill="F2F0EB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Post-conflict reconstruction, professional-services gap</w:t>
            </w:r>
          </w:p>
        </w:tc>
        <w:tc>
          <w:tcPr>
            <w:tcW w:type="dxa" w:w="2400"/>
            <w:shd w:fill="F2F0EB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Institutional anchor of the startup ecosystem within 24 months</w:t>
            </w:r>
          </w:p>
        </w:tc>
        <w:tc>
          <w:tcPr>
            <w:tcW w:type="dxa" w:w="2360"/>
            <w:shd w:fill="F2F0EB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bidi w:val="false"/>
              <w:spacing w:after="0" w:before="0" w:line="236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  <w:rtl w:val="false"/>
              </w:rPr>
              <w:t xml:space="preserve">First credible mover can reach institutional status fast</w:t>
            </w:r>
          </w:p>
        </w:tc>
      </w:tr>
    </w:tbl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06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Category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The Category &amp; the Arc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Kayan defines and owns a category — the professional infrastructure of the Yemeni economy — and the five-year arc runs from a single building on the Corniche to the institutional anchor of Aden's professional economy, then outward to every underserved talent market the same infrastructure can serve. Anyone can claim a global mission; Kayan's credibility is that it is doing it from a city the world counts out.</w:t>
      </w:r>
    </w:p>
    <w:p>
      <w:pPr>
        <w:bidi w:val="false"/>
        <w:spacing w:after="20" w:before="1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15"/>
          <w:sz w:val="18"/>
          <w:szCs w:val="18"/>
          <w:rtl w:val="false"/>
        </w:rPr>
        <w:t xml:space="preserve">Connected Systems &amp; Instruments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Theory of Change ◆ Revenue Architecture ◆ Kayan Ventures Framework ◆ Technology &amp; Platform OS ◆ Managed Delivery Operating Standard ◆ Investor Memorandum.</w:t>
      </w:r>
    </w:p>
    <w:sectPr>
      <w:footerReference w:type="default" r:id="rId7"/>
      <w:pgSz w:w="12240" w:h="15840" w:orient="portrait"/>
      <w:pgMar w:top="1300" w:right="1320" w:bottom="130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20" w:before="40" w:line="276"/>
      <w:jc w:val="center"/>
    </w:pPr>
    <w:r>
      <w:rPr>
        <w:rFonts w:ascii="Montserrat" w:cs="Montserrat" w:eastAsia="Montserrat" w:hAnsi="Montserrat"/>
        <w:b w:val="false"/>
        <w:bCs w:val="false"/>
        <w:i w:val="false"/>
        <w:iCs w:val="false"/>
        <w:caps w:val="false"/>
        <w:color w:val="C8962E"/>
        <w:sz w:val="14"/>
        <w:szCs w:val="14"/>
        <w:rtl w:val="false"/>
      </w:rPr>
      <w:t xml:space="preserve">—  —</w:t>
    </w:r>
  </w:p>
  <w:p>
    <w:pPr>
      <w:bidi w:val="false"/>
      <w:spacing w:after="60" w:before="0" w:line="276"/>
      <w:jc w:val="center"/>
    </w:pPr>
    <w:r>
      <w:rPr>
        <w:rFonts w:ascii="Montserrat" w:cs="Montserrat" w:eastAsia="Montserrat" w:hAnsi="Montserrat"/>
        <w:b/>
        <w:bCs/>
        <w:i w:val="false"/>
        <w:iCs w:val="false"/>
        <w:caps/>
        <w:color w:val="0D4F4F"/>
        <w:spacing w:val="15"/>
        <w:sz w:val="14"/>
        <w:szCs w:val="14"/>
        <w:rtl w:val="false"/>
      </w:rPr>
      <w:t xml:space="preserve">KAY-STR-ECO-001      ◆      Shareable — Investor &amp; Partner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Ecosystem &amp; Platform Strategy</dc:title>
  <dc:creator>Kayan</dc:creator>
  <cp:lastModifiedBy>Un-named</cp:lastModifiedBy>
  <cp:revision>1</cp:revision>
  <dcterms:created xsi:type="dcterms:W3CDTF">2026-05-28T08:13:01.980Z</dcterms:created>
  <dcterms:modified xsi:type="dcterms:W3CDTF">2026-05-28T08:13:01.980Z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