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sz w:val="48"/>
          <w:szCs w:val="48"/>
        </w:rPr>
        <w:t xml:space="preserve"/>
      </w:r>
    </w:p>
    <w:p>
      <w:pPr>
        <w:spacing w:before="160" w:after="80"/>
        <w:jc w:val="center"/>
      </w:pPr>
      <w:r>
        <w:rPr>
          <w:rFonts w:ascii="Arial" w:cs="Arial" w:eastAsia="Arial" w:hAnsi="Arial"/>
          <w:b/>
          <w:bCs/>
          <w:color w:val="022B22"/>
          <w:sz w:val="52"/>
          <w:szCs w:val="52"/>
        </w:rPr>
        <w:t xml:space="preserve">كيان للابتكار وريادة الأعمال وبيئات العمل</w:t>
      </w:r>
    </w:p>
    <w:p>
      <w:pPr>
        <w:spacing w:before="40" w:after="240"/>
        <w:jc w:val="center"/>
      </w:pPr>
      <w:r>
        <w:rPr>
          <w:rFonts w:ascii="Arial" w:cs="Arial" w:eastAsia="Arial" w:hAnsi="Arial"/>
          <w:color w:val="275D46"/>
          <w:sz w:val="26"/>
          <w:szCs w:val="26"/>
        </w:rPr>
        <w:t xml:space="preserve">Kayan Innovation, Entrepreneurship &amp; Work Environments LLC</w:t>
      </w:r>
    </w:p>
    <w:p>
      <w:pPr>
        <w:pBdr>
          <w:bottom w:val="single" w:color="569578" w:sz="4" w:space="1"/>
        </w:pBdr>
        <w:spacing w:before="80" w:after="80"/>
      </w:pPr>
      <w:r>
        <w:t xml:space="preserve"/>
      </w:r>
    </w:p>
    <w:p>
      <w:pPr>
        <w:spacing w:before="200" w:after="80"/>
        <w:jc w:val="center"/>
      </w:pPr>
      <w:r>
        <w:rPr>
          <w:rFonts w:ascii="Arial" w:cs="Arial" w:eastAsia="Arial" w:hAnsi="Arial"/>
          <w:b/>
          <w:bCs/>
          <w:color w:val="C8962E"/>
          <w:sz w:val="24"/>
          <w:szCs w:val="24"/>
        </w:rPr>
        <w:t xml:space="preserve">KAY-TECH-OS-008  |  v4.0</w:t>
      </w:r>
    </w:p>
    <w:p>
      <w:pPr>
        <w:spacing w:before="60" w:after="60"/>
        <w:jc w:val="center"/>
      </w:pPr>
      <w:r>
        <w:rPr>
          <w:rFonts w:ascii="Arial" w:cs="Arial" w:eastAsia="Arial" w:hAnsi="Arial"/>
          <w:b/>
          <w:bCs/>
          <w:color w:val="022B22"/>
          <w:sz w:val="44"/>
          <w:szCs w:val="44"/>
        </w:rPr>
        <w:t xml:space="preserve">TECH + WEBSITE + BASIC WEB APP</w:t>
      </w:r>
    </w:p>
    <w:p>
      <w:pPr>
        <w:spacing w:before="40" w:after="200"/>
        <w:jc w:val="center"/>
      </w:pPr>
      <w:r>
        <w:rPr>
          <w:rFonts w:ascii="Arial" w:cs="Arial" w:eastAsia="Arial" w:hAnsi="Arial"/>
          <w:i/>
          <w:iCs/>
          <w:color w:val="275D46"/>
          <w:sz w:val="30"/>
          <w:szCs w:val="30"/>
        </w:rPr>
        <w:t xml:space="preserve">Operating System Document</w:t>
      </w:r>
    </w:p>
    <w:p>
      <w:pPr>
        <w:pBdr>
          <w:bottom w:val="single" w:color="569578" w:sz="4" w:space="1"/>
        </w:pBdr>
        <w:spacing w:before="80" w:after="80"/>
      </w:pPr>
      <w:r>
        <w:t xml:space="preserve"/>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Document Code</w:t>
            </w:r>
          </w:p>
        </w:tc>
        <w:tc>
          <w:tcPr>
            <w:tcW w:type="dxa" w:w="702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KAY-TECH-OS-008</w:t>
            </w:r>
          </w:p>
        </w:tc>
      </w:tr>
      <w:tr>
        <w:tc>
          <w:tcPr>
            <w:tcW w:type="dxa" w:w="23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Version</w:t>
            </w:r>
          </w:p>
        </w:tc>
        <w:tc>
          <w:tcPr>
            <w:tcW w:type="dxa" w:w="702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v4.0 — March 2026</w:t>
            </w:r>
          </w:p>
        </w:tc>
      </w:tr>
      <w:tr>
        <w:tc>
          <w:tcPr>
            <w:tcW w:type="dxa" w:w="234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Status</w:t>
            </w:r>
          </w:p>
        </w:tc>
        <w:tc>
          <w:tcPr>
            <w:tcW w:type="dxa" w:w="702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LIVE — Governing Document</w:t>
            </w:r>
          </w:p>
        </w:tc>
      </w:tr>
      <w:tr>
        <w:tc>
          <w:tcPr>
            <w:tcW w:type="dxa" w:w="23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Owner Role</w:t>
            </w:r>
          </w:p>
        </w:tc>
        <w:tc>
          <w:tcPr>
            <w:tcW w:type="dxa" w:w="702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Chief Technology Officer (CTO) / Interim: CEO Maher Faisal</w:t>
            </w:r>
          </w:p>
        </w:tc>
      </w:tr>
      <w:tr>
        <w:tc>
          <w:tcPr>
            <w:tcW w:type="dxa" w:w="234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Go-Live Deadline</w:t>
            </w:r>
          </w:p>
        </w:tc>
        <w:tc>
          <w:tcPr>
            <w:tcW w:type="dxa" w:w="702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01 May 2026</w:t>
            </w:r>
          </w:p>
        </w:tc>
      </w:tr>
      <w:tr>
        <w:tc>
          <w:tcPr>
            <w:tcW w:type="dxa" w:w="23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Review Cycle</w:t>
            </w:r>
          </w:p>
        </w:tc>
        <w:tc>
          <w:tcPr>
            <w:tcW w:type="dxa" w:w="702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Monthly (M1–M12) → Quarterly (Year 2+)</w:t>
            </w:r>
          </w:p>
        </w:tc>
      </w:tr>
      <w:tr>
        <w:tc>
          <w:tcPr>
            <w:tcW w:type="dxa" w:w="234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Domain</w:t>
            </w:r>
          </w:p>
        </w:tc>
        <w:tc>
          <w:tcPr>
            <w:tcW w:type="dxa" w:w="702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kayanwork.com | platform.kayanwork.com</w:t>
            </w:r>
          </w:p>
        </w:tc>
      </w:tr>
      <w:tr>
        <w:tc>
          <w:tcPr>
            <w:tcW w:type="dxa" w:w="23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Governing Law</w:t>
            </w:r>
          </w:p>
        </w:tc>
        <w:tc>
          <w:tcPr>
            <w:tcW w:type="dxa" w:w="702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Commercial Companies Law No. 22/1997 (Yemen)</w:t>
            </w:r>
          </w:p>
        </w:tc>
      </w:tr>
    </w:tbl>
    <w:p>
      <w:pPr>
        <w:spacing w:before="40" w:after="40"/>
      </w:pPr>
      <w:r>
        <w:t xml:space="preserve"/>
      </w:r>
    </w:p>
    <w:p>
      <w:pPr>
        <w:spacing w:before="40" w:after="40"/>
      </w:pPr>
      <w:r>
        <w:t xml:space="preserve"/>
      </w:r>
    </w:p>
    <w:p>
      <w:pPr>
        <w:jc w:val="center"/>
      </w:pPr>
      <w:r>
        <w:rPr>
          <w:rFonts w:ascii="Arial" w:cs="Arial" w:eastAsia="Arial" w:hAnsi="Arial"/>
          <w:b/>
          <w:bCs/>
          <w:color w:val="C8962E"/>
          <w:sz w:val="20"/>
          <w:szCs w:val="20"/>
        </w:rPr>
        <w:t xml:space="preserve">⚠ CLASSIFICATION: INTERNAL — CONFIDENTIAL</w:t>
      </w:r>
    </w:p>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1 — HOW THIS OS MAKES, KEEPS &amp; PROTECTS MONEY</w:t>
      </w:r>
      <w:r>
        <w:rPr>
          <w:rFonts w:ascii="Arial" w:cs="Arial" w:eastAsia="Arial" w:hAnsi="Arial"/>
          <w:b w:val="false"/>
          <w:bCs w:val="false"/>
          <w:color w:val="275D46"/>
          <w:sz w:val="28"/>
          <w:szCs w:val="28"/>
        </w:rPr>
        <w:t xml:space="preserve">  كيف يحقق هذا النظام الإيرادات ويحمي النقد</w:t>
      </w:r>
    </w:p>
    <w:p>
      <w:pPr>
        <w:spacing w:before="80" w:after="80"/>
        <w:jc w:val="left"/>
      </w:pPr>
      <w:r>
        <w:rPr>
          <w:rFonts w:ascii="Arial" w:cs="Arial" w:eastAsia="Arial" w:hAnsi="Arial"/>
          <w:b w:val="false"/>
          <w:bCs w:val="false"/>
          <w:i/>
          <w:iCs/>
          <w:color w:val="1A1A1A"/>
          <w:sz w:val="22"/>
          <w:szCs w:val="22"/>
        </w:rPr>
        <w:t xml:space="preserve">This section is mandatory per Kayan OS standards. Maximum: one page. Every technology investment made under this OS must be traceable to a revenue line, cost avoidance, or compliance obligation.</w:t>
      </w:r>
    </w:p>
    <w:p>
      <w:pPr>
        <w:pBdr>
          <w:bottom w:val="single" w:color="569578" w:sz="4" w:space="1"/>
        </w:pBdr>
        <w:spacing w:before="80" w:after="80"/>
      </w:pPr>
      <w:r>
        <w:t xml:space="preserve"/>
      </w:r>
    </w:p>
    <w:p>
      <w:pPr>
        <w:pStyle w:val="Heading2"/>
        <w:spacing w:before="280" w:after="120"/>
      </w:pPr>
      <w:r>
        <w:rPr>
          <w:rFonts w:ascii="Arial" w:cs="Arial" w:eastAsia="Arial" w:hAnsi="Arial"/>
          <w:b/>
          <w:bCs/>
          <w:color w:val="275D46"/>
          <w:sz w:val="28"/>
          <w:szCs w:val="28"/>
        </w:rPr>
        <w:t xml:space="preserve">1.1  Direct Revenue Enablement</w:t>
      </w:r>
    </w:p>
    <w:p>
      <w:pPr>
        <w:spacing w:before="80" w:after="80"/>
        <w:jc w:val="left"/>
      </w:pPr>
      <w:r>
        <w:rPr>
          <w:rFonts w:ascii="Arial" w:cs="Arial" w:eastAsia="Arial" w:hAnsi="Arial"/>
          <w:b w:val="false"/>
          <w:bCs w:val="false"/>
          <w:i w:val="false"/>
          <w:iCs w:val="false"/>
          <w:color w:val="1A1A1A"/>
          <w:sz w:val="22"/>
          <w:szCs w:val="22"/>
        </w:rPr>
        <w:t xml:space="preserve">The Kayan digital platform is not a support function — it is the primary transaction infrastructure that makes revenue possible. Without it, Kayan Delivery cannot operate (no SOW intake, no escrow gate, no milestone tracking). Without it, Kayan Hub cannot sell memberships, Kayan Academy cannot enroll students, and Kayan Market cannot launch in Q2 2026. Every dollar of Kayan's projected USD 144,000+ Year-1 net revenue passes through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Revenue Line</w:t>
            </w:r>
          </w:p>
        </w:tc>
        <w:tc>
          <w:tcPr>
            <w:tcW w:type="dxa" w:w="228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Platform Feature Required</w:t>
            </w:r>
          </w:p>
        </w:tc>
        <w:tc>
          <w:tcPr>
            <w:tcW w:type="dxa" w:w="228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Year-1 Net Revenue (USD)</w:t>
            </w:r>
          </w:p>
        </w:tc>
        <w:tc>
          <w:tcPr>
            <w:tcW w:type="dxa" w:w="20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Risk if Platform Fails</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Delivery — 20% net fee</w:t>
            </w:r>
          </w:p>
        </w:tc>
        <w:tc>
          <w:tcPr>
            <w:tcW w:type="dxa" w:w="22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SOW intake → Escrow gate → Milestone tracker → Payout</w:t>
            </w:r>
          </w:p>
        </w:tc>
        <w:tc>
          <w:tcPr>
            <w:tcW w:type="dxa" w:w="22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$86,400 (target)</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Zero revenue</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Hub memberships</w:t>
            </w:r>
          </w:p>
        </w:tc>
        <w:tc>
          <w:tcPr>
            <w:tcW w:type="dxa" w:w="22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Space booking + Member portal + Invoice generation</w:t>
            </w:r>
          </w:p>
        </w:tc>
        <w:tc>
          <w:tcPr>
            <w:tcW w:type="dxa" w:w="22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$28,800</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Manual ops only, 40% revenue risk</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Academy enrollment</w:t>
            </w:r>
          </w:p>
        </w:tc>
        <w:tc>
          <w:tcPr>
            <w:tcW w:type="dxa" w:w="22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Course catalog + Registration + Payment</w:t>
            </w:r>
          </w:p>
        </w:tc>
        <w:tc>
          <w:tcPr>
            <w:tcW w:type="dxa" w:w="22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$18,000</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No enrollment → zero revenue</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Market (Q2 2026)</w:t>
            </w:r>
          </w:p>
        </w:tc>
        <w:tc>
          <w:tcPr>
            <w:tcW w:type="dxa" w:w="22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Freelancer registry + Client browse + Transaction</w:t>
            </w:r>
          </w:p>
        </w:tc>
        <w:tc>
          <w:tcPr>
            <w:tcW w:type="dxa" w:w="22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$12,000</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Launch delay = revenue gap</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Volunteer/Impact visibility</w:t>
            </w:r>
          </w:p>
        </w:tc>
        <w:tc>
          <w:tcPr>
            <w:tcW w:type="dxa" w:w="22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Volunteers portal + Impact subdomain</w:t>
            </w:r>
          </w:p>
        </w:tc>
        <w:tc>
          <w:tcPr>
            <w:tcW w:type="dxa" w:w="22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CSR / grant-readiness</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Reputational &amp; funding risk</w:t>
            </w:r>
          </w:p>
        </w:tc>
      </w:tr>
    </w:tbl>
    <w:p>
      <w:pPr>
        <w:pStyle w:val="Heading2"/>
        <w:spacing w:before="280" w:after="120"/>
      </w:pPr>
      <w:r>
        <w:rPr>
          <w:rFonts w:ascii="Arial" w:cs="Arial" w:eastAsia="Arial" w:hAnsi="Arial"/>
          <w:b/>
          <w:bCs/>
          <w:color w:val="275D46"/>
          <w:sz w:val="28"/>
          <w:szCs w:val="28"/>
        </w:rPr>
        <w:t xml:space="preserve">1.2  Cash Protection Mechanisms Built Into the Platform</w:t>
      </w:r>
    </w:p>
    <w:p>
      <w:pPr>
        <w:pStyle w:val="ListParagraph"/>
        <w:numPr>
          <w:ilvl w:val="0"/>
          <w:numId w:val="2"/>
        </w:numPr>
        <w:spacing w:before="40" w:after="40"/>
      </w:pPr>
      <w:r>
        <w:rPr>
          <w:rFonts w:ascii="Arial" w:cs="Arial" w:eastAsia="Arial" w:hAnsi="Arial"/>
          <w:b/>
          <w:bCs/>
          <w:color w:val="1A1A1A"/>
          <w:sz w:val="22"/>
          <w:szCs w:val="22"/>
        </w:rPr>
        <w:t xml:space="preserve">Escrow Gate Enforcement: No SOW + No 100% funded escrow = No Work trigger is coded into the client onboarding workflow. This is not advisory — it is a hard workflow block.</w:t>
      </w:r>
    </w:p>
    <w:p>
      <w:pPr>
        <w:pStyle w:val="ListParagraph"/>
        <w:numPr>
          <w:ilvl w:val="0"/>
          <w:numId w:val="2"/>
        </w:numPr>
        <w:spacing w:before="40" w:after="40"/>
      </w:pPr>
      <w:r>
        <w:rPr>
          <w:rFonts w:ascii="Arial" w:cs="Arial" w:eastAsia="Arial" w:hAnsi="Arial"/>
          <w:b w:val="false"/>
          <w:bCs w:val="false"/>
          <w:color w:val="1A1A1A"/>
          <w:sz w:val="22"/>
          <w:szCs w:val="22"/>
        </w:rPr>
        <w:t xml:space="preserve">Dual-Approval Ledger: Every payment action above the petty cash threshold (YER 50,000) requires two-factor approval logged with timestamp and user ID in the audit trail.</w:t>
      </w:r>
    </w:p>
    <w:p>
      <w:pPr>
        <w:pStyle w:val="ListParagraph"/>
        <w:numPr>
          <w:ilvl w:val="0"/>
          <w:numId w:val="2"/>
        </w:numPr>
        <w:spacing w:before="40" w:after="40"/>
      </w:pPr>
      <w:r>
        <w:rPr>
          <w:rFonts w:ascii="Arial" w:cs="Arial" w:eastAsia="Arial" w:hAnsi="Arial"/>
          <w:b w:val="false"/>
          <w:bCs w:val="false"/>
          <w:color w:val="1A1A1A"/>
          <w:sz w:val="22"/>
          <w:szCs w:val="22"/>
        </w:rPr>
        <w:t xml:space="preserve">Agent Model Compliance: Escrow wallets are coded as liability accounts, not revenue. The platform's Chart of Accounts integration reflects this. Only net fee entries trigger revenue recognition.</w:t>
      </w:r>
    </w:p>
    <w:p>
      <w:pPr>
        <w:pStyle w:val="ListParagraph"/>
        <w:numPr>
          <w:ilvl w:val="0"/>
          <w:numId w:val="2"/>
        </w:numPr>
        <w:spacing w:before="40" w:after="40"/>
      </w:pPr>
      <w:r>
        <w:rPr>
          <w:rFonts w:ascii="Arial" w:cs="Arial" w:eastAsia="Arial" w:hAnsi="Arial"/>
          <w:b w:val="false"/>
          <w:bCs w:val="false"/>
          <w:color w:val="1A1A1A"/>
          <w:sz w:val="22"/>
          <w:szCs w:val="22"/>
        </w:rPr>
        <w:t xml:space="preserve">Prohibited Channel Blocks: Payment flows exclude hawala, cryptocurrency, and personal account routing at the infrastructure level.</w:t>
      </w:r>
    </w:p>
    <w:p>
      <w:pPr>
        <w:pStyle w:val="ListParagraph"/>
        <w:numPr>
          <w:ilvl w:val="0"/>
          <w:numId w:val="2"/>
        </w:numPr>
        <w:spacing w:before="40" w:after="40"/>
      </w:pPr>
      <w:r>
        <w:rPr>
          <w:rFonts w:ascii="Arial" w:cs="Arial" w:eastAsia="Arial" w:hAnsi="Arial"/>
          <w:b w:val="false"/>
          <w:bCs w:val="false"/>
          <w:color w:val="1A1A1A"/>
          <w:sz w:val="22"/>
          <w:szCs w:val="22"/>
        </w:rPr>
        <w:t xml:space="preserve">Evidence Trail: Every client interaction, SOW acceptance, milestone approval, and payment event generates an immutable timestamped log, meeting the 36-month evidence retention requirement.</w:t>
      </w:r>
    </w:p>
    <w:p>
      <w:pPr>
        <w:pStyle w:val="Heading2"/>
        <w:spacing w:before="280" w:after="120"/>
      </w:pPr>
      <w:r>
        <w:rPr>
          <w:rFonts w:ascii="Arial" w:cs="Arial" w:eastAsia="Arial" w:hAnsi="Arial"/>
          <w:b/>
          <w:bCs/>
          <w:color w:val="275D46"/>
          <w:sz w:val="28"/>
          <w:szCs w:val="28"/>
        </w:rPr>
        <w:t xml:space="preserve">1.3  KPI Feed into Overall Kayan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rPr>
          <w:tblHeader/>
        </w:trPr>
        <w:tc>
          <w:tcPr>
            <w:tcW w:type="dxa" w:w="2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Tech KPI</w:t>
            </w:r>
          </w:p>
        </w:tc>
        <w:tc>
          <w:tcPr>
            <w:tcW w:type="dxa" w:w="2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Feeds into Kayan Master KPI</w:t>
            </w:r>
          </w:p>
        </w:tc>
        <w:tc>
          <w:tcPr>
            <w:tcW w:type="dxa" w:w="218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Target (M1–M6)</w:t>
            </w:r>
          </w:p>
        </w:tc>
        <w:tc>
          <w:tcPr>
            <w:tcW w:type="dxa" w:w="218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Target (M7–M12)</w:t>
            </w:r>
          </w:p>
        </w:tc>
      </w:tr>
      <w:tr>
        <w:tc>
          <w:tcPr>
            <w:tcW w:type="dxa" w:w="2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Platform uptime ≥ 99%</w:t>
            </w:r>
          </w:p>
        </w:tc>
        <w:tc>
          <w:tcPr>
            <w:tcW w:type="dxa" w:w="2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Revenue delivery reliability</w:t>
            </w:r>
          </w:p>
        </w:tc>
        <w:tc>
          <w:tcPr>
            <w:tcW w:type="dxa" w:w="21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99% uptime</w:t>
            </w:r>
          </w:p>
        </w:tc>
        <w:tc>
          <w:tcPr>
            <w:tcW w:type="dxa" w:w="21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99.5% uptime</w:t>
            </w:r>
          </w:p>
        </w:tc>
      </w:tr>
      <w:tr>
        <w:tc>
          <w:tcPr>
            <w:tcW w:type="dxa" w:w="2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 onboarding &lt; 24 hrs</w:t>
            </w:r>
          </w:p>
        </w:tc>
        <w:tc>
          <w:tcPr>
            <w:tcW w:type="dxa" w:w="2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 acquisition velocity</w:t>
            </w:r>
          </w:p>
        </w:tc>
        <w:tc>
          <w:tcPr>
            <w:tcW w:type="dxa" w:w="21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48 hrs (ramp)</w:t>
            </w:r>
          </w:p>
        </w:tc>
        <w:tc>
          <w:tcPr>
            <w:tcW w:type="dxa" w:w="21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24 hrs</w:t>
            </w:r>
          </w:p>
        </w:tc>
      </w:tr>
      <w:tr>
        <w:tc>
          <w:tcPr>
            <w:tcW w:type="dxa" w:w="2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SOW-to-Escrow cycle time</w:t>
            </w:r>
          </w:p>
        </w:tc>
        <w:tc>
          <w:tcPr>
            <w:tcW w:type="dxa" w:w="2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Cash conversion cycle</w:t>
            </w:r>
          </w:p>
        </w:tc>
        <w:tc>
          <w:tcPr>
            <w:tcW w:type="dxa" w:w="21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5 days</w:t>
            </w:r>
          </w:p>
        </w:tc>
        <w:tc>
          <w:tcPr>
            <w:tcW w:type="dxa" w:w="21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3 days</w:t>
            </w:r>
          </w:p>
        </w:tc>
      </w:tr>
      <w:tr>
        <w:tc>
          <w:tcPr>
            <w:tcW w:type="dxa" w:w="2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Audit trail completeness 100%</w:t>
            </w:r>
          </w:p>
        </w:tc>
        <w:tc>
          <w:tcPr>
            <w:tcW w:type="dxa" w:w="2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Compliance &amp; AML</w:t>
            </w:r>
          </w:p>
        </w:tc>
        <w:tc>
          <w:tcPr>
            <w:tcW w:type="dxa" w:w="21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 from Day 1</w:t>
            </w:r>
          </w:p>
        </w:tc>
        <w:tc>
          <w:tcPr>
            <w:tcW w:type="dxa" w:w="21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w:t>
            </w:r>
          </w:p>
        </w:tc>
      </w:tr>
      <w:tr>
        <w:tc>
          <w:tcPr>
            <w:tcW w:type="dxa" w:w="2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Mobile load time &lt; 5 sec (3G)</w:t>
            </w:r>
          </w:p>
        </w:tc>
        <w:tc>
          <w:tcPr>
            <w:tcW w:type="dxa" w:w="2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User adoption in Aden market</w:t>
            </w:r>
          </w:p>
        </w:tc>
        <w:tc>
          <w:tcPr>
            <w:tcW w:type="dxa" w:w="21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8 sec (ramp)</w:t>
            </w:r>
          </w:p>
        </w:tc>
        <w:tc>
          <w:tcPr>
            <w:tcW w:type="dxa" w:w="21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5 sec</w:t>
            </w:r>
          </w:p>
        </w:tc>
      </w:tr>
      <w:tr>
        <w:tc>
          <w:tcPr>
            <w:tcW w:type="dxa" w:w="2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Freelancer verifications / month</w:t>
            </w:r>
          </w:p>
        </w:tc>
        <w:tc>
          <w:tcPr>
            <w:tcW w:type="dxa" w:w="2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Talent supply growth</w:t>
            </w:r>
          </w:p>
        </w:tc>
        <w:tc>
          <w:tcPr>
            <w:tcW w:type="dxa" w:w="21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20 / month</w:t>
            </w:r>
          </w:p>
        </w:tc>
        <w:tc>
          <w:tcPr>
            <w:tcW w:type="dxa" w:w="218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50 / month</w:t>
            </w:r>
          </w:p>
        </w:tc>
      </w:tr>
      <w:tr>
        <w:tc>
          <w:tcPr>
            <w:tcW w:type="dxa" w:w="2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Arabic RTL error rate = 0%</w:t>
            </w:r>
          </w:p>
        </w:tc>
        <w:tc>
          <w:tcPr>
            <w:tcW w:type="dxa" w:w="2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Trust &amp; adoption</w:t>
            </w:r>
          </w:p>
        </w:tc>
        <w:tc>
          <w:tcPr>
            <w:tcW w:type="dxa" w:w="21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 from Day 1</w:t>
            </w:r>
          </w:p>
        </w:tc>
        <w:tc>
          <w:tcPr>
            <w:tcW w:type="dxa" w:w="218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r>
    </w:tbl>
    <w:p>
      <w:pPr>
        <w:pStyle w:val="Heading2"/>
        <w:spacing w:before="280" w:after="120"/>
      </w:pPr>
      <w:r>
        <w:rPr>
          <w:rFonts w:ascii="Arial" w:cs="Arial" w:eastAsia="Arial" w:hAnsi="Arial"/>
          <w:b/>
          <w:bCs/>
          <w:color w:val="275D46"/>
          <w:sz w:val="28"/>
          <w:szCs w:val="28"/>
        </w:rPr>
        <w:t xml:space="preserve">1.4  Risk Mitigation</w:t>
      </w:r>
    </w:p>
    <w:p>
      <w:pPr>
        <w:spacing w:before="80" w:after="80"/>
        <w:jc w:val="left"/>
      </w:pPr>
      <w:r>
        <w:rPr>
          <w:rFonts w:ascii="Arial" w:cs="Arial" w:eastAsia="Arial" w:hAnsi="Arial"/>
          <w:b w:val="false"/>
          <w:bCs w:val="false"/>
          <w:i w:val="false"/>
          <w:iCs w:val="false"/>
          <w:color w:val="1A1A1A"/>
          <w:sz w:val="22"/>
          <w:szCs w:val="22"/>
        </w:rPr>
        <w:t xml:space="preserve">Technology risk = business risk. A platform outage on Day 1 is not a technical inconvenience — it is a revenue default and a trust-destruction event in a market where Kayan's reputation is its only asset. The platform is therefore treated as critical infrastructure: designed for offline resilience, minimal dependency on stable internet, and full data exportability (Excel/CSV) to ensure operations can continue manually if required.</w:t>
      </w:r>
    </w:p>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2 — BUDGET LINES &amp; SPEND JUSTIFICATION</w:t>
      </w:r>
      <w:r>
        <w:rPr>
          <w:rFonts w:ascii="Arial" w:cs="Arial" w:eastAsia="Arial" w:hAnsi="Arial"/>
          <w:b w:val="false"/>
          <w:bCs w:val="false"/>
          <w:color w:val="275D46"/>
          <w:sz w:val="28"/>
          <w:szCs w:val="28"/>
        </w:rPr>
        <w:t xml:space="preserve">  خطوط الميزانية ومبررات الإنفاق</w:t>
      </w:r>
    </w:p>
    <w:p>
      <w:pPr>
        <w:spacing w:before="80" w:after="80"/>
        <w:jc w:val="left"/>
      </w:pPr>
      <w:r>
        <w:rPr>
          <w:rFonts w:ascii="Arial" w:cs="Arial" w:eastAsia="Arial" w:hAnsi="Arial"/>
          <w:b w:val="false"/>
          <w:bCs w:val="false"/>
          <w:i w:val="false"/>
          <w:iCs w:val="false"/>
          <w:color w:val="1A1A1A"/>
          <w:sz w:val="22"/>
          <w:szCs w:val="22"/>
        </w:rPr>
        <w:t xml:space="preserve">All figures are in USD. SSOT FX rate: 1 USD = 1,700 YER. OPEX ceiling: USD 4,510/month baseline; USD 5,000 maximum requires Board approval. Every line below includes ROI or risk-prevention justification.</w:t>
      </w:r>
    </w:p>
    <w:p>
      <w:pPr>
        <w:pBdr>
          <w:bottom w:val="single" w:color="569578" w:sz="4" w:space="1"/>
        </w:pBdr>
        <w:spacing w:before="80" w:after="80"/>
      </w:pPr>
      <w:r>
        <w:t xml:space="preserve"/>
      </w:r>
    </w:p>
    <w:p>
      <w:pPr>
        <w:pStyle w:val="Heading2"/>
        <w:spacing w:before="280" w:after="120"/>
      </w:pPr>
      <w:r>
        <w:rPr>
          <w:rFonts w:ascii="Arial" w:cs="Arial" w:eastAsia="Arial" w:hAnsi="Arial"/>
          <w:b/>
          <w:bCs/>
          <w:color w:val="275D46"/>
          <w:sz w:val="28"/>
          <w:szCs w:val="28"/>
        </w:rPr>
        <w:t xml:space="preserve">2.1  Pre-Launch CAPEX (April 2026 —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500"/>
        <w:gridCol w:w="1600"/>
        <w:gridCol w:w="2260"/>
      </w:tblGrid>
      <w:tr>
        <w:trPr>
          <w:tblHeader/>
        </w:trPr>
        <w:tc>
          <w:tcPr>
            <w:tcW w:type="dxa" w:w="2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Item</w:t>
            </w:r>
          </w:p>
        </w:tc>
        <w:tc>
          <w:tcPr>
            <w:tcW w:type="dxa" w:w="14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Qty</w:t>
            </w:r>
          </w:p>
        </w:tc>
        <w:tc>
          <w:tcPr>
            <w:tcW w:type="dxa" w:w="1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Unit Cost (USD)</w:t>
            </w:r>
          </w:p>
        </w:tc>
        <w:tc>
          <w:tcPr>
            <w:tcW w:type="dxa" w:w="1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Total (USD)</w:t>
            </w:r>
          </w:p>
        </w:tc>
        <w:tc>
          <w:tcPr>
            <w:tcW w:type="dxa" w:w="22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Justification / ROI</w:t>
            </w:r>
          </w:p>
        </w:tc>
      </w:tr>
      <w:tr>
        <w:tc>
          <w:tcPr>
            <w:tcW w:type="dxa" w:w="2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Domain + SSL certificates (2-yr)</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$80</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$80</w:t>
            </w:r>
          </w:p>
        </w:tc>
        <w:tc>
          <w:tcPr>
            <w:tcW w:type="dxa" w:w="22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Trust baseline; required for HTTPS and client data security</w:t>
            </w:r>
          </w:p>
        </w:tc>
      </w:tr>
      <w:tr>
        <w:tc>
          <w:tcPr>
            <w:tcW w:type="dxa" w:w="2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Cloud hosting setup (VPS)</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$300</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$300</w:t>
            </w:r>
          </w:p>
        </w:tc>
        <w:tc>
          <w:tcPr>
            <w:tcW w:type="dxa" w:w="22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Platform deployment; 99% uptime SLA; Aden-accessible</w:t>
            </w:r>
          </w:p>
        </w:tc>
      </w:tr>
      <w:tr>
        <w:tc>
          <w:tcPr>
            <w:tcW w:type="dxa" w:w="2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Website design &amp; build (local dev)</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$1,500</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$1,500</w:t>
            </w:r>
          </w:p>
        </w:tc>
        <w:tc>
          <w:tcPr>
            <w:tcW w:type="dxa" w:w="22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Day-1 revenue channel; trust-first bilingual design</w:t>
            </w:r>
          </w:p>
        </w:tc>
      </w:tr>
      <w:tr>
        <w:tc>
          <w:tcPr>
            <w:tcW w:type="dxa" w:w="2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Web App core build (auth + RBAC + modules)</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$3,500</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$3,500</w:t>
            </w:r>
          </w:p>
        </w:tc>
        <w:tc>
          <w:tcPr>
            <w:tcW w:type="dxa" w:w="22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Non-negotiable; platform = revenue infrastructure</w:t>
            </w:r>
          </w:p>
        </w:tc>
      </w:tr>
      <w:tr>
        <w:tc>
          <w:tcPr>
            <w:tcW w:type="dxa" w:w="2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Escrow module integration</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$800</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$800</w:t>
            </w:r>
          </w:p>
        </w:tc>
        <w:tc>
          <w:tcPr>
            <w:tcW w:type="dxa" w:w="22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Foundational compliance; No escrow = No work rule enforcement</w:t>
            </w:r>
          </w:p>
        </w:tc>
      </w:tr>
      <w:tr>
        <w:tc>
          <w:tcPr>
            <w:tcW w:type="dxa" w:w="2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Audit trail &amp; logging system</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$400</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$400</w:t>
            </w:r>
          </w:p>
        </w:tc>
        <w:tc>
          <w:tcPr>
            <w:tcW w:type="dxa" w:w="22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36-month evidence retention obligation; AML compliance</w:t>
            </w:r>
          </w:p>
        </w:tc>
      </w:tr>
      <w:tr>
        <w:tc>
          <w:tcPr>
            <w:tcW w:type="dxa" w:w="2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Arabic RTL QA testing</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$250</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$250</w:t>
            </w:r>
          </w:p>
        </w:tc>
        <w:tc>
          <w:tcPr>
            <w:tcW w:type="dxa" w:w="22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Trust failure risk in primary market; Aden-first audience</w:t>
            </w:r>
          </w:p>
        </w:tc>
      </w:tr>
      <w:tr>
        <w:tc>
          <w:tcPr>
            <w:tcW w:type="dxa" w:w="2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Security penetration test (basic)</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$500</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$500</w:t>
            </w:r>
          </w:p>
        </w:tc>
        <w:tc>
          <w:tcPr>
            <w:tcW w:type="dxa" w:w="22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 data protection; AML/sanctions compliance requirement</w:t>
            </w:r>
          </w:p>
        </w:tc>
      </w:tr>
      <w:tr>
        <w:tc>
          <w:tcPr>
            <w:tcW w:type="dxa" w:w="2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Backup &amp; disaster recovery setup</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$200</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$200</w:t>
            </w:r>
          </w:p>
        </w:tc>
        <w:tc>
          <w:tcPr>
            <w:tcW w:type="dxa" w:w="22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Business continuity; protects against platform-down revenue loss</w:t>
            </w:r>
          </w:p>
        </w:tc>
      </w:tr>
      <w:tr>
        <w:tc>
          <w:tcPr>
            <w:tcW w:type="dxa" w:w="2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TOTAL PRE-LAUNCH CAPEX</w:t>
            </w:r>
          </w:p>
        </w:tc>
        <w:tc>
          <w:tcPr>
            <w:tcW w:type="dxa" w:w="14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w:r>
          </w:p>
        </w:tc>
        <w:tc>
          <w:tcPr>
            <w:tcW w:type="dxa" w:w="1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w:r>
          </w:p>
        </w:tc>
        <w:tc>
          <w:tcPr>
            <w:tcW w:type="dxa" w:w="16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$7,530</w:t>
            </w:r>
          </w:p>
        </w:tc>
        <w:tc>
          <w:tcPr>
            <w:tcW w:type="dxa" w:w="22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FFFFFF"/>
                <w:sz w:val="20"/>
                <w:szCs w:val="20"/>
              </w:rPr>
              <w:t xml:space="preserve">Within CAPEX budget envelope</w:t>
            </w:r>
          </w:p>
        </w:tc>
      </w:tr>
    </w:tbl>
    <w:p>
      <w:pPr>
        <w:spacing w:before="40" w:after="40"/>
      </w:pPr>
      <w:r>
        <w:t xml:space="preserve"/>
      </w:r>
    </w:p>
    <w:p>
      <w:pPr>
        <w:pStyle w:val="Heading2"/>
        <w:spacing w:before="280" w:after="120"/>
      </w:pPr>
      <w:r>
        <w:rPr>
          <w:rFonts w:ascii="Arial" w:cs="Arial" w:eastAsia="Arial" w:hAnsi="Arial"/>
          <w:b/>
          <w:bCs/>
          <w:color w:val="275D46"/>
          <w:sz w:val="28"/>
          <w:szCs w:val="28"/>
        </w:rPr>
        <w:t xml:space="preserve">2.2  Recurring OPEX — Technology (Monthly,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Item</w:t>
            </w:r>
          </w:p>
        </w:tc>
        <w:tc>
          <w:tcPr>
            <w:tcW w:type="dxa" w:w="14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Month Cost (USD)</w:t>
            </w:r>
          </w:p>
        </w:tc>
        <w:tc>
          <w:tcPr>
            <w:tcW w:type="dxa" w:w="14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 of OPEX Ceiling</w:t>
            </w:r>
          </w:p>
        </w:tc>
        <w:tc>
          <w:tcPr>
            <w:tcW w:type="dxa" w:w="37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Justification</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Cloud hosting + CDN</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$120</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2.7%</w:t>
            </w:r>
          </w:p>
        </w:tc>
        <w:tc>
          <w:tcPr>
            <w:tcW w:type="dxa" w:w="37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Platform availability; Aden-resilient CDN routing</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Domain renewal / SSL</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$7</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0.2%</w:t>
            </w:r>
          </w:p>
        </w:tc>
        <w:tc>
          <w:tcPr>
            <w:tcW w:type="dxa" w:w="37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Trust baseline continuity</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Transactional email service</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$20</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0.4%</w:t>
            </w:r>
          </w:p>
        </w:tc>
        <w:tc>
          <w:tcPr>
            <w:tcW w:type="dxa" w:w="37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Client/talent communications; SOW notifications</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SMS gateway (OTP / alerts)</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$30</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0.7%</w:t>
            </w:r>
          </w:p>
        </w:tc>
        <w:tc>
          <w:tcPr>
            <w:tcW w:type="dxa" w:w="37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Security; mobile-first authentication for Aden users</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Backup / storage</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$25</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0.6%</w:t>
            </w:r>
          </w:p>
        </w:tc>
        <w:tc>
          <w:tcPr>
            <w:tcW w:type="dxa" w:w="37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Evidence retention compliance</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Monitoring + uptime alerts</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$15</w:t>
            </w:r>
          </w:p>
        </w:tc>
        <w:tc>
          <w:tcPr>
            <w:tcW w:type="dxa" w:w="14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0.3%</w:t>
            </w:r>
          </w:p>
        </w:tc>
        <w:tc>
          <w:tcPr>
            <w:tcW w:type="dxa" w:w="37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Revenue protection; detect outages before clients do</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Tech support retainer (local dev)</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$300</w:t>
            </w:r>
          </w:p>
        </w:tc>
        <w:tc>
          <w:tcPr>
            <w:tcW w:type="dxa" w:w="14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6.7%</w:t>
            </w:r>
          </w:p>
        </w:tc>
        <w:tc>
          <w:tcPr>
            <w:tcW w:type="dxa" w:w="37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Bug fixes, security patches, feature requests — interim CTO function</w:t>
            </w:r>
          </w:p>
        </w:tc>
      </w:tr>
      <w:tr>
        <w:tc>
          <w:tcPr>
            <w:tcW w:type="dxa" w:w="28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TOTAL TECH OPEX / MONTH</w:t>
            </w:r>
          </w:p>
        </w:tc>
        <w:tc>
          <w:tcPr>
            <w:tcW w:type="dxa" w:w="14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$517</w:t>
            </w:r>
          </w:p>
        </w:tc>
        <w:tc>
          <w:tcPr>
            <w:tcW w:type="dxa" w:w="1400"/>
            <w:tcBorders>
              <w:top w:val="single" w:color="569578" w:sz="4"/>
              <w:left w:val="single" w:color="569578" w:sz="4"/>
              <w:bottom w:val="single" w:color="569578" w:sz="4"/>
              <w:right w:val="single" w:color="569578" w:sz="4"/>
            </w:tcBorders>
            <w:shd w:fill="275D46"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FFFFFF"/>
                <w:sz w:val="20"/>
                <w:szCs w:val="20"/>
              </w:rPr>
              <w:t xml:space="preserve">11.5%</w:t>
            </w:r>
          </w:p>
        </w:tc>
        <w:tc>
          <w:tcPr>
            <w:tcW w:type="dxa" w:w="37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Well within ceiling. Dual-approval required for any increase.</w:t>
            </w:r>
          </w:p>
        </w:tc>
      </w:tr>
    </w:tbl>
    <w:p>
      <w:pPr>
        <w:spacing w:before="80" w:after="80"/>
        <w:jc w:val="left"/>
      </w:pPr>
      <w:r>
        <w:rPr>
          <w:rFonts w:ascii="Arial" w:cs="Arial" w:eastAsia="Arial" w:hAnsi="Arial"/>
          <w:b w:val="false"/>
          <w:bCs w:val="false"/>
          <w:i/>
          <w:iCs/>
          <w:color w:val="555555"/>
          <w:sz w:val="22"/>
          <w:szCs w:val="22"/>
        </w:rPr>
        <w:t xml:space="preserve">Note: Total tech OPEX of $517/month is 11.5% of the $4,510 baseline ceiling. Any increase above $600/month requires CEO + Finance dual approval with written ROI justification. Any increase above $800/month requires Board approval.</w:t>
      </w:r>
    </w:p>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3 — OWNER ROLES &amp; INTERIM HANDOVER PLAN</w:t>
      </w:r>
      <w:r>
        <w:rPr>
          <w:rFonts w:ascii="Arial" w:cs="Arial" w:eastAsia="Arial" w:hAnsi="Arial"/>
          <w:b w:val="false"/>
          <w:bCs w:val="false"/>
          <w:color w:val="275D46"/>
          <w:sz w:val="28"/>
          <w:szCs w:val="28"/>
        </w:rPr>
        <w:t xml:space="preserve">  أدوار المالكين وخطة التسليم المؤقت</w:t>
      </w:r>
    </w:p>
    <w:p>
      <w:pPr>
        <w:pBdr>
          <w:bottom w:val="single" w:color="569578"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2000"/>
        <w:gridCol w:w="2260"/>
      </w:tblGrid>
      <w:tr>
        <w:trPr>
          <w:tblHeader/>
        </w:trPr>
        <w:tc>
          <w:tcPr>
            <w:tcW w:type="dxa" w:w="18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Role Code</w:t>
            </w:r>
          </w:p>
        </w:tc>
        <w:tc>
          <w:tcPr>
            <w:tcW w:type="dxa" w:w="18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Role Title</w:t>
            </w:r>
          </w:p>
        </w:tc>
        <w:tc>
          <w:tcPr>
            <w:tcW w:type="dxa" w:w="1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Status</w:t>
            </w:r>
          </w:p>
        </w:tc>
        <w:tc>
          <w:tcPr>
            <w:tcW w:type="dxa" w:w="20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Current Owner</w:t>
            </w:r>
          </w:p>
        </w:tc>
        <w:tc>
          <w:tcPr>
            <w:tcW w:type="dxa" w:w="22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Handover Trigger</w:t>
            </w:r>
          </w:p>
        </w:tc>
      </w:tr>
      <w:tr>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TECH-01</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Chief Technology Officer (CTO)</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NOT YET HIRED</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Interim: CEO Maher Faisal</w:t>
            </w:r>
          </w:p>
        </w:tc>
        <w:tc>
          <w:tcPr>
            <w:tcW w:type="dxa" w:w="22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Hire by M3 (July 2026) or Board decision</w:t>
            </w:r>
          </w:p>
        </w:tc>
      </w:tr>
      <w:tr>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TECH-02</w:t>
            </w:r>
          </w:p>
        </w:tc>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Lead Developer / Platform Engineer</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CONTRACT (Day 1)</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Local Aden developer TBD</w:t>
            </w:r>
          </w:p>
        </w:tc>
        <w:tc>
          <w:tcPr>
            <w:tcW w:type="dxa" w:w="22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Full hire at M6 if revenue ≥ target</w:t>
            </w:r>
          </w:p>
        </w:tc>
      </w:tr>
      <w:tr>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TECH-03</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UI/UX Designer (Arabic-first)</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CONTRACT (Day 1)</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Freelancer via Kayan registry</w:t>
            </w:r>
          </w:p>
        </w:tc>
        <w:tc>
          <w:tcPr>
            <w:tcW w:type="dxa" w:w="22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Full hire at M9 or outsource sustained</w:t>
            </w:r>
          </w:p>
        </w:tc>
      </w:tr>
      <w:tr>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TECH-04</w:t>
            </w:r>
          </w:p>
        </w:tc>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QA / Testing Lead</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SHARED (M1–M6)</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Interim: Lead Developer covers</w:t>
            </w:r>
          </w:p>
        </w:tc>
        <w:tc>
          <w:tcPr>
            <w:tcW w:type="dxa" w:w="22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Separate role at M6 if platform scale demands</w:t>
            </w:r>
          </w:p>
        </w:tc>
      </w:tr>
      <w:tr>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TECH-05</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Data / Admin (Platform Ops)</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PART-TIME (Day 1)</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Ops Admin — dual role</w:t>
            </w:r>
          </w:p>
        </w:tc>
        <w:tc>
          <w:tcPr>
            <w:tcW w:type="dxa" w:w="22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Dedicated hire at M12 if data volume requires</w:t>
            </w:r>
          </w:p>
        </w:tc>
      </w:tr>
    </w:tbl>
    <w:p>
      <w:pPr>
        <w:spacing w:before="40" w:after="40"/>
      </w:pPr>
      <w:r>
        <w:t xml:space="preserve"/>
      </w:r>
    </w:p>
    <w:p>
      <w:pPr>
        <w:pStyle w:val="Heading2"/>
        <w:spacing w:before="280" w:after="120"/>
      </w:pPr>
      <w:r>
        <w:rPr>
          <w:rFonts w:ascii="Arial" w:cs="Arial" w:eastAsia="Arial" w:hAnsi="Arial"/>
          <w:b/>
          <w:bCs/>
          <w:color w:val="275D46"/>
          <w:sz w:val="28"/>
          <w:szCs w:val="28"/>
        </w:rPr>
        <w:t xml:space="preserve">3.1  Interim CTO Protocol (Until Hire)</w:t>
      </w:r>
    </w:p>
    <w:p>
      <w:pPr>
        <w:spacing w:before="80" w:after="80"/>
        <w:jc w:val="left"/>
      </w:pPr>
      <w:r>
        <w:rPr>
          <w:rFonts w:ascii="Arial" w:cs="Arial" w:eastAsia="Arial" w:hAnsi="Arial"/>
          <w:b w:val="false"/>
          <w:bCs w:val="false"/>
          <w:i w:val="false"/>
          <w:iCs w:val="false"/>
          <w:color w:val="1A1A1A"/>
          <w:sz w:val="22"/>
          <w:szCs w:val="22"/>
        </w:rPr>
        <w:t xml:space="preserve">Until a Chief Technology Officer is hired, the CTO function is split across three owners to prevent single points of failure:</w:t>
      </w:r>
    </w:p>
    <w:p>
      <w:pPr>
        <w:pStyle w:val="ListParagraph"/>
        <w:numPr>
          <w:ilvl w:val="0"/>
          <w:numId w:val="2"/>
        </w:numPr>
        <w:spacing w:before="40" w:after="40"/>
      </w:pPr>
      <w:r>
        <w:rPr>
          <w:rFonts w:ascii="Arial" w:cs="Arial" w:eastAsia="Arial" w:hAnsi="Arial"/>
          <w:b/>
          <w:bCs/>
          <w:color w:val="1A1A1A"/>
          <w:sz w:val="22"/>
          <w:szCs w:val="22"/>
        </w:rPr>
        <w:t xml:space="preserve">Strategic / Vendor decisions: CEO Maher Faisal (sole authority above $500 spend)</w:t>
      </w:r>
    </w:p>
    <w:p>
      <w:pPr>
        <w:pStyle w:val="ListParagraph"/>
        <w:numPr>
          <w:ilvl w:val="0"/>
          <w:numId w:val="2"/>
        </w:numPr>
        <w:spacing w:before="40" w:after="40"/>
      </w:pPr>
      <w:r>
        <w:rPr>
          <w:rFonts w:ascii="Arial" w:cs="Arial" w:eastAsia="Arial" w:hAnsi="Arial"/>
          <w:b w:val="false"/>
          <w:bCs w:val="false"/>
          <w:color w:val="1A1A1A"/>
          <w:sz w:val="22"/>
          <w:szCs w:val="22"/>
        </w:rPr>
        <w:t xml:space="preserve">Daily platform operations and developer liaison: Lead Developer (TECH-02)</w:t>
      </w:r>
    </w:p>
    <w:p>
      <w:pPr>
        <w:pStyle w:val="ListParagraph"/>
        <w:numPr>
          <w:ilvl w:val="0"/>
          <w:numId w:val="2"/>
        </w:numPr>
        <w:spacing w:before="40" w:after="40"/>
      </w:pPr>
      <w:r>
        <w:rPr>
          <w:rFonts w:ascii="Arial" w:cs="Arial" w:eastAsia="Arial" w:hAnsi="Arial"/>
          <w:b w:val="false"/>
          <w:bCs w:val="false"/>
          <w:color w:val="1A1A1A"/>
          <w:sz w:val="22"/>
          <w:szCs w:val="22"/>
        </w:rPr>
        <w:t xml:space="preserve">Compliance audit trail and evidence retention: Finance + Compliance Officer (shared)</w:t>
      </w:r>
    </w:p>
    <w:p>
      <w:pPr>
        <w:pStyle w:val="ListParagraph"/>
        <w:numPr>
          <w:ilvl w:val="0"/>
          <w:numId w:val="2"/>
        </w:numPr>
        <w:spacing w:before="40" w:after="40"/>
      </w:pPr>
      <w:r>
        <w:rPr>
          <w:rFonts w:ascii="Arial" w:cs="Arial" w:eastAsia="Arial" w:hAnsi="Arial"/>
          <w:b w:val="false"/>
          <w:bCs w:val="false"/>
          <w:color w:val="1A1A1A"/>
          <w:sz w:val="22"/>
          <w:szCs w:val="22"/>
        </w:rPr>
        <w:t xml:space="preserve">Weekly tech review: CEO chairs 30-minute review every Monday. Mandatory agenda: uptime report, open bugs, security incidents, spend vs. budget.</w:t>
      </w:r>
    </w:p>
    <w:p>
      <w:pPr>
        <w:pStyle w:val="Heading2"/>
        <w:spacing w:before="280" w:after="120"/>
      </w:pPr>
      <w:r>
        <w:rPr>
          <w:rFonts w:ascii="Arial" w:cs="Arial" w:eastAsia="Arial" w:hAnsi="Arial"/>
          <w:b/>
          <w:bCs/>
          <w:color w:val="275D46"/>
          <w:sz w:val="28"/>
          <w:szCs w:val="28"/>
        </w:rPr>
        <w:t xml:space="preserve">3.2  Hiring Plan Alignment</w:t>
      </w:r>
    </w:p>
    <w:p>
      <w:pPr>
        <w:spacing w:before="80" w:after="80"/>
        <w:jc w:val="left"/>
      </w:pPr>
      <w:r>
        <w:rPr>
          <w:rFonts w:ascii="Arial" w:cs="Arial" w:eastAsia="Arial" w:hAnsi="Arial"/>
          <w:b w:val="false"/>
          <w:bCs w:val="false"/>
          <w:i w:val="false"/>
          <w:iCs w:val="false"/>
          <w:color w:val="1A1A1A"/>
          <w:sz w:val="22"/>
          <w:szCs w:val="22"/>
        </w:rPr>
        <w:t xml:space="preserve">All role codes above are aligned to the Kayan Master Hiring Plan (KAYFIN107). TECH-01 (CTO) hire is conditional on: (a) platform stability confirmed post-launch, (b) Month-3 revenue ≥ 60% of target, and (c) Board approval. Salary envelope for CTO: USD 1,200–1,800/month (Aden market rate). Developer retainer in pre-hire period: max USD 300/month (within OPEX ceiling).</w:t>
      </w:r>
    </w:p>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4A — WEBSITE SPECIFICATIONS</w:t>
      </w:r>
      <w:r>
        <w:rPr>
          <w:rFonts w:ascii="Arial" w:cs="Arial" w:eastAsia="Arial" w:hAnsi="Arial"/>
          <w:b w:val="false"/>
          <w:bCs w:val="false"/>
          <w:color w:val="275D46"/>
          <w:sz w:val="28"/>
          <w:szCs w:val="28"/>
        </w:rPr>
        <w:t xml:space="preserve">  مواصفات الموقع الإلكتروني</w:t>
      </w:r>
    </w:p>
    <w:p>
      <w:pPr>
        <w:spacing w:before="80" w:after="80"/>
        <w:jc w:val="left"/>
      </w:pPr>
      <w:r>
        <w:rPr>
          <w:rFonts w:ascii="Arial" w:cs="Arial" w:eastAsia="Arial" w:hAnsi="Arial"/>
          <w:b w:val="false"/>
          <w:bCs w:val="false"/>
          <w:i w:val="false"/>
          <w:iCs w:val="false"/>
          <w:color w:val="1A1A1A"/>
          <w:sz w:val="22"/>
          <w:szCs w:val="22"/>
        </w:rPr>
        <w:t xml:space="preserve">Live deadline: 01 May 2026. Primary language: Arabic (RTL). Secondary: English (LTR). Domain: kayanwork.com. The website is the public face of Kayan's trust-first brand — every design decision must reinforce verified talent, gated delivery, escrow protection, and professional excellence.</w:t>
      </w:r>
    </w:p>
    <w:p>
      <w:pPr>
        <w:pBdr>
          <w:bottom w:val="single" w:color="569578" w:sz="4" w:space="1"/>
        </w:pBdr>
        <w:spacing w:before="80" w:after="80"/>
      </w:pPr>
      <w:r>
        <w:t xml:space="preserve"/>
      </w:r>
    </w:p>
    <w:p>
      <w:pPr>
        <w:pStyle w:val="Heading2"/>
        <w:spacing w:before="280" w:after="120"/>
      </w:pPr>
      <w:r>
        <w:rPr>
          <w:rFonts w:ascii="Arial" w:cs="Arial" w:eastAsia="Arial" w:hAnsi="Arial"/>
          <w:b/>
          <w:bCs/>
          <w:color w:val="275D46"/>
          <w:sz w:val="28"/>
          <w:szCs w:val="28"/>
        </w:rPr>
        <w:t xml:space="preserve">4A.1  Architecture — Pages Required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000"/>
        <w:gridCol w:w="1960"/>
      </w:tblGrid>
      <w:tr>
        <w:trPr>
          <w:tblHeader/>
        </w:trPr>
        <w:tc>
          <w:tcPr>
            <w:tcW w:type="dxa" w:w="1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Page</w:t>
            </w:r>
          </w:p>
        </w:tc>
        <w:tc>
          <w:tcPr>
            <w:tcW w:type="dxa" w:w="20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URL</w:t>
            </w:r>
          </w:p>
        </w:tc>
        <w:tc>
          <w:tcPr>
            <w:tcW w:type="dxa" w:w="18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Arabic Title</w:t>
            </w:r>
          </w:p>
        </w:tc>
        <w:tc>
          <w:tcPr>
            <w:tcW w:type="dxa" w:w="20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Primary Content</w:t>
            </w:r>
          </w:p>
        </w:tc>
        <w:tc>
          <w:tcPr>
            <w:tcW w:type="dxa" w:w="19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CTA</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Home</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kayanwork.com</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الرئيسية</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Hero, value props, social proof, trust signals, sub-brand cards</w:t>
            </w:r>
          </w:p>
        </w:tc>
        <w:tc>
          <w:tcPr>
            <w:tcW w:type="dxa" w:w="19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ابدأ مشروعك / Start Your Project</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Services</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/services</w:t>
            </w:r>
          </w:p>
        </w:tc>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خدماتنا</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Managed Delivery, Hub, Academy, Ready Products catalog</w:t>
            </w:r>
          </w:p>
        </w:tc>
        <w:tc>
          <w:tcPr>
            <w:tcW w:type="dxa" w:w="19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احصل على عرض / Get a Quote</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About</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/about</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من نحن</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Mission, team, values, Aden story, legal identity</w:t>
            </w:r>
          </w:p>
        </w:tc>
        <w:tc>
          <w:tcPr>
            <w:tcW w:type="dxa" w:w="19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تواصل معنا / Contact Us</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For Talent</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/talent</w:t>
            </w:r>
          </w:p>
        </w:tc>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للمواهب</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Why join, specializations, Kayan Card, vetting process, register</w:t>
            </w:r>
          </w:p>
        </w:tc>
        <w:tc>
          <w:tcPr>
            <w:tcW w:type="dxa" w:w="19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سجّل كمستقل / Register as Freelancer</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For Clients</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/clients</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للعملاء</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How it works, escrow protection, pod system, SLA, ready products</w:t>
            </w:r>
          </w:p>
        </w:tc>
        <w:tc>
          <w:tcPr>
            <w:tcW w:type="dxa" w:w="19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أطلب مشروعاً / Start a Project</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Hub</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/hub</w:t>
            </w:r>
          </w:p>
        </w:tc>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كيان هَب</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Coworking plans, hot desk, meeting rooms, booking, photos</w:t>
            </w:r>
          </w:p>
        </w:tc>
        <w:tc>
          <w:tcPr>
            <w:tcW w:type="dxa" w:w="19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احجز مكانك / Book a Seat</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Academy</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/academy</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كيان أكاديمي</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Courses, certifications, upcoming batches, enrollment</w:t>
            </w:r>
          </w:p>
        </w:tc>
        <w:tc>
          <w:tcPr>
            <w:tcW w:type="dxa" w:w="19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سجّل الآن / Enroll Now</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Volunteers</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/volunteers</w:t>
            </w:r>
          </w:p>
        </w:tc>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المتطوعون</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Impact story, volunteer program, application</w:t>
            </w:r>
          </w:p>
        </w:tc>
        <w:tc>
          <w:tcPr>
            <w:tcW w:type="dxa" w:w="19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تطوع معنا / Volunteer</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Card</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/card</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بطاقة كيان</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Card benefits for pods and freelancers, how to get</w:t>
            </w:r>
          </w:p>
        </w:tc>
        <w:tc>
          <w:tcPr>
            <w:tcW w:type="dxa" w:w="19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احصل على بطاقتك / Get Your Card</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Contact</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/contact</w:t>
            </w:r>
          </w:p>
        </w:tc>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تواصل معنا</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Map, phone, email, WhatsApp, office hours, form</w:t>
            </w:r>
          </w:p>
        </w:tc>
        <w:tc>
          <w:tcPr>
            <w:tcW w:type="dxa" w:w="19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أرسل رسالة / Send Message</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Privacy Policy</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/privacy</w:t>
            </w:r>
          </w:p>
        </w:tc>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سياسة الخصوصية</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GDPR-aligned, Arabic primary, consent language</w:t>
            </w:r>
          </w:p>
        </w:tc>
        <w:tc>
          <w:tcPr>
            <w:tcW w:type="dxa" w:w="19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 —</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CSR / Impact</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/impact</w:t>
            </w:r>
          </w:p>
        </w:tc>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المسؤولية المجتمعية</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Social responsibility narrative, impact data, partner logos</w:t>
            </w:r>
          </w:p>
        </w:tc>
        <w:tc>
          <w:tcPr>
            <w:tcW w:type="dxa" w:w="19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 —</w:t>
            </w:r>
          </w:p>
        </w:tc>
      </w:tr>
    </w:tbl>
    <w:p>
      <w:pPr>
        <w:spacing w:before="40" w:after="40"/>
      </w:pPr>
      <w:r>
        <w:t xml:space="preserve"/>
      </w:r>
    </w:p>
    <w:p>
      <w:pPr>
        <w:pStyle w:val="Heading2"/>
        <w:spacing w:before="280" w:after="120"/>
      </w:pPr>
      <w:r>
        <w:rPr>
          <w:rFonts w:ascii="Arial" w:cs="Arial" w:eastAsia="Arial" w:hAnsi="Arial"/>
          <w:b/>
          <w:bCs/>
          <w:color w:val="275D46"/>
          <w:sz w:val="28"/>
          <w:szCs w:val="28"/>
        </w:rPr>
        <w:t xml:space="preserve">4A.2  Trust-First Design Standards</w:t>
      </w:r>
    </w:p>
    <w:p>
      <w:pPr>
        <w:pStyle w:val="ListParagraph"/>
        <w:numPr>
          <w:ilvl w:val="0"/>
          <w:numId w:val="2"/>
        </w:numPr>
        <w:spacing w:before="40" w:after="40"/>
      </w:pPr>
      <w:r>
        <w:rPr>
          <w:rFonts w:ascii="Arial" w:cs="Arial" w:eastAsia="Arial" w:hAnsi="Arial"/>
          <w:b w:val="false"/>
          <w:bCs w:val="false"/>
          <w:color w:val="1A1A1A"/>
          <w:sz w:val="22"/>
          <w:szCs w:val="22"/>
        </w:rPr>
        <w:t xml:space="preserve">Every page opens with a trust signal: verified talent count, escrow protection badge, or client testimonial. No generic stock photography of non-Arab professionals.</w:t>
      </w:r>
    </w:p>
    <w:p>
      <w:pPr>
        <w:pStyle w:val="ListParagraph"/>
        <w:numPr>
          <w:ilvl w:val="0"/>
          <w:numId w:val="2"/>
        </w:numPr>
        <w:spacing w:before="40" w:after="40"/>
      </w:pPr>
      <w:r>
        <w:rPr>
          <w:rFonts w:ascii="Arial" w:cs="Arial" w:eastAsia="Arial" w:hAnsi="Arial"/>
          <w:b w:val="false"/>
          <w:bCs w:val="false"/>
          <w:color w:val="1A1A1A"/>
          <w:sz w:val="22"/>
          <w:szCs w:val="22"/>
        </w:rPr>
        <w:t xml:space="preserve">Escrow Protection Notice appears on every service page: "أموالك محمية — لا عمل بدون ضمان مالي" (Your money is protected — No work without financial guarantee).</w:t>
      </w:r>
    </w:p>
    <w:p>
      <w:pPr>
        <w:pStyle w:val="ListParagraph"/>
        <w:numPr>
          <w:ilvl w:val="0"/>
          <w:numId w:val="2"/>
        </w:numPr>
        <w:spacing w:before="40" w:after="40"/>
      </w:pPr>
      <w:r>
        <w:rPr>
          <w:rFonts w:ascii="Arial" w:cs="Arial" w:eastAsia="Arial" w:hAnsi="Arial"/>
          <w:b w:val="false"/>
          <w:bCs w:val="false"/>
          <w:color w:val="1A1A1A"/>
          <w:sz w:val="22"/>
          <w:szCs w:val="22"/>
        </w:rPr>
        <w:t xml:space="preserve">The pod system is explained visually on the For Clients page with an infographic showing the flow: Intake → SOW → Escrow → Delivery → Milestone Release → Payout.</w:t>
      </w:r>
    </w:p>
    <w:p>
      <w:pPr>
        <w:pStyle w:val="ListParagraph"/>
        <w:numPr>
          <w:ilvl w:val="0"/>
          <w:numId w:val="2"/>
        </w:numPr>
        <w:spacing w:before="40" w:after="40"/>
      </w:pPr>
      <w:r>
        <w:rPr>
          <w:rFonts w:ascii="Arial" w:cs="Arial" w:eastAsia="Arial" w:hAnsi="Arial"/>
          <w:b w:val="false"/>
          <w:bCs w:val="false"/>
          <w:color w:val="1A1A1A"/>
          <w:sz w:val="22"/>
          <w:szCs w:val="22"/>
        </w:rPr>
        <w:t xml:space="preserve">All CTAs are bilingual, Arabic-first. Arabic button text precedes English. RTL layout is the default; LTR is the toggle state.</w:t>
      </w:r>
    </w:p>
    <w:p>
      <w:pPr>
        <w:pStyle w:val="ListParagraph"/>
        <w:numPr>
          <w:ilvl w:val="0"/>
          <w:numId w:val="2"/>
        </w:numPr>
        <w:spacing w:before="40" w:after="40"/>
      </w:pPr>
      <w:r>
        <w:rPr>
          <w:rFonts w:ascii="Arial" w:cs="Arial" w:eastAsia="Arial" w:hAnsi="Arial"/>
          <w:b w:val="false"/>
          <w:bCs w:val="false"/>
          <w:color w:val="1A1A1A"/>
          <w:sz w:val="22"/>
          <w:szCs w:val="22"/>
        </w:rPr>
        <w:t xml:space="preserve">No personal data is collected without explicit Arabic-language consent checkbox per privacy policy and Yemen data norms.</w:t>
      </w:r>
    </w:p>
    <w:p>
      <w:pPr>
        <w:pStyle w:val="Heading2"/>
        <w:spacing w:before="280" w:after="120"/>
      </w:pPr>
      <w:r>
        <w:rPr>
          <w:rFonts w:ascii="Arial" w:cs="Arial" w:eastAsia="Arial" w:hAnsi="Arial"/>
          <w:b/>
          <w:bCs/>
          <w:color w:val="275D46"/>
          <w:sz w:val="28"/>
          <w:szCs w:val="28"/>
        </w:rPr>
        <w:t xml:space="preserve">4A.3  Ready Products Catalog — Unique Feature</w:t>
      </w:r>
    </w:p>
    <w:p>
      <w:pPr>
        <w:spacing w:before="80" w:after="80"/>
        <w:jc w:val="left"/>
      </w:pPr>
      <w:r>
        <w:rPr>
          <w:rFonts w:ascii="Arial" w:cs="Arial" w:eastAsia="Arial" w:hAnsi="Arial"/>
          <w:b w:val="false"/>
          <w:bCs w:val="false"/>
          <w:i w:val="false"/>
          <w:iCs w:val="false"/>
          <w:color w:val="1A1A1A"/>
          <w:sz w:val="22"/>
          <w:szCs w:val="22"/>
        </w:rPr>
        <w:t xml:space="preserve">A dedicated section within /services allows clients to browse pre-scoped, fixed-price deliverables designed by Kayan. Each ready product card includes: scope description (Arabic + English), delivery timeline, fixed price in USD, sample output, and a one-click project initiation button that pre-populates the SOW form. This reduces the client's cognitive load and accelerates the SOW-to-Escrow cycle.</w:t>
      </w:r>
    </w:p>
    <w:p>
      <w:pPr>
        <w:spacing w:before="80" w:after="80"/>
        <w:jc w:val="left"/>
      </w:pPr>
      <w:r>
        <w:rPr>
          <w:rFonts w:ascii="Arial" w:cs="Arial" w:eastAsia="Arial" w:hAnsi="Arial"/>
          <w:b w:val="false"/>
          <w:bCs w:val="false"/>
          <w:i w:val="false"/>
          <w:iCs w:val="false"/>
          <w:color w:val="1A1A1A"/>
          <w:sz w:val="22"/>
          <w:szCs w:val="22"/>
        </w:rPr>
        <w:t xml:space="preserve">Template for Client Project Submission: A structured, guided form embedded on the platform allows businesses to describe what they need across seven fields: Project type, Industry, Timeline, Budget range, Deliverables expected, Special requirements, and Preferred communication language. This form feeds directly into the admin intake dashboard.</w:t>
      </w:r>
    </w:p>
    <w:p>
      <w:pPr>
        <w:pStyle w:val="Heading2"/>
        <w:spacing w:before="280" w:after="120"/>
      </w:pPr>
      <w:r>
        <w:rPr>
          <w:rFonts w:ascii="Arial" w:cs="Arial" w:eastAsia="Arial" w:hAnsi="Arial"/>
          <w:b/>
          <w:bCs/>
          <w:color w:val="275D46"/>
          <w:sz w:val="28"/>
          <w:szCs w:val="28"/>
        </w:rPr>
        <w:t xml:space="preserve">4A.4  Kayan Social Responsibility Section</w:t>
      </w:r>
    </w:p>
    <w:p>
      <w:pPr>
        <w:spacing w:before="80" w:after="80"/>
        <w:jc w:val="left"/>
      </w:pPr>
      <w:r>
        <w:rPr>
          <w:rFonts w:ascii="Arial" w:cs="Arial" w:eastAsia="Arial" w:hAnsi="Arial"/>
          <w:b w:val="false"/>
          <w:bCs w:val="false"/>
          <w:i w:val="false"/>
          <w:iCs w:val="false"/>
          <w:color w:val="1A1A1A"/>
          <w:sz w:val="22"/>
          <w:szCs w:val="22"/>
        </w:rPr>
        <w:t xml:space="preserve">The /impact subdomain (impact.kayanwork.com) hosts Kayan's CSR narrative: employment data, youth talent count, volunteer hours logged, training graduates, and community projects supported. This page is grant-readiness infrastructure — it demonstrates development impact to international funders and NGO partners without requiring a separate entity.</w:t>
      </w:r>
    </w:p>
    <w:p>
      <w:pPr>
        <w:pStyle w:val="Heading2"/>
        <w:spacing w:before="280" w:after="120"/>
      </w:pPr>
      <w:r>
        <w:rPr>
          <w:rFonts w:ascii="Arial" w:cs="Arial" w:eastAsia="Arial" w:hAnsi="Arial"/>
          <w:b/>
          <w:bCs/>
          <w:color w:val="275D46"/>
          <w:sz w:val="28"/>
          <w:szCs w:val="28"/>
        </w:rPr>
        <w:t xml:space="preserve">4A.5  Technical Standards —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Standard</w:t>
            </w:r>
          </w:p>
        </w:tc>
        <w:tc>
          <w:tcPr>
            <w:tcW w:type="dxa" w:w="65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Requirement</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Framework</w:t>
            </w:r>
          </w:p>
        </w:tc>
        <w:tc>
          <w:tcPr>
            <w:tcW w:type="dxa" w:w="6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Next.js (React SSR) — SEO-friendly, Arabic RTL support, fast initial load</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Hosting</w:t>
            </w:r>
          </w:p>
        </w:tc>
        <w:tc>
          <w:tcPr>
            <w:tcW w:type="dxa" w:w="6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VPS or managed cloud (DigitalOcean / Hetzner) — accessible from Yemen</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CDN</w:t>
            </w:r>
          </w:p>
        </w:tc>
        <w:tc>
          <w:tcPr>
            <w:tcW w:type="dxa" w:w="6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Cloudflare (free tier minimum) — reduces latency for Aden users on slow connections</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SSL</w:t>
            </w:r>
          </w:p>
        </w:tc>
        <w:tc>
          <w:tcPr>
            <w:tcW w:type="dxa" w:w="6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Let's Encrypt — automatic renewal; HTTPS enforced site-wide</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Mobile performance</w:t>
            </w:r>
          </w:p>
        </w:tc>
        <w:tc>
          <w:tcPr>
            <w:tcW w:type="dxa" w:w="6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Google Lighthouse score ≥ 70 on mobile; target &lt; 5s load on 3G</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RTL support</w:t>
            </w:r>
          </w:p>
        </w:tc>
        <w:tc>
          <w:tcPr>
            <w:tcW w:type="dxa" w:w="6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dir="rtl" at document level; CSS logical properties; RTL-aware typography</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Analytics</w:t>
            </w:r>
          </w:p>
        </w:tc>
        <w:tc>
          <w:tcPr>
            <w:tcW w:type="dxa" w:w="6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Google Analytics 4 (GA4) with Arabic language events; cookie consent banner</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Accessibility</w:t>
            </w:r>
          </w:p>
        </w:tc>
        <w:tc>
          <w:tcPr>
            <w:tcW w:type="dxa" w:w="6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WCAG 2.1 AA baseline; Arabic screen reader compatibility</w:t>
            </w:r>
          </w:p>
        </w:tc>
      </w:tr>
      <w:tr>
        <w:tc>
          <w:tcPr>
            <w:tcW w:type="dxa" w:w="2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CMS</w:t>
            </w:r>
          </w:p>
        </w:tc>
        <w:tc>
          <w:tcPr>
            <w:tcW w:type="dxa" w:w="6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Headless CMS (Sanity or Strapi) for content management without developer dependency</w:t>
            </w:r>
          </w:p>
        </w:tc>
      </w:tr>
      <w:tr>
        <w:tc>
          <w:tcPr>
            <w:tcW w:type="dxa" w:w="2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Offline resilience</w:t>
            </w:r>
          </w:p>
        </w:tc>
        <w:tc>
          <w:tcPr>
            <w:tcW w:type="dxa" w:w="6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Service worker caching for key pages; graceful degradation on slow connections</w:t>
            </w:r>
          </w:p>
        </w:tc>
      </w:tr>
    </w:tbl>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4B — BASIC WEB APP SPECIFICATIONS (Year-1 Light)</w:t>
      </w:r>
      <w:r>
        <w:rPr>
          <w:rFonts w:ascii="Arial" w:cs="Arial" w:eastAsia="Arial" w:hAnsi="Arial"/>
          <w:b w:val="false"/>
          <w:bCs w:val="false"/>
          <w:color w:val="275D46"/>
          <w:sz w:val="28"/>
          <w:szCs w:val="28"/>
        </w:rPr>
        <w:t xml:space="preserve">  مواصفات تطبيق الويب الأساسي</w:t>
      </w:r>
    </w:p>
    <w:p>
      <w:pPr>
        <w:spacing w:before="80" w:after="80"/>
        <w:jc w:val="left"/>
      </w:pPr>
      <w:r>
        <w:rPr>
          <w:rFonts w:ascii="Arial" w:cs="Arial" w:eastAsia="Arial" w:hAnsi="Arial"/>
          <w:b w:val="false"/>
          <w:bCs w:val="false"/>
          <w:i w:val="false"/>
          <w:iCs w:val="false"/>
          <w:color w:val="1A1A1A"/>
          <w:sz w:val="22"/>
          <w:szCs w:val="22"/>
        </w:rPr>
        <w:t xml:space="preserve">Live deadline: 01 May 2026. Platform URL: platform.kayanwork.com. Year-1 strategy: Lightweight, Aden-operable, export-first. Full SaaS build commences Year 2 based on revenue and user volume data collected in Year 1.</w:t>
      </w:r>
    </w:p>
    <w:p>
      <w:pPr>
        <w:pBdr>
          <w:bottom w:val="single" w:color="569578" w:sz="4" w:space="1"/>
        </w:pBdr>
        <w:spacing w:before="80" w:after="80"/>
      </w:pPr>
      <w:r>
        <w:t xml:space="preserve"/>
      </w:r>
    </w:p>
    <w:p>
      <w:pPr>
        <w:pStyle w:val="Heading2"/>
        <w:spacing w:before="280" w:after="120"/>
      </w:pPr>
      <w:r>
        <w:rPr>
          <w:rFonts w:ascii="Arial" w:cs="Arial" w:eastAsia="Arial" w:hAnsi="Arial"/>
          <w:b/>
          <w:bCs/>
          <w:color w:val="275D46"/>
          <w:sz w:val="28"/>
          <w:szCs w:val="28"/>
        </w:rPr>
        <w:t xml:space="preserve">4B.1  Module Map — All Required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00"/>
        <w:gridCol w:w="2100"/>
        <w:gridCol w:w="2160"/>
      </w:tblGrid>
      <w:tr>
        <w:trPr>
          <w:tblHeader/>
        </w:trPr>
        <w:tc>
          <w:tcPr>
            <w:tcW w:type="dxa" w:w="1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Module</w:t>
            </w:r>
          </w:p>
        </w:tc>
        <w:tc>
          <w:tcPr>
            <w:tcW w:type="dxa" w:w="1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User Type</w:t>
            </w:r>
          </w:p>
        </w:tc>
        <w:tc>
          <w:tcPr>
            <w:tcW w:type="dxa" w:w="1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Key Features</w:t>
            </w:r>
          </w:p>
        </w:tc>
        <w:tc>
          <w:tcPr>
            <w:tcW w:type="dxa" w:w="2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Revenue / Compliance Link</w:t>
            </w:r>
          </w:p>
        </w:tc>
        <w:tc>
          <w:tcPr>
            <w:tcW w:type="dxa" w:w="21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Status</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 Registration &amp; Intake</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w:t>
            </w:r>
          </w:p>
        </w:tc>
        <w:tc>
          <w:tcPr>
            <w:tcW w:type="dxa" w:w="1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KYC form, entity type, service selection, SOW builder, escrow funding</w:t>
            </w:r>
          </w:p>
        </w:tc>
        <w:tc>
          <w:tcPr>
            <w:tcW w:type="dxa" w:w="2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Escrow Gate enforcement — No SOW/Escrow = No Work</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Ready Products Browse</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w:t>
            </w:r>
          </w:p>
        </w:tc>
        <w:tc>
          <w:tcPr>
            <w:tcW w:type="dxa" w:w="1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Catalog view, fixed-price selection, one-click SOW pre-fill</w:t>
            </w:r>
          </w:p>
        </w:tc>
        <w:tc>
          <w:tcPr>
            <w:tcW w:type="dxa" w:w="2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Accelerates revenue cycle; reduces friction</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Freelancer Registration</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Talent</w:t>
            </w:r>
          </w:p>
        </w:tc>
        <w:tc>
          <w:tcPr>
            <w:tcW w:type="dxa" w:w="1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Profile, micro-specializations, portfolio, consent, ID verification</w:t>
            </w:r>
          </w:p>
        </w:tc>
        <w:tc>
          <w:tcPr>
            <w:tcW w:type="dxa" w:w="2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Talent supply; AML KYC; sanctions screening</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Volunteer Registration</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Volunteer</w:t>
            </w:r>
          </w:p>
        </w:tc>
        <w:tc>
          <w:tcPr>
            <w:tcW w:type="dxa" w:w="1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Profile, skills, availability, consent, project matching</w:t>
            </w:r>
          </w:p>
        </w:tc>
        <w:tc>
          <w:tcPr>
            <w:tcW w:type="dxa" w:w="2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CSR impact data; grant-readiness</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Hub Space Booking</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Hub Member</w:t>
            </w:r>
          </w:p>
        </w:tc>
        <w:tc>
          <w:tcPr>
            <w:tcW w:type="dxa" w:w="1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Hot desk / office / meeting room selection, calendar, payment</w:t>
            </w:r>
          </w:p>
        </w:tc>
        <w:tc>
          <w:tcPr>
            <w:tcW w:type="dxa" w:w="2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Hub revenue line; capacity management</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Academy Enrollment</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Student</w:t>
            </w:r>
          </w:p>
        </w:tc>
        <w:tc>
          <w:tcPr>
            <w:tcW w:type="dxa" w:w="1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Course catalog, seat booking, payment, certificate tracking</w:t>
            </w:r>
          </w:p>
        </w:tc>
        <w:tc>
          <w:tcPr>
            <w:tcW w:type="dxa" w:w="2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Academy revenue line; graduate data</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Admin Login + RBAC</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Admin / CEO / Finance</w:t>
            </w:r>
          </w:p>
        </w:tc>
        <w:tc>
          <w:tcPr>
            <w:tcW w:type="dxa" w:w="1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Role-based access, dual-approval workflow, full audit trail access</w:t>
            </w:r>
          </w:p>
        </w:tc>
        <w:tc>
          <w:tcPr>
            <w:tcW w:type="dxa" w:w="2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Financial controls; dual approval gate</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Delivery Tracker (Milestones)</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Admin + Client + Talent</w:t>
            </w:r>
          </w:p>
        </w:tc>
        <w:tc>
          <w:tcPr>
            <w:tcW w:type="dxa" w:w="1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SOW status, milestone completion, holdback release trigger</w:t>
            </w:r>
          </w:p>
        </w:tc>
        <w:tc>
          <w:tcPr>
            <w:tcW w:type="dxa" w:w="2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QA holdback 2% buffer management</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Export Engine (Excel/CSV)</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Admin</w:t>
            </w:r>
          </w:p>
        </w:tc>
        <w:tc>
          <w:tcPr>
            <w:tcW w:type="dxa" w:w="1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All registers exportable: freelancers, clients, SOWs, payments, KPIs</w:t>
            </w:r>
          </w:p>
        </w:tc>
        <w:tc>
          <w:tcPr>
            <w:tcW w:type="dxa" w:w="2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Business continuity; audit survivability</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Audit Trail Viewer</w:t>
            </w:r>
          </w:p>
        </w:tc>
        <w:tc>
          <w:tcPr>
            <w:tcW w:type="dxa" w:w="1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CEO / Compliance</w:t>
            </w:r>
          </w:p>
        </w:tc>
        <w:tc>
          <w:tcPr>
            <w:tcW w:type="dxa" w:w="1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Timestamped log of all critical actions; user ID; IP address</w:t>
            </w:r>
          </w:p>
        </w:tc>
        <w:tc>
          <w:tcPr>
            <w:tcW w:type="dxa" w:w="2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AML evidence; 36-month retention</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Day 1 Required</w:t>
            </w:r>
          </w:p>
        </w:tc>
      </w:tr>
      <w:tr>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Market</w:t>
            </w:r>
          </w:p>
        </w:tc>
        <w:tc>
          <w:tcPr>
            <w:tcW w:type="dxa" w:w="1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 + Freelancer</w:t>
            </w:r>
          </w:p>
        </w:tc>
        <w:tc>
          <w:tcPr>
            <w:tcW w:type="dxa" w:w="1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Browse freelancers, direct engagement (gated)</w:t>
            </w:r>
          </w:p>
        </w:tc>
        <w:tc>
          <w:tcPr>
            <w:tcW w:type="dxa" w:w="2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New revenue stream; escrow-gated</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Q2 2026</w:t>
            </w:r>
          </w:p>
        </w:tc>
      </w:tr>
    </w:tbl>
    <w:p>
      <w:pPr>
        <w:spacing w:before="40" w:after="40"/>
      </w:pPr>
      <w:r>
        <w:t xml:space="preserve"/>
      </w:r>
    </w:p>
    <w:p>
      <w:pPr>
        <w:pStyle w:val="Heading2"/>
        <w:spacing w:before="280" w:after="120"/>
      </w:pPr>
      <w:r>
        <w:rPr>
          <w:rFonts w:ascii="Arial" w:cs="Arial" w:eastAsia="Arial" w:hAnsi="Arial"/>
          <w:b/>
          <w:bCs/>
          <w:color w:val="275D46"/>
          <w:sz w:val="28"/>
          <w:szCs w:val="28"/>
        </w:rPr>
        <w:t xml:space="preserve">4B.2  Escrow Gate — Coded Workflow (Non-Negotiable)</w:t>
      </w:r>
    </w:p>
    <w:p>
      <w:pPr>
        <w:spacing w:before="80" w:after="80"/>
        <w:jc w:val="left"/>
      </w:pPr>
      <w:r>
        <w:rPr>
          <w:rFonts w:ascii="Arial" w:cs="Arial" w:eastAsia="Arial" w:hAnsi="Arial"/>
          <w:b w:val="false"/>
          <w:bCs w:val="false"/>
          <w:i w:val="false"/>
          <w:iCs w:val="false"/>
          <w:color w:val="1A1A1A"/>
          <w:sz w:val="22"/>
          <w:szCs w:val="22"/>
        </w:rPr>
        <w:t xml:space="preserve">The Escrow Gate is Kayan's most critical financial control. It is not a policy — it is a coded workflow block. The following sequence must be enforced without exception:</w:t>
      </w:r>
    </w:p>
    <w:p>
      <w:pPr>
        <w:pStyle w:val="ListParagraph"/>
        <w:numPr>
          <w:ilvl w:val="0"/>
          <w:numId w:val="3"/>
        </w:numPr>
        <w:spacing w:before="40" w:after="40"/>
      </w:pPr>
      <w:r>
        <w:rPr>
          <w:rFonts w:ascii="Arial" w:cs="Arial" w:eastAsia="Arial" w:hAnsi="Arial"/>
          <w:color w:val="1A1A1A"/>
          <w:sz w:val="22"/>
          <w:szCs w:val="22"/>
        </w:rPr>
        <w:t xml:space="preserve">Client submits project request and completes KYC verification.</w:t>
      </w:r>
    </w:p>
    <w:p>
      <w:pPr>
        <w:pStyle w:val="ListParagraph"/>
        <w:numPr>
          <w:ilvl w:val="0"/>
          <w:numId w:val="3"/>
        </w:numPr>
        <w:spacing w:before="40" w:after="40"/>
      </w:pPr>
      <w:r>
        <w:rPr>
          <w:rFonts w:ascii="Arial" w:cs="Arial" w:eastAsia="Arial" w:hAnsi="Arial"/>
          <w:color w:val="1A1A1A"/>
          <w:sz w:val="22"/>
          <w:szCs w:val="22"/>
        </w:rPr>
        <w:t xml:space="preserve">Admin reviews and issues a Scope of Work (SOW) document within the platform.</w:t>
      </w:r>
    </w:p>
    <w:p>
      <w:pPr>
        <w:pStyle w:val="ListParagraph"/>
        <w:numPr>
          <w:ilvl w:val="0"/>
          <w:numId w:val="3"/>
        </w:numPr>
        <w:spacing w:before="40" w:after="40"/>
      </w:pPr>
      <w:r>
        <w:rPr>
          <w:rFonts w:ascii="Arial" w:cs="Arial" w:eastAsia="Arial" w:hAnsi="Arial"/>
          <w:color w:val="1A1A1A"/>
          <w:sz w:val="22"/>
          <w:szCs w:val="22"/>
        </w:rPr>
        <w:t xml:space="preserve">Client accepts SOW electronically (timestamped, logged).</w:t>
      </w:r>
    </w:p>
    <w:p>
      <w:pPr>
        <w:pStyle w:val="ListParagraph"/>
        <w:numPr>
          <w:ilvl w:val="0"/>
          <w:numId w:val="3"/>
        </w:numPr>
        <w:spacing w:before="40" w:after="40"/>
      </w:pPr>
      <w:r>
        <w:rPr>
          <w:rFonts w:ascii="Arial" w:cs="Arial" w:eastAsia="Arial" w:hAnsi="Arial"/>
          <w:color w:val="1A1A1A"/>
          <w:sz w:val="22"/>
          <w:szCs w:val="22"/>
        </w:rPr>
        <w:t xml:space="preserve">System generates escrow funding instruction for 100% of project value to Tadamon Islamic Bank.</w:t>
      </w:r>
    </w:p>
    <w:p>
      <w:pPr>
        <w:pStyle w:val="ListParagraph"/>
        <w:numPr>
          <w:ilvl w:val="0"/>
          <w:numId w:val="3"/>
        </w:numPr>
        <w:spacing w:before="40" w:after="40"/>
      </w:pPr>
      <w:r>
        <w:rPr>
          <w:rFonts w:ascii="Arial" w:cs="Arial" w:eastAsia="Arial" w:hAnsi="Arial"/>
          <w:color w:val="1A1A1A"/>
          <w:sz w:val="22"/>
          <w:szCs w:val="22"/>
        </w:rPr>
        <w:t xml:space="preserve">Finance confirms escrow receipt (dual approval: CEO + Finance Officer).</w:t>
      </w:r>
    </w:p>
    <w:p>
      <w:pPr>
        <w:pStyle w:val="ListParagraph"/>
        <w:numPr>
          <w:ilvl w:val="0"/>
          <w:numId w:val="3"/>
        </w:numPr>
        <w:spacing w:before="40" w:after="40"/>
      </w:pPr>
      <w:r>
        <w:rPr>
          <w:rFonts w:ascii="Arial" w:cs="Arial" w:eastAsia="Arial" w:hAnsi="Arial"/>
          <w:color w:val="1A1A1A"/>
          <w:sz w:val="22"/>
          <w:szCs w:val="22"/>
        </w:rPr>
        <w:t xml:space="preserve">Platform status changes to "ACTIVE — Work Authorized". Talent receives task assignment.</w:t>
      </w:r>
    </w:p>
    <w:p>
      <w:pPr>
        <w:pStyle w:val="ListParagraph"/>
        <w:numPr>
          <w:ilvl w:val="0"/>
          <w:numId w:val="3"/>
        </w:numPr>
        <w:spacing w:before="40" w:after="40"/>
      </w:pPr>
      <w:r>
        <w:rPr>
          <w:rFonts w:ascii="Arial" w:cs="Arial" w:eastAsia="Arial" w:hAnsi="Arial"/>
          <w:color w:val="1A1A1A"/>
          <w:sz w:val="22"/>
          <w:szCs w:val="22"/>
        </w:rPr>
        <w:t xml:space="preserve">On milestone completion, client approves in platform. Holdback (2%) retained for 30 days.</w:t>
      </w:r>
    </w:p>
    <w:p>
      <w:pPr>
        <w:pStyle w:val="ListParagraph"/>
        <w:numPr>
          <w:ilvl w:val="0"/>
          <w:numId w:val="3"/>
        </w:numPr>
        <w:spacing w:before="40" w:after="40"/>
      </w:pPr>
      <w:r>
        <w:rPr>
          <w:rFonts w:ascii="Arial" w:cs="Arial" w:eastAsia="Arial" w:hAnsi="Arial"/>
          <w:color w:val="1A1A1A"/>
          <w:sz w:val="22"/>
          <w:szCs w:val="22"/>
        </w:rPr>
        <w:t xml:space="preserve">Final payout released after 30-day QA period. Net fee (20%) recognized as revenue.</w:t>
      </w:r>
    </w:p>
    <w:p>
      <w:pPr>
        <w:spacing w:before="80" w:after="80"/>
        <w:jc w:val="left"/>
      </w:pPr>
      <w:r>
        <w:rPr>
          <w:rFonts w:ascii="Arial" w:cs="Arial" w:eastAsia="Arial" w:hAnsi="Arial"/>
          <w:b/>
          <w:bCs/>
          <w:i w:val="false"/>
          <w:iCs w:val="false"/>
          <w:color w:val="C8962E"/>
          <w:sz w:val="22"/>
          <w:szCs w:val="22"/>
        </w:rPr>
        <w:t xml:space="preserve">If any step is incomplete, the system must not proceed to the next. This is the Trust Gate, and it is absolute.</w:t>
      </w:r>
    </w:p>
    <w:p>
      <w:pPr>
        <w:pStyle w:val="Heading2"/>
        <w:spacing w:before="280" w:after="120"/>
      </w:pPr>
      <w:r>
        <w:rPr>
          <w:rFonts w:ascii="Arial" w:cs="Arial" w:eastAsia="Arial" w:hAnsi="Arial"/>
          <w:b/>
          <w:bCs/>
          <w:color w:val="275D46"/>
          <w:sz w:val="28"/>
          <w:szCs w:val="28"/>
        </w:rPr>
        <w:t xml:space="preserve">4B.3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440"/>
        <w:gridCol w:w="1440"/>
        <w:gridCol w:w="1440"/>
        <w:gridCol w:w="1560"/>
      </w:tblGrid>
      <w:tr>
        <w:trPr>
          <w:tblHeader/>
        </w:trPr>
        <w:tc>
          <w:tcPr>
            <w:tcW w:type="dxa" w:w="20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Module / Action</w:t>
            </w:r>
          </w:p>
        </w:tc>
        <w:tc>
          <w:tcPr>
            <w:tcW w:type="dxa" w:w="144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CEO</w:t>
            </w:r>
          </w:p>
        </w:tc>
        <w:tc>
          <w:tcPr>
            <w:tcW w:type="dxa" w:w="144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Finance</w:t>
            </w:r>
          </w:p>
        </w:tc>
        <w:tc>
          <w:tcPr>
            <w:tcW w:type="dxa" w:w="144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Ops Admin</w:t>
            </w:r>
          </w:p>
        </w:tc>
        <w:tc>
          <w:tcPr>
            <w:tcW w:type="dxa" w:w="144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Talent</w:t>
            </w:r>
          </w:p>
        </w:tc>
        <w:tc>
          <w:tcPr>
            <w:tcW w:type="dxa" w:w="15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Client</w:t>
            </w:r>
          </w:p>
        </w:tc>
      </w:tr>
      <w:tr>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View all SOWs</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Own only</w:t>
            </w:r>
          </w:p>
        </w:tc>
        <w:tc>
          <w:tcPr>
            <w:tcW w:type="dxa" w:w="1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Own only</w:t>
            </w:r>
          </w:p>
        </w:tc>
      </w:tr>
      <w:tr>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Approve payments</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(dual)</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(dual)</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r>
      <w:tr>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Release escrow</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(dual)</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(dual)</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r>
      <w:tr>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Edit freelancer profiles</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Own only</w:t>
            </w:r>
          </w:p>
        </w:tc>
        <w:tc>
          <w:tcPr>
            <w:tcW w:type="dxa" w:w="1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r>
      <w:tr>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Export all data</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r>
      <w:tr>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View audit trail</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r>
      <w:tr>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KPI dashboard</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r>
      <w:tr>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Book Hub space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r>
      <w:tr>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Enroll in Academy</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44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c>
          <w:tcPr>
            <w:tcW w:type="dxa" w:w="1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t>
            </w:r>
          </w:p>
        </w:tc>
      </w:tr>
    </w:tbl>
    <w:p>
      <w:pPr>
        <w:pStyle w:val="Heading2"/>
        <w:spacing w:before="280" w:after="120"/>
      </w:pPr>
      <w:r>
        <w:rPr>
          <w:rFonts w:ascii="Arial" w:cs="Arial" w:eastAsia="Arial" w:hAnsi="Arial"/>
          <w:b/>
          <w:bCs/>
          <w:color w:val="275D46"/>
          <w:sz w:val="28"/>
          <w:szCs w:val="28"/>
        </w:rPr>
        <w:t xml:space="preserve">4B.4  Mobile-First &amp; Internet Resilience Standards</w:t>
      </w:r>
    </w:p>
    <w:p>
      <w:pPr>
        <w:pStyle w:val="ListParagraph"/>
        <w:numPr>
          <w:ilvl w:val="0"/>
          <w:numId w:val="2"/>
        </w:numPr>
        <w:spacing w:before="40" w:after="40"/>
      </w:pPr>
      <w:r>
        <w:rPr>
          <w:rFonts w:ascii="Arial" w:cs="Arial" w:eastAsia="Arial" w:hAnsi="Arial"/>
          <w:b/>
          <w:bCs/>
          <w:color w:val="1A1A1A"/>
          <w:sz w:val="22"/>
          <w:szCs w:val="22"/>
        </w:rPr>
        <w:t xml:space="preserve">Progressive Web App (PWA): Key modules (freelancer lookup, SOW status, booking) accessible offline after first load.</w:t>
      </w:r>
    </w:p>
    <w:p>
      <w:pPr>
        <w:pStyle w:val="ListParagraph"/>
        <w:numPr>
          <w:ilvl w:val="0"/>
          <w:numId w:val="2"/>
        </w:numPr>
        <w:spacing w:before="40" w:after="40"/>
      </w:pPr>
      <w:r>
        <w:rPr>
          <w:rFonts w:ascii="Arial" w:cs="Arial" w:eastAsia="Arial" w:hAnsi="Arial"/>
          <w:b w:val="false"/>
          <w:bCs w:val="false"/>
          <w:color w:val="1A1A1A"/>
          <w:sz w:val="22"/>
          <w:szCs w:val="22"/>
        </w:rPr>
        <w:t xml:space="preserve">Data compression: All API responses gzip-compressed. Images served as WebP with fallback.</w:t>
      </w:r>
    </w:p>
    <w:p>
      <w:pPr>
        <w:pStyle w:val="ListParagraph"/>
        <w:numPr>
          <w:ilvl w:val="0"/>
          <w:numId w:val="2"/>
        </w:numPr>
        <w:spacing w:before="40" w:after="40"/>
      </w:pPr>
      <w:r>
        <w:rPr>
          <w:rFonts w:ascii="Arial" w:cs="Arial" w:eastAsia="Arial" w:hAnsi="Arial"/>
          <w:b w:val="false"/>
          <w:bCs w:val="false"/>
          <w:color w:val="1A1A1A"/>
          <w:sz w:val="22"/>
          <w:szCs w:val="22"/>
        </w:rPr>
        <w:t xml:space="preserve">SMS fallback: Critical notifications (escrow funded, milestone approved, payment released) delivered via SMS in addition to email.</w:t>
      </w:r>
    </w:p>
    <w:p>
      <w:pPr>
        <w:pStyle w:val="ListParagraph"/>
        <w:numPr>
          <w:ilvl w:val="0"/>
          <w:numId w:val="2"/>
        </w:numPr>
        <w:spacing w:before="40" w:after="40"/>
      </w:pPr>
      <w:r>
        <w:rPr>
          <w:rFonts w:ascii="Arial" w:cs="Arial" w:eastAsia="Arial" w:hAnsi="Arial"/>
          <w:b w:val="false"/>
          <w:bCs w:val="false"/>
          <w:color w:val="1A1A1A"/>
          <w:sz w:val="22"/>
          <w:szCs w:val="22"/>
        </w:rPr>
        <w:t xml:space="preserve">Session persistence: User sessions preserved for 4 hours to handle intermittent connectivity drops common in Aden.</w:t>
      </w:r>
    </w:p>
    <w:p>
      <w:pPr>
        <w:pStyle w:val="ListParagraph"/>
        <w:numPr>
          <w:ilvl w:val="0"/>
          <w:numId w:val="2"/>
        </w:numPr>
        <w:spacing w:before="40" w:after="40"/>
      </w:pPr>
      <w:r>
        <w:rPr>
          <w:rFonts w:ascii="Arial" w:cs="Arial" w:eastAsia="Arial" w:hAnsi="Arial"/>
          <w:b w:val="false"/>
          <w:bCs w:val="false"/>
          <w:color w:val="1A1A1A"/>
          <w:sz w:val="22"/>
          <w:szCs w:val="22"/>
        </w:rPr>
        <w:t xml:space="preserve">Export-first architecture: All platform data exportable to Excel/CSV at any time. Operations can continue manually if platform is down. No single point of digital failure.</w:t>
      </w:r>
    </w:p>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4C — QA STATUS (Pre-Launch Checklist)</w:t>
      </w:r>
      <w:r>
        <w:rPr>
          <w:rFonts w:ascii="Arial" w:cs="Arial" w:eastAsia="Arial" w:hAnsi="Arial"/>
          <w:b w:val="false"/>
          <w:bCs w:val="false"/>
          <w:color w:val="275D46"/>
          <w:sz w:val="28"/>
          <w:szCs w:val="28"/>
        </w:rPr>
        <w:t xml:space="preserve">  حالة ضمان الجودة</w:t>
      </w:r>
    </w:p>
    <w:p>
      <w:pPr>
        <w:spacing w:before="80" w:after="80"/>
        <w:jc w:val="left"/>
      </w:pPr>
      <w:r>
        <w:rPr>
          <w:rFonts w:ascii="Arial" w:cs="Arial" w:eastAsia="Arial" w:hAnsi="Arial"/>
          <w:b w:val="false"/>
          <w:bCs w:val="false"/>
          <w:i w:val="false"/>
          <w:iCs w:val="false"/>
          <w:color w:val="1A1A1A"/>
          <w:sz w:val="22"/>
          <w:szCs w:val="22"/>
        </w:rPr>
        <w:t xml:space="preserve">The following QA gates must be passed before the platform is made public on 01 May 2026. Any FAIL must have a corrective action already committed, not planned.</w:t>
      </w:r>
    </w:p>
    <w:p>
      <w:pPr>
        <w:pBdr>
          <w:bottom w:val="single" w:color="569578"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rPr>
          <w:tblHeader/>
        </w:trPr>
        <w:tc>
          <w:tcPr>
            <w:tcW w:type="dxa" w:w="20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QA Dimension</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Status</w:t>
            </w:r>
          </w:p>
        </w:tc>
        <w:tc>
          <w:tcPr>
            <w:tcW w:type="dxa" w:w="308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Criteria / Evidence</w:t>
            </w:r>
          </w:p>
        </w:tc>
        <w:tc>
          <w:tcPr>
            <w:tcW w:type="dxa" w:w="308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Corrective Action if FAIL</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Legal Survivability</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Privacy policy published in Arabic; consent language on all data collection forms; no prohibited payment channels in UI; escrow gate enforced</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Legal review by attorney نزار سرور required before go-live. CEO signs off.</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Audit Trail Completeness</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 of critical actions (login, SOW accept, payment approval, escrow release) logged with timestamp + user ID + IP; 36-month retention confirmed</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Developer to run audit trail completeness test against all 47 action types. CEO reviews report.</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Dual Approval Enforcement</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No payment above YER 50,000 can be processed with single approver; system blocks and logs attempt</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QA test: attempt single-approver payment. Confirm system blocks and alerts.</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Escrow Gate Enforcement</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No SOW status advances to Active without confirmed escrow receipt; Finance confirmation required; system enforces</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Penetration test the gate: attempt to advance SOW without escrow. Confirm block.</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Arabic RTL Fidelity</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All Arabic text renders RTL correctly; no LTR bleed into Arabic paragraphs; form inputs RTL; mobile RTL confirmed</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Native Arabic speaker QA test on Android device common in Aden market.</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Mobile Performance</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Lighthouse mobile score ≥ 70; load time &lt; 8 sec on simulated 3G; no blocking resources</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Google Lighthouse report run on all 12 pages. Optimize images and defer non-critical JS.</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Default Resilience</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Key pages load with cached data offline; export functions work; SMS notifications active</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Test on offline mode: confirm PWA cache covers key modules.</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Sanctions Screening</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All registered users screened against OFAC SDN, UN, EU, UK lists; screening log maintained</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Integrate sanctions API (Dow Jones / Refinitiv or manual monthly screen at MVP stage).</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Data Security</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Passwords hashed (bcrypt/argon2); PII encrypted at rest; HTTPS enforced; no plaintext secrets in codebase</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Basic penetration test + code review before go-live.</w:t>
            </w:r>
          </w:p>
        </w:tc>
      </w:tr>
      <w:tr>
        <w:tc>
          <w:tcPr>
            <w:tcW w:type="dxa" w:w="200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bCs/>
                <w:color w:val="1A1A1A"/>
                <w:sz w:val="20"/>
                <w:szCs w:val="20"/>
              </w:rPr>
              <w:t xml:space="preserve">Adoption Readiness</w:t>
            </w:r>
          </w:p>
        </w:tc>
        <w:tc>
          <w:tcPr>
            <w:tcW w:type="dxa" w:w="1200"/>
            <w:tcBorders>
              <w:top w:val="single" w:color="569578" w:sz="4"/>
              <w:left w:val="single" w:color="569578" w:sz="4"/>
              <w:bottom w:val="single" w:color="569578" w:sz="4"/>
              <w:right w:val="single" w:color="569578" w:sz="4"/>
            </w:tcBorders>
            <w:shd w:fill="C8962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PENDING</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Platform tested by minimum 5 Aden-based beta users (mix of clients and freelancers); onboarding takes &lt; 10 minutes</w:t>
            </w:r>
          </w:p>
        </w:tc>
        <w:tc>
          <w:tcPr>
            <w:tcW w:type="dxa" w:w="3080"/>
            <w:tcBorders>
              <w:top w:val="single" w:color="569578" w:sz="4"/>
              <w:left w:val="single" w:color="569578" w:sz="4"/>
              <w:bottom w:val="single" w:color="569578" w:sz="4"/>
              <w:right w:val="single" w:color="569578"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Beta test session in April 2026. Collect feedback. Fix blockers before May 1.</w:t>
            </w:r>
          </w:p>
        </w:tc>
      </w:tr>
    </w:tbl>
    <w:p>
      <w:pPr>
        <w:spacing w:before="40" w:after="40"/>
      </w:pPr>
      <w:r>
        <w:t xml:space="preserve"/>
      </w:r>
    </w:p>
    <w:p>
      <w:pPr>
        <w:spacing w:before="80" w:after="80"/>
        <w:jc w:val="left"/>
      </w:pPr>
      <w:r>
        <w:rPr>
          <w:rFonts w:ascii="Arial" w:cs="Arial" w:eastAsia="Arial" w:hAnsi="Arial"/>
          <w:b/>
          <w:bCs/>
          <w:i w:val="false"/>
          <w:iCs w:val="false"/>
          <w:color w:val="C8962E"/>
          <w:sz w:val="22"/>
          <w:szCs w:val="22"/>
        </w:rPr>
        <w:t xml:space="preserve">QA SIGN-OFF REQUIRED: CEO (Maher Faisal) must personally sign off on all 10 QA dimensions before platform goes live. No partial launch permitted. If any dimension is FAIL on April 28, 2026, go-live is delayed and Board is notified within 24 hours.</w:t>
      </w:r>
    </w:p>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5 — 48-MONTH WORKPLAN</w:t>
      </w:r>
      <w:r>
        <w:rPr>
          <w:rFonts w:ascii="Arial" w:cs="Arial" w:eastAsia="Arial" w:hAnsi="Arial"/>
          <w:b w:val="false"/>
          <w:bCs w:val="false"/>
          <w:color w:val="275D46"/>
          <w:sz w:val="28"/>
          <w:szCs w:val="28"/>
        </w:rPr>
        <w:t xml:space="preserve">  خطة العمل لـ 48 شهراً</w:t>
      </w:r>
    </w:p>
    <w:p>
      <w:pPr>
        <w:spacing w:before="80" w:after="80"/>
        <w:jc w:val="left"/>
      </w:pPr>
      <w:r>
        <w:rPr>
          <w:rFonts w:ascii="Arial" w:cs="Arial" w:eastAsia="Arial" w:hAnsi="Arial"/>
          <w:b w:val="false"/>
          <w:bCs w:val="false"/>
          <w:i w:val="false"/>
          <w:iCs w:val="false"/>
          <w:color w:val="1A1A1A"/>
          <w:sz w:val="22"/>
          <w:szCs w:val="22"/>
        </w:rPr>
        <w:t xml:space="preserve">This workplan governs every technology and digital activity from launch (01 May 2026) through April 2030. Each milestone includes: what, when, by whom, cost, assumption, risk, accountability, and monthly reporting owner. This is a living document — CEO reviews monthly in Year 1, quarterly from Year 2.</w:t>
      </w:r>
    </w:p>
    <w:p>
      <w:pPr>
        <w:pBdr>
          <w:bottom w:val="single" w:color="569578" w:sz="4" w:space="1"/>
        </w:pBdr>
        <w:spacing w:before="80" w:after="80"/>
      </w:pPr>
      <w:r>
        <w:t xml:space="preserve"/>
      </w:r>
    </w:p>
    <w:p>
      <w:pPr>
        <w:pStyle w:val="Heading2"/>
        <w:spacing w:before="280" w:after="120"/>
      </w:pPr>
      <w:r>
        <w:rPr>
          <w:rFonts w:ascii="Arial" w:cs="Arial" w:eastAsia="Arial" w:hAnsi="Arial"/>
          <w:b/>
          <w:bCs/>
          <w:color w:val="275D46"/>
          <w:sz w:val="28"/>
          <w:szCs w:val="28"/>
        </w:rPr>
        <w:t xml:space="preserve">5.1  Monthly 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Period</w:t>
            </w:r>
          </w:p>
        </w:tc>
        <w:tc>
          <w:tcPr>
            <w:tcW w:type="dxa" w:w="20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Review Frequency</w:t>
            </w:r>
          </w:p>
        </w:tc>
        <w:tc>
          <w:tcPr>
            <w:tcW w:type="dxa" w:w="20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Report Owner</w:t>
            </w:r>
          </w:p>
        </w:tc>
        <w:tc>
          <w:tcPr>
            <w:tcW w:type="dxa" w:w="35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Report Contents</w:t>
            </w:r>
          </w:p>
        </w:tc>
      </w:tr>
      <w:tr>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M1–M12</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Monthly (every Monday 30 min)</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CEO + Lead Dev</w:t>
            </w:r>
          </w:p>
        </w:tc>
        <w:tc>
          <w:tcPr>
            <w:tcW w:type="dxa" w:w="3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Uptime, bugs, SOW pipeline, escrow status, spend vs. budget, KPI vs. target</w:t>
            </w:r>
          </w:p>
        </w:tc>
      </w:tr>
      <w:tr>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M13–M24</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Bi-weekly</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CTO + CEO</w:t>
            </w:r>
          </w:p>
        </w:tc>
        <w:tc>
          <w:tcPr>
            <w:tcW w:type="dxa" w:w="3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Same + user growth, market launch metrics, Academy cohorts, Hub occupancy</w:t>
            </w:r>
          </w:p>
        </w:tc>
      </w:tr>
      <w:tr>
        <w:tc>
          <w:tcPr>
            <w:tcW w:type="dxa" w:w="1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M25–M36</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Monthly</w:t>
            </w:r>
          </w:p>
        </w:tc>
        <w:tc>
          <w:tcPr>
            <w:tcW w:type="dxa" w:w="20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CTO</w:t>
            </w:r>
          </w:p>
        </w:tc>
        <w:tc>
          <w:tcPr>
            <w:tcW w:type="dxa" w:w="35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SaaS development milestones, revenue diversification, partner integrations</w:t>
            </w:r>
          </w:p>
        </w:tc>
      </w:tr>
      <w:tr>
        <w:tc>
          <w:tcPr>
            <w:tcW w:type="dxa" w:w="1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M37–M48</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Quarterly</w:t>
            </w:r>
          </w:p>
        </w:tc>
        <w:tc>
          <w:tcPr>
            <w:tcW w:type="dxa" w:w="20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Board + CTO</w:t>
            </w:r>
          </w:p>
        </w:tc>
        <w:tc>
          <w:tcPr>
            <w:tcW w:type="dxa" w:w="3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GCC expansion, valuation readiness, investor reporting, 4-year review</w:t>
            </w:r>
          </w:p>
        </w:tc>
      </w:tr>
    </w:tbl>
    <w:p>
      <w:pPr>
        <w:spacing w:before="40" w:after="40"/>
      </w:pPr>
      <w:r>
        <w:t xml:space="preserve"/>
      </w:r>
    </w:p>
    <w:p>
      <w:pPr>
        <w:shd w:fill="022B22" w:val="clear"/>
        <w:spacing w:before="240" w:after="120"/>
      </w:pPr>
      <w:r>
        <w:rPr>
          <w:rFonts w:ascii="Arial" w:cs="Arial" w:eastAsia="Arial" w:hAnsi="Arial"/>
          <w:b/>
          <w:bCs/>
          <w:color w:val="FFFFFF"/>
          <w:sz w:val="24"/>
          <w:szCs w:val="24"/>
        </w:rPr>
        <w:t xml:space="preserve">PHASE 1 — LAUNCH &amp; STABILIZE (Months 1–6: May –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500"/>
        <w:gridCol w:w="2060"/>
        <w:gridCol w:w="1100"/>
        <w:gridCol w:w="900"/>
        <w:gridCol w:w="1100"/>
        <w:gridCol w:w="1200"/>
      </w:tblGrid>
      <w:tr>
        <w:trPr>
          <w:tblHeader/>
        </w:trPr>
        <w:tc>
          <w:tcPr>
            <w:tcW w:type="dxa" w:w="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Month</w:t>
            </w:r>
          </w:p>
        </w:tc>
        <w:tc>
          <w:tcPr>
            <w:tcW w:type="dxa" w:w="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Date</w:t>
            </w:r>
          </w:p>
        </w:tc>
        <w:tc>
          <w:tcPr>
            <w:tcW w:type="dxa" w:w="1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Milestone</w:t>
            </w:r>
          </w:p>
        </w:tc>
        <w:tc>
          <w:tcPr>
            <w:tcW w:type="dxa" w:w="20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Actions / Deliverables</w:t>
            </w:r>
          </w:p>
        </w:tc>
        <w:tc>
          <w:tcPr>
            <w:tcW w:type="dxa" w:w="1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Owner</w:t>
            </w:r>
          </w:p>
        </w:tc>
        <w:tc>
          <w:tcPr>
            <w:tcW w:type="dxa" w:w="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Budget</w:t>
            </w:r>
          </w:p>
        </w:tc>
        <w:tc>
          <w:tcPr>
            <w:tcW w:type="dxa" w:w="1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Risk</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Mitigation</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M1</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May 2026</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Platform go-live</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Day-1 live: website + all 10 app modules. Escrow gate active. Audit trail running.</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Lead Dev</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$7,530 CAPEX deployed</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Platform fails launch QA</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Emergency 48-hr fix window; CEO escalates to Board</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M1</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May 2026</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First 3 SOWs onboarded</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Process minimum 3 client projects through full escrow cycle</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Ops Admin</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$0 additional</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No client demand in M1</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Activate pre-launch client pipeline built in April</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M2</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Jun 2026</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First 20 freelancers registered + vetted</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Talent pipeline active; micro-specialization tags live</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Ops Admin (TECH-05)</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Within OPEX</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Low freelancer sign-up</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Direct outreach via existing Aden networks; university partnerships</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M2</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Jun 2026</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Mobile performance QA pass</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Lighthouse ≥ 70 on mobile; &lt; 8 sec on 3G confirmed</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Lead Dev (TECH-02)</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Within retainer</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Score below target</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Image optimization sprint; defer non-critical JS</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M3</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Jul 2026</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CTO hire decision</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Board decides: hire CTO or extend interim arrangement</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1,200–1,800/mo if hired</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Revenue below 60% target</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Extend interim; re-evaluate M6</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M3</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Jul 2026</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Hub booking system — 80% occupancy target</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Hub space calendar fully digital; 80% of bookings via platform</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Ops Admin</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Within OPEX</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Low adoption</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Incentivize first 30 days: 50% discount for platform bookings</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M4</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Aug 2026</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Academy first cohort enrolled via platform</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Minimum 15 students enrolled via digital system; certificates issued</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Ops Admin + TECH-02</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Within OPEX</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Low enrollment</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Push enrollment via WhatsApp + in-hub physical signage</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M5</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Sep 2026</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Kayan Card program soft launch</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Kayan Card visible on platform; first 10 cards issued to verified freelancers</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Finance</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Within OPEX</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Bank partner not confirmed</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Launch as loyalty card; add financial benefits when bank partner secured</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M6</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Oct 2026</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First revenue audit &amp; platform review</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Full 6-month P&amp;L review; platform ROI confirmed; bugs cleared; CAPEX amortized</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Finance</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$0</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Revenue &lt; 50% target</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Emergency board meeting; cost restructure; revenue push plan</w:t>
            </w:r>
          </w:p>
        </w:tc>
      </w:tr>
    </w:tbl>
    <w:p>
      <w:pPr>
        <w:spacing w:before="40" w:after="40"/>
      </w:pPr>
      <w:r>
        <w:t xml:space="preserve"/>
      </w:r>
    </w:p>
    <w:p>
      <w:pPr>
        <w:shd w:fill="275D46" w:val="clear"/>
        <w:spacing w:before="240" w:after="120"/>
      </w:pPr>
      <w:r>
        <w:rPr>
          <w:rFonts w:ascii="Arial" w:cs="Arial" w:eastAsia="Arial" w:hAnsi="Arial"/>
          <w:b/>
          <w:bCs/>
          <w:color w:val="FFFFFF"/>
          <w:sz w:val="24"/>
          <w:szCs w:val="24"/>
        </w:rPr>
        <w:t xml:space="preserve">PHASE 2 — SCALE &amp; MARKET LAUNCH (Months 7–18: November 2026 – April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500"/>
        <w:gridCol w:w="2060"/>
        <w:gridCol w:w="1100"/>
        <w:gridCol w:w="900"/>
        <w:gridCol w:w="1100"/>
        <w:gridCol w:w="1200"/>
      </w:tblGrid>
      <w:tr>
        <w:trPr>
          <w:tblHeader/>
        </w:trPr>
        <w:tc>
          <w:tcPr>
            <w:tcW w:type="dxa" w:w="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Month</w:t>
            </w:r>
          </w:p>
        </w:tc>
        <w:tc>
          <w:tcPr>
            <w:tcW w:type="dxa" w:w="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Date</w:t>
            </w:r>
          </w:p>
        </w:tc>
        <w:tc>
          <w:tcPr>
            <w:tcW w:type="dxa" w:w="1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Milestone</w:t>
            </w:r>
          </w:p>
        </w:tc>
        <w:tc>
          <w:tcPr>
            <w:tcW w:type="dxa" w:w="20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Actions / Deliverables</w:t>
            </w:r>
          </w:p>
        </w:tc>
        <w:tc>
          <w:tcPr>
            <w:tcW w:type="dxa" w:w="1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Owner</w:t>
            </w:r>
          </w:p>
        </w:tc>
        <w:tc>
          <w:tcPr>
            <w:tcW w:type="dxa" w:w="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Budget</w:t>
            </w:r>
          </w:p>
        </w:tc>
        <w:tc>
          <w:tcPr>
            <w:tcW w:type="dxa" w:w="1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Risk</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Mitigation</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M7</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Nov 2026</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Kayan Market launch (Q2 2026 → extended)</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Freelancer marketplace live at market.kayanwork.com; 50+ freelancers listed</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CTO / Lead Dev</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$800 dev cost</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Insufficient freelancer supply</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Accelerate freelancer onboarding from M5; gate launch on supply threshold</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M9</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Jan 2027</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Platform v2.0 — analytics dashboard</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KPI dashboard live; real-time revenue tracking; client health scores</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Lead Dev / CTO</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Within retainer</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Dashboard data accuracy</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Data reconciliation sprint; manual cross-check against Excel exports</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M10</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Feb 2027</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UI/UX hire or sustained outsource decision</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Review TECH-03 role: hire vs. retain freelancer based on design volume</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400–800/mo</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Budget constraint</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Keep freelancer; milestone-based rather than retainer</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M12</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Apr 2027</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Annual platform audit</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Full security audit; AML compliance review; sanctions screening log audit; 12-month KPI review</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external auditor</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800 audit fee</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Audit findings</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Corrective action plan within 30 days of findings</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M15</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Jul 2027</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Platform v2.5 — client self-service SOW builder</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Clients build their own SOW via guided wizard; reduces admin load by 40%</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Lead Dev / CTO</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1,200 dev sprint</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Complex edge cases</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MVP with 5 SOW types; expand iteratively</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M18</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Oct 2027</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Kayan Studio launch (Q3 2026 original → M18 revised)</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Design/content/dev pods marketed; dedicated Studio page live; first Studio SOW</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Studio Lead</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500 page cost</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No Studio talent supply</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Recruit Studio pods from existing freelancer registry</w:t>
            </w:r>
          </w:p>
        </w:tc>
      </w:tr>
    </w:tbl>
    <w:p>
      <w:pPr>
        <w:spacing w:before="40" w:after="40"/>
      </w:pPr>
      <w:r>
        <w:t xml:space="preserve"/>
      </w:r>
    </w:p>
    <w:p>
      <w:pPr>
        <w:shd w:fill="569578" w:val="clear"/>
        <w:spacing w:before="240" w:after="120"/>
      </w:pPr>
      <w:r>
        <w:rPr>
          <w:rFonts w:ascii="Arial" w:cs="Arial" w:eastAsia="Arial" w:hAnsi="Arial"/>
          <w:b/>
          <w:bCs/>
          <w:color w:val="FFFFFF"/>
          <w:sz w:val="24"/>
          <w:szCs w:val="24"/>
        </w:rPr>
        <w:t xml:space="preserve">PHASE 3 — OPTIMIZE &amp; EXPAND (Months 19–36: May 2027 – April 2029)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500"/>
        <w:gridCol w:w="2060"/>
        <w:gridCol w:w="1100"/>
        <w:gridCol w:w="900"/>
        <w:gridCol w:w="1100"/>
        <w:gridCol w:w="1200"/>
      </w:tblGrid>
      <w:tr>
        <w:trPr>
          <w:tblHeader/>
        </w:trPr>
        <w:tc>
          <w:tcPr>
            <w:tcW w:type="dxa" w:w="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Month</w:t>
            </w:r>
          </w:p>
        </w:tc>
        <w:tc>
          <w:tcPr>
            <w:tcW w:type="dxa" w:w="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Date</w:t>
            </w:r>
          </w:p>
        </w:tc>
        <w:tc>
          <w:tcPr>
            <w:tcW w:type="dxa" w:w="1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Milestone</w:t>
            </w:r>
          </w:p>
        </w:tc>
        <w:tc>
          <w:tcPr>
            <w:tcW w:type="dxa" w:w="20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Actions / Deliverables</w:t>
            </w:r>
          </w:p>
        </w:tc>
        <w:tc>
          <w:tcPr>
            <w:tcW w:type="dxa" w:w="1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Owner</w:t>
            </w:r>
          </w:p>
        </w:tc>
        <w:tc>
          <w:tcPr>
            <w:tcW w:type="dxa" w:w="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Budget</w:t>
            </w:r>
          </w:p>
        </w:tc>
        <w:tc>
          <w:tcPr>
            <w:tcW w:type="dxa" w:w="1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Risk</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Mitigation</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M24</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Apr 2028</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5,000 registered users milestone</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Platform crosses 5,000 users (clients + talent + hub members); user verification 100%</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CTO + Ops</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Within OPEX</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Growth stall</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Referral program; university MOU activation; employer partner outreach</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M24</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Apr 2028</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Investor entry — IPS transfer mechanism</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1,500 IPS investor reserve mechanism tested; investor entry framework platform-ready</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Legal</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Within legal budget</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No investor interest</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Demonstrate revenue traction; activate investor pipeline (KAY-EQ-006)</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M30</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Oct 2028</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SaaS product development begins</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Year-3 SaaS product spec approved; development roadmap published; first beta partner identified</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CTO + CEO</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5,000 dev budget</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Revenue insufficient</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Delay SaaS; extend managed services phase</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M36</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Apr 2029</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Platform v3.0 — full SaaS</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Full SaaS offering; white-label capability; API for third-party integrations; GCC market-ready</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CTO + Dev Team</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15,000–25,000</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Market timing</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GCC expansion readiness assessment; delay if Aden market not saturated</w:t>
            </w:r>
          </w:p>
        </w:tc>
      </w:tr>
    </w:tbl>
    <w:p>
      <w:pPr>
        <w:spacing w:before="40" w:after="40"/>
      </w:pPr>
      <w:r>
        <w:t xml:space="preserve"/>
      </w:r>
    </w:p>
    <w:p>
      <w:pPr>
        <w:shd w:fill="3A1C6E" w:val="clear"/>
        <w:spacing w:before="240" w:after="120"/>
      </w:pPr>
      <w:r>
        <w:rPr>
          <w:rFonts w:ascii="Arial" w:cs="Arial" w:eastAsia="Arial" w:hAnsi="Arial"/>
          <w:b/>
          <w:bCs/>
          <w:color w:val="FFFFFF"/>
          <w:sz w:val="24"/>
          <w:szCs w:val="24"/>
        </w:rPr>
        <w:t xml:space="preserve">PHASE 4 — LEADERSHIP &amp; LEGACY (Months 37–48: May 2029 – April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500"/>
        <w:gridCol w:w="2060"/>
        <w:gridCol w:w="1100"/>
        <w:gridCol w:w="900"/>
        <w:gridCol w:w="1100"/>
        <w:gridCol w:w="1200"/>
      </w:tblGrid>
      <w:tr>
        <w:trPr>
          <w:tblHeader/>
        </w:trPr>
        <w:tc>
          <w:tcPr>
            <w:tcW w:type="dxa" w:w="6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Month</w:t>
            </w:r>
          </w:p>
        </w:tc>
        <w:tc>
          <w:tcPr>
            <w:tcW w:type="dxa" w:w="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Date</w:t>
            </w:r>
          </w:p>
        </w:tc>
        <w:tc>
          <w:tcPr>
            <w:tcW w:type="dxa" w:w="15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Milestone</w:t>
            </w:r>
          </w:p>
        </w:tc>
        <w:tc>
          <w:tcPr>
            <w:tcW w:type="dxa" w:w="20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Actions / Deliverables</w:t>
            </w:r>
          </w:p>
        </w:tc>
        <w:tc>
          <w:tcPr>
            <w:tcW w:type="dxa" w:w="1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Owner</w:t>
            </w:r>
          </w:p>
        </w:tc>
        <w:tc>
          <w:tcPr>
            <w:tcW w:type="dxa" w:w="9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Budget</w:t>
            </w:r>
          </w:p>
        </w:tc>
        <w:tc>
          <w:tcPr>
            <w:tcW w:type="dxa" w:w="11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Risk</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Mitigation</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M40</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Sep 2029</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Kayan Ventures platform integration</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Kayan Ventures portfolio companies hosted on platform; deal flow module live</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CTO</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3,000 dev</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Ventures not launched</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Defer integration; keep Ventures as offline-first operation</w:t>
            </w:r>
          </w:p>
        </w:tc>
      </w:tr>
      <w:tr>
        <w:tc>
          <w:tcPr>
            <w:tcW w:type="dxa" w:w="6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M44</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Jan 2030</w:t>
            </w:r>
          </w:p>
        </w:tc>
        <w:tc>
          <w:tcPr>
            <w:tcW w:type="dxa" w:w="15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GCC expansion pilot</w:t>
            </w:r>
          </w:p>
        </w:tc>
        <w:tc>
          <w:tcPr>
            <w:tcW w:type="dxa" w:w="20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Platform adapted for GCC market: Arabic dialect support; GCC payment gateway; regulatory review</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CTO + Legal</w:t>
            </w:r>
          </w:p>
        </w:tc>
        <w:tc>
          <w:tcPr>
            <w:tcW w:type="dxa" w:w="9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8,000–12,000</w:t>
            </w:r>
          </w:p>
        </w:tc>
        <w:tc>
          <w:tcPr>
            <w:tcW w:type="dxa" w:w="11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Regulatory barriers</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Yemen LLC jurisdictional analysis; consider branch vs. new entity</w:t>
            </w:r>
          </w:p>
        </w:tc>
      </w:tr>
      <w:tr>
        <w:tc>
          <w:tcPr>
            <w:tcW w:type="dxa" w:w="6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M48</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Apr 2030</w:t>
            </w:r>
          </w:p>
        </w:tc>
        <w:tc>
          <w:tcPr>
            <w:tcW w:type="dxa" w:w="15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4-year platform maturity review</w:t>
            </w:r>
          </w:p>
        </w:tc>
        <w:tc>
          <w:tcPr>
            <w:tcW w:type="dxa" w:w="20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Full 4-year audit: revenue generated via platform, user count, SLA compliance, security record, cost efficiency</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CEO + Board</w:t>
            </w:r>
          </w:p>
        </w:tc>
        <w:tc>
          <w:tcPr>
            <w:tcW w:type="dxa" w:w="9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USD 2,000 audit</w:t>
            </w:r>
          </w:p>
        </w:tc>
        <w:tc>
          <w:tcPr>
            <w:tcW w:type="dxa" w:w="11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Platform obsolescence</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18"/>
                <w:szCs w:val="18"/>
              </w:rPr>
              <w:t xml:space="preserve">Technology refresh decision; legacy migration if required</w:t>
            </w:r>
          </w:p>
        </w:tc>
      </w:tr>
    </w:tbl>
    <w:p>
      <w:pPr>
        <w:spacing w:before="40" w:after="40"/>
      </w:pPr>
      <w:r>
        <w:t xml:space="preserve"/>
      </w:r>
    </w:p>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6 — KPI TARGETS (Tech OS)</w:t>
      </w:r>
      <w:r>
        <w:rPr>
          <w:rFonts w:ascii="Arial" w:cs="Arial" w:eastAsia="Arial" w:hAnsi="Arial"/>
          <w:b w:val="false"/>
          <w:bCs w:val="false"/>
          <w:color w:val="275D46"/>
          <w:sz w:val="28"/>
          <w:szCs w:val="28"/>
        </w:rPr>
        <w:t xml:space="preserve">  مؤشرات الأداء الرئيسية</w:t>
      </w:r>
    </w:p>
    <w:p>
      <w:pPr>
        <w:pBdr>
          <w:bottom w:val="single" w:color="569578"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2160"/>
      </w:tblGrid>
      <w:tr>
        <w:trPr>
          <w:tblHeader/>
        </w:trPr>
        <w:tc>
          <w:tcPr>
            <w:tcW w:type="dxa" w:w="2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KPI</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M1 Target</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M3 Target</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M6 Target</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M12 Target</w:t>
            </w:r>
          </w:p>
        </w:tc>
        <w:tc>
          <w:tcPr>
            <w:tcW w:type="dxa" w:w="120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M24 Target</w:t>
            </w:r>
          </w:p>
        </w:tc>
        <w:tc>
          <w:tcPr>
            <w:tcW w:type="dxa" w:w="2160"/>
            <w:tcBorders>
              <w:top w:val="single" w:color="569578" w:sz="4"/>
              <w:left w:val="single" w:color="569578" w:sz="4"/>
              <w:bottom w:val="single" w:color="569578" w:sz="4"/>
              <w:right w:val="single" w:color="569578" w:sz="4"/>
            </w:tcBorders>
            <w:shd w:fill="022B22"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Measurement Method</w:t>
            </w:r>
          </w:p>
        </w:tc>
      </w:tr>
      <w:tr>
        <w:tc>
          <w:tcPr>
            <w:tcW w:type="dxa" w:w="2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Platform uptime %</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97%</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99%</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99%</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99.5%</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99.9%</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Uptime monitoring tool (UptimeRobot or equivalent)</w:t>
            </w:r>
          </w:p>
        </w:tc>
      </w:tr>
      <w:tr>
        <w:tc>
          <w:tcPr>
            <w:tcW w:type="dxa" w:w="2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Client onboarding time (hrs)</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72 hrs</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48 hrs</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24 hrs</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12 hrs</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6 hrs</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SOW submission to first contact timestamp</w:t>
            </w:r>
          </w:p>
        </w:tc>
      </w:tr>
      <w:tr>
        <w:tc>
          <w:tcPr>
            <w:tcW w:type="dxa" w:w="2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SOW-to-Escrow cycle (days)</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7 days</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5 days</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3 days</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2 days</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&lt; 1 day</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Platform SOW status timestamps</w:t>
            </w:r>
          </w:p>
        </w:tc>
      </w:tr>
      <w:tr>
        <w:tc>
          <w:tcPr>
            <w:tcW w:type="dxa" w:w="2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Registered freelancers</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50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300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1,000</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Platform admin export</w:t>
            </w:r>
          </w:p>
        </w:tc>
      </w:tr>
      <w:tr>
        <w:tc>
          <w:tcPr>
            <w:tcW w:type="dxa" w:w="2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Registered clients (entities)</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25</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60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200</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Platform admin export</w:t>
            </w:r>
          </w:p>
        </w:tc>
      </w:tr>
      <w:tr>
        <w:tc>
          <w:tcPr>
            <w:tcW w:type="dxa" w:w="2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Active SOWs concurrently</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2</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15</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80</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Delivery tracker dashboard</w:t>
            </w:r>
          </w:p>
        </w:tc>
      </w:tr>
      <w:tr>
        <w:tc>
          <w:tcPr>
            <w:tcW w:type="dxa" w:w="2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Audit trail completeness</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100%</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Audit trail report; zero gaps tolerance</w:t>
            </w:r>
          </w:p>
        </w:tc>
      </w:tr>
      <w:tr>
        <w:tc>
          <w:tcPr>
            <w:tcW w:type="dxa" w:w="2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Mobile Lighthouse score</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65</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70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75</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85</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Google PageSpeed Insights — monthly test</w:t>
            </w:r>
          </w:p>
        </w:tc>
      </w:tr>
      <w:tr>
        <w:tc>
          <w:tcPr>
            <w:tcW w:type="dxa" w:w="2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Arabic RTL error count</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Native Arabic speaker QA; monthly check</w:t>
            </w:r>
          </w:p>
        </w:tc>
      </w:tr>
      <w:tr>
        <w:tc>
          <w:tcPr>
            <w:tcW w:type="dxa" w:w="2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Hub bookings via platform %</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30%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60%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80%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95%</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Hub booking log export</w:t>
            </w:r>
          </w:p>
        </w:tc>
      </w:tr>
      <w:tr>
        <w:tc>
          <w:tcPr>
            <w:tcW w:type="dxa" w:w="2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Security incidents (critical)</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12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0</w:t>
            </w:r>
          </w:p>
        </w:tc>
        <w:tc>
          <w:tcPr>
            <w:tcW w:type="dxa" w:w="216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Security monitoring log; CEO immediate alert</w:t>
            </w:r>
          </w:p>
        </w:tc>
      </w:tr>
      <w:tr>
        <w:tc>
          <w:tcPr>
            <w:tcW w:type="dxa" w:w="2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Monthly tech OPEX (USD)</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$517</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$517</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$600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$700</w:t>
            </w:r>
          </w:p>
        </w:tc>
        <w:tc>
          <w:tcPr>
            <w:tcW w:type="dxa" w:w="12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 $900</w:t>
            </w:r>
          </w:p>
        </w:tc>
        <w:tc>
          <w:tcPr>
            <w:tcW w:type="dxa" w:w="21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Finance export — monthly dual-approved payment log</w:t>
            </w:r>
          </w:p>
        </w:tc>
      </w:tr>
    </w:tbl>
    <w:p>
      <w:pPr>
        <w:pageBreakBefore/>
      </w:pPr>
      <w:r>
        <w:t xml:space="preserve"/>
      </w:r>
    </w:p>
    <w:p>
      <w:pPr>
        <w:pStyle w:val="Heading1"/>
        <w:pBdr>
          <w:bottom w:val="single" w:color="C8962E" w:sz="8"/>
        </w:pBdr>
        <w:spacing w:before="360" w:after="160"/>
      </w:pPr>
      <w:r>
        <w:rPr>
          <w:rFonts w:ascii="Arial" w:cs="Arial" w:eastAsia="Arial" w:hAnsi="Arial"/>
          <w:b/>
          <w:bCs/>
          <w:color w:val="022B22"/>
          <w:sz w:val="36"/>
          <w:szCs w:val="36"/>
        </w:rPr>
        <w:t xml:space="preserve">SECTION 7 — 50 SCROLL-STOPPING HOOKS FOR KAYAN</w:t>
      </w:r>
      <w:r>
        <w:rPr>
          <w:rFonts w:ascii="Arial" w:cs="Arial" w:eastAsia="Arial" w:hAnsi="Arial"/>
          <w:b w:val="false"/>
          <w:bCs w:val="false"/>
          <w:color w:val="275D46"/>
          <w:sz w:val="28"/>
          <w:szCs w:val="28"/>
        </w:rPr>
        <w:t xml:space="preserve">  خمسون عنواناً يوقف التمرير</w:t>
      </w:r>
    </w:p>
    <w:p>
      <w:pPr>
        <w:spacing w:before="80" w:after="80"/>
        <w:jc w:val="left"/>
      </w:pPr>
      <w:r>
        <w:rPr>
          <w:rFonts w:ascii="Arial" w:cs="Arial" w:eastAsia="Arial" w:hAnsi="Arial"/>
          <w:b w:val="false"/>
          <w:bCs w:val="false"/>
          <w:i w:val="false"/>
          <w:iCs w:val="false"/>
          <w:color w:val="1A1A1A"/>
          <w:sz w:val="22"/>
          <w:szCs w:val="22"/>
        </w:rPr>
        <w:t xml:space="preserve">Purpose: Use these hooks across all Kayan digital channels — website hero text, social media, email subject lines, hub signage, and academy communications. All hooks align with the Kayan brand voice: direct, trustworthy, ambitious, Arabic-first market.</w:t>
      </w:r>
    </w:p>
    <w:p>
      <w:pPr>
        <w:pBdr>
          <w:bottom w:val="single" w:color="569578" w:sz="4" w:space="1"/>
        </w:pBdr>
        <w:spacing w:before="80" w:after="80"/>
      </w:pPr>
      <w:r>
        <w:t xml:space="preserve"/>
      </w:r>
    </w:p>
    <w:p>
      <w:pPr>
        <w:shd w:fill="275D46" w:val="clear"/>
        <w:spacing w:before="240" w:after="120"/>
      </w:pPr>
      <w:r>
        <w:rPr>
          <w:rFonts w:ascii="Arial" w:cs="Arial" w:eastAsia="Arial" w:hAnsi="Arial"/>
          <w:b/>
          <w:bCs/>
          <w:color w:val="FFFFFF"/>
          <w:sz w:val="26"/>
          <w:szCs w:val="26"/>
        </w:rPr>
        <w:t xml:space="preserve">CURIOSITY — فضول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-8</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What if the person fixing your business problem is already in Aden — and you've never met them?</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-6</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Most outsourcing fails for one reason. It's not the talent. It's the trust gap. We engineered the solution.</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You put money in. You get work out. No mystery. No chasing. That's the Kayan promise.</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What would you build if you could hire a verified, managed team in Yemen for 30% of your current cost?</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0</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There are 27 million people in Yemen. How many are solving your exact business problem right now? We know.</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 world underestimates Aden. Every company that discovers it first has a 3-year advantage.</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Your money doesn't move until the work is done. That's not a policy. That's architecture.</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6</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What if you could see every task, every milestone, every payment — in real time — from anywhere in the world?</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8</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We've been told: "You can't build a professional services firm in Aden." We're opening May 1st.</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10</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 difference between a freelancer and a pod? One invoice. One point of contact. One accountability.</w:t>
            </w:r>
          </w:p>
        </w:tc>
      </w:tr>
    </w:tbl>
    <w:p>
      <w:pPr>
        <w:spacing w:before="40" w:after="40"/>
      </w:pPr>
      <w:r>
        <w:t xml:space="preserve"/>
      </w:r>
    </w:p>
    <w:p>
      <w:pPr>
        <w:shd w:fill="569578" w:val="clear"/>
        <w:spacing w:before="240" w:after="120"/>
      </w:pPr>
      <w:r>
        <w:rPr>
          <w:rFonts w:ascii="Arial" w:cs="Arial" w:eastAsia="Arial" w:hAnsi="Arial"/>
          <w:b/>
          <w:bCs/>
          <w:color w:val="FFFFFF"/>
          <w:sz w:val="26"/>
          <w:szCs w:val="26"/>
        </w:rPr>
        <w:t xml:space="preserve">STORY — قصة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 client sent $5,000 to a freelancer in Yemen. The work was never done. The money never came back. Kayan exists because that story must end.</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Three years ago, Maher Faisal asked: why does Yemeni talent have to prove itself every time, while the system never proves itself to them? Kayan is the answer.</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6</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 graphic designer in Aden was charging $5 per logo because no one trusted her work. After Kayan verification, she charged $120. Same talent. Different trust infrastructure.</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8</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Every founder who's built something real knows this moment: the team is in place, the idea is clear, the money is ready. What was missing was the right people. That's who we find.</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10</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 walked into a coworking space in Aden and found four engineers with laptop chargers and no clients. Today they're a Kayan pod. Six clients. Twelve active projects.</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12</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She learned to code online between power cuts. She applied to 40 platforms and was rejected at the ID verification step every time. Kayan was built so she would never be rejected again.</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14</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 first thing we built wasn't the platform. It was the trust protocol. Because without trust, technology is just a website.</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16</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Our first client said: "I don't care where they're based. I care that the work gets done and my money is safe." We said: "That's exactly what we built." He signed the same day.</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18</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A development agency in Dubai spent $18,000 on a platform that was never delivered. Their next project went through Kayan. Delivered in 47 days. Under budget.</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20</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was built in Aden. Not in spite of what Aden has been through — because of it. Resilience isn't a feature here. It's the culture.</w:t>
            </w:r>
          </w:p>
        </w:tc>
      </w:tr>
    </w:tbl>
    <w:p>
      <w:pPr>
        <w:spacing w:before="40" w:after="40"/>
      </w:pPr>
      <w:r>
        <w:t xml:space="preserve"/>
      </w:r>
    </w:p>
    <w:p>
      <w:pPr>
        <w:shd w:fill="022B22" w:val="clear"/>
        <w:spacing w:before="240" w:after="120"/>
      </w:pPr>
      <w:r>
        <w:rPr>
          <w:rFonts w:ascii="Arial" w:cs="Arial" w:eastAsia="Arial" w:hAnsi="Arial"/>
          <w:b/>
          <w:bCs/>
          <w:color w:val="FFFFFF"/>
          <w:sz w:val="26"/>
          <w:szCs w:val="26"/>
        </w:rPr>
        <w:t xml:space="preserve">LIST — قائمة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12</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5 things you get with Kayan that you never get with a freelancing platform: 1. A dedicated pod. 2. A managed workflow. 3. Escrow-protected payments. 4. Milestone accountability. 5. A human who answers the phone.</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14</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 3 reasons outsourcing fails: No structure. No accountability. No money protection. Kayan solves all three. That's the whole pitch.</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16</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7 specializations we verify, train, and deploy: Web development. Graphic design. Digital marketing. Data entry. Translation. Business writing. Finance &amp; accounting.</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18</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What a Kayan SOW gives you: Scope. Timeline. Deliverables. Payment milestones. Dispute clause. Revision policy. And your money in escrow before a single line of work begins.</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20</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4 types of businesses already thriving in Aden: NGOs needing local execution. International brands entering Yemen. Diaspora entrepreneurs scaling remotely. Regional companies cutting costs.</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22</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 Kayan ecosystem in one list: Managed delivery. Coworking space. Training academy. Freelancer marketplace. Kayan Cards. Volunteer impact programme. Venture building. All under one LLC. One team. One trust standard.</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24</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What you don't have to do with Kayan: Hire HR. Manage contracts. Chase payments. Verify identities. Handle disputes. That's what we're here for.</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26</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Three questions every smart client asks before signing: Is my money protected? Who's accountable if it fails? Can I see the work in progress? With Kayan: Yes. We are. Yes.</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28</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Academy teaches what the market needs, not what looks good on a syllabus. Module 1: Freelancing that earns. Module 2: Clients that pay. Module 3: Platforms that protect you.</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30</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Before Kayan: 40% of freelance projects in Yemen ended in dispute. After Kayan: SOW + Escrow + Milestone gate. Dispute rate target: under 3%.</w:t>
            </w:r>
          </w:p>
        </w:tc>
      </w:tr>
    </w:tbl>
    <w:p>
      <w:pPr>
        <w:spacing w:before="40" w:after="40"/>
      </w:pPr>
      <w:r>
        <w:t xml:space="preserve"/>
      </w:r>
    </w:p>
    <w:p>
      <w:pPr>
        <w:shd w:fill="8B4513" w:val="clear"/>
        <w:spacing w:before="240" w:after="120"/>
      </w:pPr>
      <w:r>
        <w:rPr>
          <w:rFonts w:ascii="Arial" w:cs="Arial" w:eastAsia="Arial" w:hAnsi="Arial"/>
          <w:b/>
          <w:bCs/>
          <w:color w:val="FFFFFF"/>
          <w:sz w:val="26"/>
          <w:szCs w:val="26"/>
        </w:rPr>
        <w:t xml:space="preserve">CONTROVERSY — جدلي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22</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Hot take: The problem with Yemeni talent isn't capability. It's that the world built systems designed to exclude them. We're rebuilding from scratch.</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24</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 freelancing platforms that claim to support Yemen take 20% on top of your fee, offer zero protection, and close your account if they suspect a Yemeni IP. We built the alternative.</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26</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Controversial opinion: Most outsourcing companies protect themselves, not their clients. Kayan is the first managed delivery company in Yemen built to protect the client first.</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28</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 don't hide behind platform terms. Every Kayan agreement is a named contract with a named team and a named escrow account. Accountability isn't optional here.</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30</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Some people will tell you it's too risky to do business in Yemen. Those people haven't been to Aden in 2025.</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32</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 "cheap outsourcing" race kills quality and talent alike. Kayan is not competing on cheapness. We're competing on certainty. There's a difference.</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34</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Unpopular truth: The biggest risk in outsourcing isn't the country. It's the absence of structure. We provide the structure. The country provides the talent.</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36</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Every international framework that excluded Yemen from digital payments also excluded 28 million people from the global economy. Kayan is the workaround. The legal, ethical, documented workaround.</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38</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 will never pay talent through hawala. We will never use personal accounts. We will never take a risk with your money or theirs. Some companies see that as a constraint. We see it as the product.</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40</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If you've been burned by a Yemeni freelancer, we're sorry. That's exactly the problem we're fixing. Come back. This time, it's different. We'll prove it with a contract, a timeline, and your money in escrow.</w:t>
            </w:r>
          </w:p>
        </w:tc>
      </w:tr>
    </w:tbl>
    <w:p>
      <w:pPr>
        <w:spacing w:before="40" w:after="40"/>
      </w:pPr>
      <w:r>
        <w:t xml:space="preserve"/>
      </w:r>
    </w:p>
    <w:p>
      <w:pPr>
        <w:shd w:fill="0D4F4F" w:val="clear"/>
        <w:spacing w:before="240" w:after="120"/>
      </w:pPr>
      <w:r>
        <w:rPr>
          <w:rFonts w:ascii="Arial" w:cs="Arial" w:eastAsia="Arial" w:hAnsi="Arial"/>
          <w:b/>
          <w:bCs/>
          <w:color w:val="FFFFFF"/>
          <w:sz w:val="26"/>
          <w:szCs w:val="26"/>
        </w:rPr>
        <w:t xml:space="preserve">BOLD STATEMENT — جرأة وجسارة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32</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 are building Yemen's first professionally managed talent delivery company. From Aden. On May 1st, 2026. This is not a plan. This is a schedule.</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34</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doesn't just find you talent. We find you accountability. We manage the work. We protect your money. We deliver the outcome. Or we don't get paid.</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36</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No SOW. No escrow. No work. That's not a tagline. That's a law we wrote for ourselves before any government required it.</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38</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will train 500 Yemeni professionals in Year 1. Verify 300 freelancers. Close 200+ managed delivery projects. That's not ambition. That's the model.</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40</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In five years, Kayan will be the reason global companies think of Aden when they need quality work done. That's the mission. We're building toward it today.</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42</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Your project starts when your money is in escrow. Your money leaves escrow when the work is done. Everything in between is managed by us. That's the deal.</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44</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We don't compete with Fiverr or Upwork. They're marketplaces. We're a managed delivery company. Fundamentally different product. Fundamentally different accountability.</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46</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Kayan Hub isn't just a coworking space. It's the physical proof that professional infrastructure exists in Aden. Come see it. Bring your laptop. Join the ecosystem.</w:t>
            </w:r>
          </w:p>
        </w:tc>
      </w:tr>
      <w:tr>
        <w:tc>
          <w:tcPr>
            <w:tcW w:type="dxa" w:w="560"/>
            <w:tcBorders>
              <w:top w:val="single" w:color="569578" w:sz="4"/>
              <w:left w:val="single" w:color="569578" w:sz="4"/>
              <w:bottom w:val="single" w:color="569578" w:sz="4"/>
              <w:right w:val="single" w:color="569578" w:sz="4"/>
            </w:tcBorders>
            <w:shd w:fill="E8F0EC"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48</w:t>
            </w:r>
          </w:p>
        </w:tc>
        <w:tc>
          <w:tcPr>
            <w:tcW w:type="dxa" w:w="8800"/>
            <w:tcBorders>
              <w:top w:val="single" w:color="569578" w:sz="4"/>
              <w:left w:val="single" w:color="569578" w:sz="4"/>
              <w:bottom w:val="single" w:color="569578" w:sz="4"/>
              <w:right w:val="single" w:color="569578" w:sz="4"/>
            </w:tcBorders>
            <w:shd w:fill="F4F8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Every person who registers on Kayan is screened, verified, and trained if needed. We stake our reputation on every talent card we issue. That's the weight of the Kayan name.</w:t>
            </w:r>
          </w:p>
        </w:tc>
      </w:tr>
      <w:tr>
        <w:tc>
          <w:tcPr>
            <w:tcW w:type="dxa" w:w="56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1A"/>
                <w:sz w:val="20"/>
                <w:szCs w:val="20"/>
              </w:rPr>
              <w:t xml:space="preserve">50</w:t>
            </w:r>
          </w:p>
        </w:tc>
        <w:tc>
          <w:tcPr>
            <w:tcW w:type="dxa" w:w="8800"/>
            <w:tcBorders>
              <w:top w:val="single" w:color="569578" w:sz="4"/>
              <w:left w:val="single" w:color="569578" w:sz="4"/>
              <w:bottom w:val="single" w:color="569578" w:sz="4"/>
              <w:right w:val="single" w:color="56957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1A"/>
                <w:sz w:val="20"/>
                <w:szCs w:val="20"/>
              </w:rPr>
              <w:t xml:space="preserve">The most important thing we build isn't the platform. It's trust. The platform is just how we prove it every single day.</w:t>
            </w:r>
          </w:p>
        </w:tc>
      </w:tr>
    </w:tbl>
    <w:p>
      <w:pPr>
        <w:spacing w:before="40" w:after="4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69578" w:sz="4" w:space="1"/>
      </w:pBdr>
      <w:jc w:val="center"/>
    </w:pPr>
    <w:r>
      <w:rPr>
        <w:rFonts w:ascii="Arial" w:cs="Arial" w:eastAsia="Arial" w:hAnsi="Arial"/>
        <w:color w:val="555555"/>
        <w:sz w:val="18"/>
        <w:szCs w:val="18"/>
      </w:rPr>
      <w:t xml:space="preserve">kayanwork.com  |  m.farea@kayanwork.com  |  INTERNAL CONFIDENTIAL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69578" w:sz="4" w:space="1"/>
      </w:pBdr>
      <w:jc w:val="left"/>
    </w:pPr>
    <w:r>
      <w:rPr>
        <w:rFonts w:ascii="Arial" w:cs="Arial" w:eastAsia="Arial" w:hAnsi="Arial"/>
        <w:color w:val="275D46"/>
        <w:sz w:val="18"/>
        <w:szCs w:val="18"/>
      </w:rPr>
      <w:t xml:space="preserve">KAY-TECH-OS-008 v4.0  |  Tech + Website + Web App OS  |  كيان للابتكار وريادة الأعمال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22B2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75D4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695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2026-03-04T08:27:24.526Z</dcterms:created>
  <dcterms:modified xsi:type="dcterms:W3CDTF">2026-03-04T08:27:24.527Z</dcterms:modified>
</cp:coreProperties>
</file>

<file path=docProps/custom.xml><?xml version="1.0" encoding="utf-8"?>
<Properties xmlns="http://schemas.openxmlformats.org/officeDocument/2006/custom-properties" xmlns:vt="http://schemas.openxmlformats.org/officeDocument/2006/docPropsVTypes"/>
</file>