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jc w:val="center"/>
      </w:pPr>
      <w:r>
        <w:drawing>
          <wp:inline distT="0" distB="0" distL="0" distR="0">
            <wp:extent cx="15049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04950" cy="1200150"/>
                    </a:xfrm>
                    <a:prstGeom prst="rect">
                      <a:avLst/>
                    </a:prstGeom>
                  </pic:spPr>
                </pic:pic>
              </a:graphicData>
            </a:graphic>
          </wp:inline>
        </w:drawing>
      </w:r>
    </w:p>
    <w:p>
      <w:pPr>
        <w:spacing w:after="0" w:before="90"/>
        <w:jc w:val="center"/>
      </w:pPr>
      <w:r>
        <w:rPr>
          <w:rFonts w:ascii="Georgia" w:cs="Georgia" w:eastAsia="Georgia" w:hAnsi="Georgia"/>
          <w:b w:val="false"/>
          <w:bCs w:val="false"/>
          <w:i/>
          <w:iCs/>
          <w:color w:val="6B6B6B"/>
          <w:sz w:val="19"/>
          <w:szCs w:val="19"/>
        </w:rPr>
        <w:t xml:space="preserve">Connecting Excellence. Empowering Growth.</w:t>
      </w:r>
    </w:p>
    <w:p>
      <w:pPr>
        <w:spacing w:after="80" w:before="540"/>
        <w:jc w:val="center"/>
      </w:pPr>
      <w:r>
        <w:rPr>
          <w:rFonts w:ascii="Arial" w:cs="Arial" w:eastAsia="Arial" w:hAnsi="Arial"/>
          <w:b/>
          <w:bCs/>
          <w:i w:val="false"/>
          <w:iCs w:val="false"/>
          <w:color w:val="C8962E"/>
          <w:spacing w:val="130"/>
          <w:sz w:val="18"/>
          <w:szCs w:val="18"/>
        </w:rPr>
        <w:t xml:space="preserve">09      MARKETING · CAMPAIGN</w:t>
      </w:r>
    </w:p>
    <w:p>
      <w:pPr>
        <w:spacing w:after="0"/>
        <w:jc w:val="center"/>
      </w:pPr>
      <w:r>
        <w:rPr>
          <w:rFonts w:ascii="Georgia" w:cs="Georgia" w:eastAsia="Georgia" w:hAnsi="Georgia"/>
          <w:b w:val="false"/>
          <w:bCs w:val="false"/>
          <w:i w:val="false"/>
          <w:iCs w:val="false"/>
          <w:color w:val="0D4F4F"/>
          <w:sz w:val="38"/>
          <w:szCs w:val="38"/>
        </w:rPr>
        <w:t xml:space="preserve">“We Build It Together” — Launch Campaign</w:t>
      </w:r>
    </w:p>
    <w:p>
      <w:pPr>
        <w:spacing w:after="0" w:before="16"/>
        <w:jc w:val="center"/>
      </w:pPr>
      <w:r>
        <w:rPr>
          <w:rFonts w:ascii="Georgia" w:cs="Georgia" w:eastAsia="Georgia" w:hAnsi="Georgia"/>
          <w:b w:val="false"/>
          <w:bCs w:val="false"/>
          <w:i w:val="false"/>
          <w:iCs w:val="false"/>
          <w:color w:val="0B3A33"/>
          <w:sz w:val="23"/>
          <w:szCs w:val="23"/>
          <w:rtl/>
        </w:rPr>
        <w:t xml:space="preserve">«نبنيه معاً» — حملة الإطلاق</w:t>
      </w:r>
    </w:p>
    <w:p>
      <w:pPr>
        <w:spacing w:after="0" w:before="40"/>
        <w:jc w:val="center"/>
      </w:pPr>
      <w:r>
        <w:rPr>
          <w:rFonts w:ascii="Georgia" w:cs="Georgia" w:eastAsia="Georgia" w:hAnsi="Georgia"/>
          <w:b w:val="false"/>
          <w:bCs w:val="false"/>
          <w:i w:val="false"/>
          <w:iCs w:val="false"/>
          <w:color w:val="C8962E"/>
          <w:sz w:val="16"/>
          <w:szCs w:val="16"/>
        </w:rPr>
        <w:t xml:space="preserve">◆ ◆ ◆</w:t>
      </w:r>
    </w:p>
    <w:p>
      <w:pPr>
        <w:spacing w:after="0" w:before="360"/>
        <w:jc w:val="center"/>
      </w:pPr>
      <w:r>
        <w:rPr>
          <w:rFonts w:ascii="Arial" w:cs="Arial" w:eastAsia="Arial" w:hAnsi="Arial"/>
          <w:b/>
          <w:bCs/>
          <w:i w:val="false"/>
          <w:iCs w:val="false"/>
          <w:color w:val="C8962E"/>
          <w:spacing w:val="130"/>
          <w:sz w:val="15"/>
          <w:szCs w:val="15"/>
        </w:rPr>
        <w:t xml:space="preserve">WHAT THIS IS</w:t>
      </w:r>
    </w:p>
    <w:p>
      <w:pPr>
        <w:spacing w:after="0" w:before="10"/>
        <w:jc w:val="center"/>
      </w:pPr>
      <w:r>
        <w:rPr>
          <w:rFonts w:ascii="Georgia" w:cs="Georgia" w:eastAsia="Georgia" w:hAnsi="Georgia"/>
          <w:b w:val="false"/>
          <w:bCs w:val="false"/>
          <w:i/>
          <w:iCs/>
          <w:color w:val="0B3A33"/>
          <w:sz w:val="21"/>
          <w:szCs w:val="21"/>
        </w:rPr>
        <w:t xml:space="preserve">The complete plan for Kayan’s opening on 30 June 2026 — the idea, the phases, the audiences, the signature moments, the channels, and the Founding 100 — a launch built for Aden, on near-zero budget, that turns an opening into a movement.</w:t>
      </w:r>
    </w:p>
    <w:p>
      <w:pPr>
        <w:spacing w:after="0" w:before="440"/>
        <w:jc w:val="center"/>
      </w:pPr>
      <w:r>
        <w:rPr>
          <w:rFonts w:ascii="Arial" w:cs="Arial" w:eastAsia="Arial" w:hAnsi="Arial"/>
          <w:b w:val="false"/>
          <w:bCs w:val="false"/>
          <w:i w:val="false"/>
          <w:iCs w:val="false"/>
          <w:color w:val="6B6B6B"/>
          <w:spacing w:val="40"/>
          <w:sz w:val="16"/>
          <w:szCs w:val="16"/>
        </w:rPr>
        <w:t xml:space="preserve">A Yemeni operating institution      ◆      Aden</w:t>
      </w:r>
    </w:p>
    <w:p>
      <w:pPr>
        <w:spacing w:after="0" w:before="8"/>
        <w:jc w:val="center"/>
      </w:pPr>
      <w:r>
        <w:rPr>
          <w:rFonts w:ascii="Arial" w:cs="Arial" w:eastAsia="Arial" w:hAnsi="Arial"/>
          <w:b w:val="false"/>
          <w:bCs w:val="false"/>
          <w:i w:val="false"/>
          <w:iCs w:val="false"/>
          <w:color w:val="6B6B6B"/>
          <w:sz w:val="15"/>
          <w:szCs w:val="15"/>
        </w:rPr>
        <w:t xml:space="preserve">Kayan Innovation, Entrepreneurship &amp; Work Environments LLC</w:t>
      </w:r>
    </w:p>
    <w:p>
      <w:pPr>
        <w:spacing w:after="0" w:before="400"/>
        <w:jc w:val="center"/>
      </w:pPr>
      <w:r>
        <w:rPr>
          <w:rFonts w:ascii="Arial" w:cs="Arial" w:eastAsia="Arial" w:hAnsi="Arial"/>
          <w:b w:val="false"/>
          <w:bCs w:val="false"/>
          <w:i w:val="false"/>
          <w:iCs w:val="false"/>
          <w:color w:val="6B6B6B"/>
          <w:spacing w:val="30"/>
          <w:sz w:val="14"/>
          <w:szCs w:val="14"/>
        </w:rPr>
        <w:t xml:space="preserve">OWNER: CEO · MARKETING &amp; SALES LEAD      ◆      INTERNAL — MARKETING &amp; SALES</w:t>
      </w:r>
    </w:p>
    <w:p>
      <w:pPr>
        <w:spacing w:after="0" w:before="10"/>
        <w:jc w:val="center"/>
      </w:pPr>
      <w:r>
        <w:rPr>
          <w:rFonts w:ascii="Georgia" w:cs="Georgia" w:eastAsia="Georgia" w:hAnsi="Georgia"/>
          <w:b/>
          <w:bCs/>
          <w:i w:val="false"/>
          <w:iCs w:val="false"/>
          <w:color w:val="C8962E"/>
          <w:sz w:val="20"/>
          <w:szCs w:val="20"/>
        </w:rPr>
        <w:t xml:space="preserve">Effective 30 June 2026</w:t>
      </w:r>
    </w:p>
    <w:p>
      <w:r>
        <w:br w:type="page"/>
      </w:r>
    </w:p>
    <w:p>
      <w:pPr>
        <w:spacing w:after="80" w:before="40"/>
      </w:pPr>
      <w:r>
        <w:rPr>
          <w:rFonts w:ascii="Arial" w:cs="Arial" w:eastAsia="Arial" w:hAnsi="Arial"/>
          <w:b/>
          <w:bCs/>
          <w:i w:val="false"/>
          <w:iCs w:val="false"/>
          <w:color w:val="6B6B6B"/>
          <w:spacing w:val="120"/>
          <w:sz w:val="15"/>
          <w:szCs w:val="15"/>
        </w:rPr>
        <w:t xml:space="preserve">HOW IT OPERATES</w:t>
      </w:r>
    </w:p>
    <w:tbl>
      <w:tblPr>
        <w:tblW w:type="dxa" w:w="8640"/>
        <w:tblBorders>
          <w:top w:val="single" w:color="C8962E" w:sz="10"/>
          <w:left w:val="none" w:color="FFFFFF" w:sz="0"/>
          <w:bottom w:val="single" w:color="C8962E" w:sz="10"/>
          <w:right w:val="none" w:color="FFFFFF" w:sz="0"/>
          <w:insideH w:val="single" w:color="ECE5D6" w:sz="2"/>
          <w:insideV w:val="none" w:color="FFFFFF" w:sz="0"/>
        </w:tblBorders>
      </w:tblPr>
      <w:tblGrid>
        <w:gridCol w:w="2400"/>
        <w:gridCol w:w="6240"/>
      </w:tblGrid>
      <w:tr>
        <w:tc>
          <w:tcPr>
            <w:tcW w:type="dxa" w:w="2400"/>
            <w:shd w:fill="F6F2EA" w:color="auto" w:val="clear"/>
            <w:tcMar>
              <w:top w:type="dxa" w:w="120"/>
              <w:left w:type="dxa" w:w="180"/>
              <w:bottom w:type="dxa" w:w="120"/>
              <w:right w:type="dxa" w:w="120"/>
            </w:tcMar>
            <w:vAlign w:val="top"/>
          </w:tcPr>
          <w:p>
            <w:r>
              <w:rPr>
                <w:rFonts w:ascii="Arial" w:cs="Arial" w:eastAsia="Arial" w:hAnsi="Arial"/>
                <w:b/>
                <w:bCs/>
                <w:i w:val="false"/>
                <w:iCs w:val="false"/>
                <w:color w:val="C8962E"/>
                <w:spacing w:val="60"/>
                <w:sz w:val="14"/>
                <w:szCs w:val="14"/>
              </w:rPr>
              <w:t xml:space="preserve">WHAT THIS IS</w:t>
            </w:r>
          </w:p>
        </w:tc>
        <w:tc>
          <w:tcPr>
            <w:tcW w:type="dxa" w:w="6240"/>
            <w:shd w:fill="F6F2EA" w:color="auto" w:val="clear"/>
            <w:tcMar>
              <w:top w:type="dxa" w:w="120"/>
              <w:left w:type="dxa" w:w="120"/>
              <w:bottom w:type="dxa" w:w="120"/>
              <w:right w:type="dxa" w:w="180"/>
            </w:tcMar>
            <w:vAlign w:val="top"/>
          </w:tcPr>
          <w:p>
            <w:pPr>
              <w:spacing w:line="288"/>
            </w:pPr>
            <w:r>
              <w:rPr>
                <w:rFonts w:ascii="Cambria" w:cs="Cambria" w:eastAsia="Cambria" w:hAnsi="Cambria"/>
                <w:b w:val="false"/>
                <w:bCs w:val="false"/>
                <w:i w:val="false"/>
                <w:iCs w:val="false"/>
                <w:color w:val="222222"/>
                <w:sz w:val="20"/>
                <w:szCs w:val="20"/>
              </w:rPr>
              <w:t xml:space="preserve">The full creative and operational brief for Kayan’s launch campaign around the 30 June 2026 opening: one central idea, three phases, the message and tactic for every audience, the signature moments, the channel plan, the Founding 100 mechanic, the run-of-show, the budget, the metrics, and the risks — bilingual, and specific to Aden.</w:t>
            </w:r>
          </w:p>
        </w:tc>
      </w:tr>
      <w:tr>
        <w:tc>
          <w:tcPr>
            <w:tcW w:type="dxa" w:w="2400"/>
            <w:shd w:fill="F6F2EA" w:color="auto" w:val="clear"/>
            <w:tcMar>
              <w:top w:type="dxa" w:w="120"/>
              <w:left w:type="dxa" w:w="180"/>
              <w:bottom w:type="dxa" w:w="120"/>
              <w:right w:type="dxa" w:w="120"/>
            </w:tcMar>
            <w:vAlign w:val="top"/>
          </w:tcPr>
          <w:p>
            <w:r>
              <w:rPr>
                <w:rFonts w:ascii="Arial" w:cs="Arial" w:eastAsia="Arial" w:hAnsi="Arial"/>
                <w:b/>
                <w:bCs/>
                <w:i w:val="false"/>
                <w:iCs w:val="false"/>
                <w:color w:val="C8962E"/>
                <w:spacing w:val="60"/>
                <w:sz w:val="14"/>
                <w:szCs w:val="14"/>
              </w:rPr>
              <w:t xml:space="preserve">WHO IT IS FOR</w:t>
            </w:r>
          </w:p>
        </w:tc>
        <w:tc>
          <w:tcPr>
            <w:tcW w:type="dxa" w:w="6240"/>
            <w:shd w:fill="F6F2EA" w:color="auto" w:val="clear"/>
            <w:tcMar>
              <w:top w:type="dxa" w:w="120"/>
              <w:left w:type="dxa" w:w="120"/>
              <w:bottom w:type="dxa" w:w="120"/>
              <w:right w:type="dxa" w:w="180"/>
            </w:tcMar>
            <w:vAlign w:val="top"/>
          </w:tcPr>
          <w:p>
            <w:pPr>
              <w:spacing w:line="288"/>
            </w:pPr>
            <w:r>
              <w:rPr>
                <w:rFonts w:ascii="Cambria" w:cs="Cambria" w:eastAsia="Cambria" w:hAnsi="Cambria"/>
                <w:b w:val="false"/>
                <w:bCs w:val="false"/>
                <w:i w:val="false"/>
                <w:iCs w:val="false"/>
                <w:color w:val="222222"/>
                <w:sz w:val="20"/>
                <w:szCs w:val="20"/>
              </w:rPr>
              <w:t xml:space="preserve">The CEO and the Marketing &amp; Sales Lead, with the design and PR interns executing; the whole team plays a part in launch week.</w:t>
            </w:r>
          </w:p>
        </w:tc>
      </w:tr>
      <w:tr>
        <w:tc>
          <w:tcPr>
            <w:tcW w:type="dxa" w:w="2400"/>
            <w:shd w:fill="F6F2EA" w:color="auto" w:val="clear"/>
            <w:tcMar>
              <w:top w:type="dxa" w:w="120"/>
              <w:left w:type="dxa" w:w="180"/>
              <w:bottom w:type="dxa" w:w="120"/>
              <w:right w:type="dxa" w:w="120"/>
            </w:tcMar>
            <w:vAlign w:val="top"/>
          </w:tcPr>
          <w:p>
            <w:r>
              <w:rPr>
                <w:rFonts w:ascii="Arial" w:cs="Arial" w:eastAsia="Arial" w:hAnsi="Arial"/>
                <w:b/>
                <w:bCs/>
                <w:i w:val="false"/>
                <w:iCs w:val="false"/>
                <w:color w:val="C8962E"/>
                <w:spacing w:val="60"/>
                <w:sz w:val="14"/>
                <w:szCs w:val="14"/>
              </w:rPr>
              <w:t xml:space="preserve">APPROVAL &amp; ENDORSEMENT</w:t>
            </w:r>
          </w:p>
        </w:tc>
        <w:tc>
          <w:tcPr>
            <w:tcW w:type="dxa" w:w="6240"/>
            <w:shd w:fill="F6F2EA" w:color="auto" w:val="clear"/>
            <w:tcMar>
              <w:top w:type="dxa" w:w="120"/>
              <w:left w:type="dxa" w:w="120"/>
              <w:bottom w:type="dxa" w:w="120"/>
              <w:right w:type="dxa" w:w="180"/>
            </w:tcMar>
            <w:vAlign w:val="top"/>
          </w:tcPr>
          <w:p>
            <w:pPr>
              <w:spacing w:line="288"/>
            </w:pPr>
            <w:r>
              <w:rPr>
                <w:rFonts w:ascii="Cambria" w:cs="Cambria" w:eastAsia="Cambria" w:hAnsi="Cambria"/>
                <w:b w:val="false"/>
                <w:bCs w:val="false"/>
                <w:i w:val="false"/>
                <w:iCs w:val="false"/>
                <w:color w:val="222222"/>
                <w:sz w:val="20"/>
                <w:szCs w:val="20"/>
              </w:rPr>
              <w:t xml:space="preserve">Owned by the CEO with Marketing &amp; Sales; built on the Marketing &amp; Growth Engine, the Brand Asset Kit, the WhatsApp kit, and the Pulse library.</w:t>
            </w:r>
          </w:p>
        </w:tc>
      </w:tr>
      <w:tr>
        <w:tc>
          <w:tcPr>
            <w:tcW w:type="dxa" w:w="2400"/>
            <w:shd w:fill="F6F2EA" w:color="auto" w:val="clear"/>
            <w:tcMar>
              <w:top w:type="dxa" w:w="120"/>
              <w:left w:type="dxa" w:w="180"/>
              <w:bottom w:type="dxa" w:w="120"/>
              <w:right w:type="dxa" w:w="120"/>
            </w:tcMar>
            <w:vAlign w:val="top"/>
          </w:tcPr>
          <w:p>
            <w:r>
              <w:rPr>
                <w:rFonts w:ascii="Arial" w:cs="Arial" w:eastAsia="Arial" w:hAnsi="Arial"/>
                <w:b/>
                <w:bCs/>
                <w:i w:val="false"/>
                <w:iCs w:val="false"/>
                <w:color w:val="C8962E"/>
                <w:spacing w:val="60"/>
                <w:sz w:val="14"/>
                <w:szCs w:val="14"/>
              </w:rPr>
              <w:t xml:space="preserve">WHEN IT IS USED</w:t>
            </w:r>
          </w:p>
        </w:tc>
        <w:tc>
          <w:tcPr>
            <w:tcW w:type="dxa" w:w="6240"/>
            <w:shd w:fill="F6F2EA" w:color="auto" w:val="clear"/>
            <w:tcMar>
              <w:top w:type="dxa" w:w="120"/>
              <w:left w:type="dxa" w:w="120"/>
              <w:bottom w:type="dxa" w:w="120"/>
              <w:right w:type="dxa" w:w="180"/>
            </w:tcMar>
            <w:vAlign w:val="top"/>
          </w:tcPr>
          <w:p>
            <w:pPr>
              <w:spacing w:line="288"/>
            </w:pPr>
            <w:r>
              <w:rPr>
                <w:rFonts w:ascii="Cambria" w:cs="Cambria" w:eastAsia="Cambria" w:hAnsi="Cambria"/>
                <w:b w:val="false"/>
                <w:bCs w:val="false"/>
                <w:i w:val="false"/>
                <w:iCs w:val="false"/>
                <w:color w:val="222222"/>
                <w:sz w:val="20"/>
                <w:szCs w:val="20"/>
              </w:rPr>
              <w:t xml:space="preserve">From roughly three weeks before opening through the first 90 days — the single most important marketing window Kayan will have.</w:t>
            </w:r>
          </w:p>
        </w:tc>
      </w:tr>
      <w:tr>
        <w:tc>
          <w:tcPr>
            <w:tcW w:type="dxa" w:w="2400"/>
            <w:shd w:fill="F6F2EA" w:color="auto" w:val="clear"/>
            <w:tcMar>
              <w:top w:type="dxa" w:w="120"/>
              <w:left w:type="dxa" w:w="180"/>
              <w:bottom w:type="dxa" w:w="120"/>
              <w:right w:type="dxa" w:w="120"/>
            </w:tcMar>
            <w:vAlign w:val="top"/>
          </w:tcPr>
          <w:p>
            <w:r>
              <w:rPr>
                <w:rFonts w:ascii="Arial" w:cs="Arial" w:eastAsia="Arial" w:hAnsi="Arial"/>
                <w:b/>
                <w:bCs/>
                <w:i w:val="false"/>
                <w:iCs w:val="false"/>
                <w:color w:val="C8962E"/>
                <w:spacing w:val="60"/>
                <w:sz w:val="14"/>
                <w:szCs w:val="14"/>
              </w:rPr>
              <w:t xml:space="preserve">WORKFLOW</w:t>
            </w:r>
          </w:p>
        </w:tc>
        <w:tc>
          <w:tcPr>
            <w:tcW w:type="dxa" w:w="6240"/>
            <w:shd w:fill="F6F2EA" w:color="auto" w:val="clear"/>
            <w:tcMar>
              <w:top w:type="dxa" w:w="120"/>
              <w:left w:type="dxa" w:w="120"/>
              <w:bottom w:type="dxa" w:w="120"/>
              <w:right w:type="dxa" w:w="180"/>
            </w:tcMar>
            <w:vAlign w:val="top"/>
          </w:tcPr>
          <w:p>
            <w:pPr>
              <w:spacing w:line="288"/>
            </w:pPr>
            <w:r>
              <w:rPr>
                <w:rFonts w:ascii="Cambria" w:cs="Cambria" w:eastAsia="Cambria" w:hAnsi="Cambria"/>
                <w:b w:val="false"/>
                <w:bCs w:val="false"/>
                <w:i w:val="false"/>
                <w:iCs w:val="false"/>
                <w:color w:val="222222"/>
                <w:sz w:val="20"/>
                <w:szCs w:val="20"/>
              </w:rPr>
              <w:t xml:space="preserve">Whisper (tease) → Opening (reveal &amp; gather) → Proof (convert &amp; sustain). Each phase has owners, assets, and a calendar.</w:t>
            </w:r>
          </w:p>
        </w:tc>
      </w:tr>
      <w:tr>
        <w:tc>
          <w:tcPr>
            <w:tcW w:type="dxa" w:w="2400"/>
            <w:shd w:fill="F6F2EA" w:color="auto" w:val="clear"/>
            <w:tcMar>
              <w:top w:type="dxa" w:w="120"/>
              <w:left w:type="dxa" w:w="180"/>
              <w:bottom w:type="dxa" w:w="120"/>
              <w:right w:type="dxa" w:w="120"/>
            </w:tcMar>
            <w:vAlign w:val="top"/>
          </w:tcPr>
          <w:p>
            <w:r>
              <w:rPr>
                <w:rFonts w:ascii="Arial" w:cs="Arial" w:eastAsia="Arial" w:hAnsi="Arial"/>
                <w:b/>
                <w:bCs/>
                <w:i w:val="false"/>
                <w:iCs w:val="false"/>
                <w:color w:val="C8962E"/>
                <w:spacing w:val="60"/>
                <w:sz w:val="14"/>
                <w:szCs w:val="14"/>
              </w:rPr>
              <w:t xml:space="preserve">COST / FEE</w:t>
            </w:r>
          </w:p>
        </w:tc>
        <w:tc>
          <w:tcPr>
            <w:tcW w:type="dxa" w:w="6240"/>
            <w:shd w:fill="F6F2EA" w:color="auto" w:val="clear"/>
            <w:tcMar>
              <w:top w:type="dxa" w:w="120"/>
              <w:left w:type="dxa" w:w="120"/>
              <w:bottom w:type="dxa" w:w="120"/>
              <w:right w:type="dxa" w:w="180"/>
            </w:tcMar>
            <w:vAlign w:val="top"/>
          </w:tcPr>
          <w:p>
            <w:pPr>
              <w:spacing w:line="288"/>
            </w:pPr>
            <w:r>
              <w:rPr>
                <w:rFonts w:ascii="Cambria" w:cs="Cambria" w:eastAsia="Cambria" w:hAnsi="Cambria"/>
                <w:b w:val="false"/>
                <w:bCs w:val="false"/>
                <w:i w:val="false"/>
                <w:iCs w:val="false"/>
                <w:color w:val="222222"/>
                <w:sz w:val="20"/>
                <w:szCs w:val="20"/>
              </w:rPr>
              <w:t xml:space="preserve">Built for near-zero spend — owned channels, WhatsApp, one event, founder-led content, earned local press, and word of mouth.</w:t>
            </w:r>
          </w:p>
        </w:tc>
      </w:tr>
      <w:tr>
        <w:tc>
          <w:tcPr>
            <w:tcW w:type="dxa" w:w="2400"/>
            <w:shd w:fill="F6F2EA" w:color="auto" w:val="clear"/>
            <w:tcMar>
              <w:top w:type="dxa" w:w="120"/>
              <w:left w:type="dxa" w:w="180"/>
              <w:bottom w:type="dxa" w:w="120"/>
              <w:right w:type="dxa" w:w="120"/>
            </w:tcMar>
            <w:vAlign w:val="top"/>
          </w:tcPr>
          <w:p>
            <w:r>
              <w:rPr>
                <w:rFonts w:ascii="Arial" w:cs="Arial" w:eastAsia="Arial" w:hAnsi="Arial"/>
                <w:b/>
                <w:bCs/>
                <w:i w:val="false"/>
                <w:iCs w:val="false"/>
                <w:color w:val="C8962E"/>
                <w:spacing w:val="60"/>
                <w:sz w:val="14"/>
                <w:szCs w:val="14"/>
              </w:rPr>
              <w:t xml:space="preserve">OWNER &amp; REVIEW</w:t>
            </w:r>
          </w:p>
        </w:tc>
        <w:tc>
          <w:tcPr>
            <w:tcW w:type="dxa" w:w="6240"/>
            <w:shd w:fill="F6F2EA" w:color="auto" w:val="clear"/>
            <w:tcMar>
              <w:top w:type="dxa" w:w="120"/>
              <w:left w:type="dxa" w:w="120"/>
              <w:bottom w:type="dxa" w:w="120"/>
              <w:right w:type="dxa" w:w="180"/>
            </w:tcMar>
            <w:vAlign w:val="top"/>
          </w:tcPr>
          <w:p>
            <w:pPr>
              <w:spacing w:line="288"/>
            </w:pPr>
            <w:r>
              <w:rPr>
                <w:rFonts w:ascii="Cambria" w:cs="Cambria" w:eastAsia="Cambria" w:hAnsi="Cambria"/>
                <w:b w:val="false"/>
                <w:bCs w:val="false"/>
                <w:i w:val="false"/>
                <w:iCs w:val="false"/>
                <w:color w:val="222222"/>
                <w:sz w:val="20"/>
                <w:szCs w:val="20"/>
              </w:rPr>
              <w:t xml:space="preserve">CEO / Marketing &amp; Sales Lead; reviewed weekly through the launch window against the launch KPIs.</w:t>
            </w:r>
          </w:p>
        </w:tc>
      </w:tr>
    </w:tbl>
    <w:p>
      <w:pPr>
        <w:spacing w:after="60" w:before="520"/>
      </w:pPr>
      <w:r>
        <w:rPr>
          <w:rFonts w:ascii="Arial" w:cs="Arial" w:eastAsia="Arial" w:hAnsi="Arial"/>
          <w:b/>
          <w:bCs/>
          <w:i w:val="false"/>
          <w:iCs w:val="false"/>
          <w:color w:val="C8962E"/>
          <w:spacing w:val="120"/>
          <w:sz w:val="17"/>
          <w:szCs w:val="17"/>
        </w:rPr>
        <w:t xml:space="preserve">01      </w:t>
      </w:r>
      <w:r>
        <w:rPr>
          <w:rFonts w:ascii="Arial" w:cs="Arial" w:eastAsia="Arial" w:hAnsi="Arial"/>
          <w:b/>
          <w:bCs/>
          <w:i w:val="false"/>
          <w:iCs w:val="false"/>
          <w:color w:val="6B6B6B"/>
          <w:spacing w:val="120"/>
          <w:sz w:val="17"/>
          <w:szCs w:val="17"/>
        </w:rPr>
        <w:t xml:space="preserve">THE IDEA · الفكرة</w:t>
      </w:r>
    </w:p>
    <w:tbl>
      <w:tblPr>
        <w:tblW w:type="dxa" w:w="8640"/>
        <w:tblBorders>
          <w:top w:val="none"/>
          <w:left w:val="none"/>
          <w:bottom w:val="none"/>
          <w:right w:val="none"/>
          <w:insideH w:val="none"/>
          <w:insideV w:val="none"/>
        </w:tblBorders>
      </w:tblPr>
      <w:tblGrid>
        <w:gridCol w:w="4320"/>
        <w:gridCol w:w="4320"/>
      </w:tblGrid>
      <w:tr>
        <w:tc>
          <w:tcPr>
            <w:tcW w:type="dxa" w:w="4320"/>
            <w:tcMar>
              <w:top w:type="dxa" w:w="60"/>
              <w:left w:type="dxa" w:w="0"/>
              <w:bottom w:type="dxa" w:w="40"/>
              <w:right w:type="dxa" w:w="120"/>
            </w:tcMar>
            <w:vAlign w:val="center"/>
          </w:tcPr>
          <w:p>
            <w:pPr>
              <w:pBdr>
                <w:left w:val="single" w:color="C8962E" w:sz="24" w:space="10"/>
              </w:pBdr>
              <w:spacing w:after="0"/>
              <w:ind w:left="140"/>
            </w:pPr>
            <w:r>
              <w:rPr>
                <w:rFonts w:ascii="Cambria" w:cs="Cambria" w:eastAsia="Cambria" w:hAnsi="Cambria"/>
                <w:b/>
                <w:bCs/>
                <w:i w:val="false"/>
                <w:iCs w:val="false"/>
                <w:color w:val="0B3A33"/>
                <w:sz w:val="26"/>
                <w:szCs w:val="26"/>
              </w:rPr>
              <w:t xml:space="preserve">We Build It Together</w:t>
            </w:r>
          </w:p>
        </w:tc>
        <w:tc>
          <w:tcPr>
            <w:tcW w:type="dxa" w:w="4320"/>
            <w:tcMar>
              <w:top w:type="dxa" w:w="60"/>
              <w:left w:type="dxa" w:w="120"/>
              <w:bottom w:type="dxa" w:w="40"/>
              <w:right w:type="dxa" w:w="0"/>
            </w:tcMar>
            <w:vAlign w:val="center"/>
          </w:tcPr>
          <w:p>
            <w:pPr>
              <w:bidi/>
              <w:spacing w:after="0" w:line="306"/>
              <w:jc w:val="right"/>
            </w:pPr>
            <w:r>
              <w:rPr>
                <w:rFonts w:ascii="Cairo" w:cs="Cairo" w:eastAsia="Cairo" w:hAnsi="Cairo"/>
                <w:b/>
                <w:bCs/>
                <w:i w:val="false"/>
                <w:iCs w:val="false"/>
                <w:color w:val="0B3A33"/>
                <w:sz w:val="28"/>
                <w:szCs w:val="28"/>
                <w:rtl/>
              </w:rPr>
              <w:t xml:space="preserve">نبنيه معاً</w:t>
            </w:r>
          </w:p>
        </w:tc>
      </w:tr>
    </w:tbl>
    <w:p>
      <w:pPr>
        <w:spacing w:after="30" w:before="15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57500"/>
                    </a:xfrm>
                    <a:prstGeom prst="rect">
                      <a:avLst/>
                    </a:prstGeom>
                  </pic:spPr>
                </pic:pic>
              </a:graphicData>
            </a:graphic>
          </wp:inline>
        </w:drawing>
      </w:r>
    </w:p>
    <w:p>
      <w:pPr>
        <w:spacing w:after="210"/>
        <w:jc w:val="center"/>
      </w:pPr>
      <w:r>
        <w:rPr>
          <w:rFonts w:ascii="Arial" w:cs="Arial" w:eastAsia="Arial" w:hAnsi="Arial"/>
          <w:b/>
          <w:bCs/>
          <w:i w:val="false"/>
          <w:iCs w:val="false"/>
          <w:color w:val="C8962E"/>
          <w:spacing w:val="40"/>
          <w:sz w:val="14"/>
          <w:szCs w:val="14"/>
        </w:rPr>
        <w:t xml:space="preserve">FIGURE   ◆   </w:t>
      </w:r>
      <w:r>
        <w:rPr>
          <w:rFonts w:ascii="Georgia" w:cs="Georgia" w:eastAsia="Georgia" w:hAnsi="Georgia"/>
          <w:b w:val="false"/>
          <w:bCs w:val="false"/>
          <w:i/>
          <w:iCs/>
          <w:color w:val="6B6B6B"/>
          <w:sz w:val="18"/>
          <w:szCs w:val="18"/>
        </w:rPr>
        <w:t xml:space="preserve">Three phases around one open door — the launch at a glance.</w:t>
      </w:r>
    </w:p>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44"/>
              <w:left w:type="dxa" w:w="0"/>
              <w:bottom w:type="dxa" w:w="44"/>
              <w:right w:type="dxa" w:w="170"/>
            </w:tcMar>
          </w:tcPr>
          <w:p>
            <w:pPr>
              <w:spacing w:after="0" w:line="288"/>
              <w:jc w:val="left"/>
            </w:pPr>
            <w:r>
              <w:rPr>
                <w:rFonts w:ascii="Cambria" w:cs="Cambria" w:eastAsia="Cambria" w:hAnsi="Cambria"/>
                <w:b w:val="false"/>
                <w:bCs w:val="false"/>
                <w:i w:val="false"/>
                <w:iCs w:val="false"/>
                <w:color w:val="222222"/>
                <w:sz w:val="20"/>
                <w:szCs w:val="20"/>
              </w:rPr>
              <w:t xml:space="preserve">Most businesses launch by announcing themselves. Kayan will launch by inviting Aden to build something with it. The idea is ‘We build it together’ — the people who join at the start are not customers, they are founders. It reframes an opening as a movement, and it is true to the model: Kayan is an institution of trust, and trust is built with people, not broadcast at them. Underneath sits the master platform — proof, not promises — so from the very first day Kayan shows real verified talent, a real space, real work, and a real first cup of coffee, rather than claims. No one in Aden has opened this way: not louder, but together.</w:t>
            </w:r>
          </w:p>
        </w:tc>
        <w:tc>
          <w:tcPr>
            <w:tcW w:type="dxa" w:w="4380"/>
            <w:tcMar>
              <w:top w:type="dxa" w:w="44"/>
              <w:left w:type="dxa" w:w="170"/>
              <w:bottom w:type="dxa" w:w="44"/>
              <w:right w:type="dxa" w:w="0"/>
            </w:tcMar>
          </w:tcPr>
          <w:p>
            <w:pPr>
              <w:bidi/>
              <w:spacing w:after="0" w:line="306"/>
              <w:jc w:val="right"/>
            </w:pPr>
            <w:r>
              <w:rPr>
                <w:rFonts w:ascii="Cairo" w:cs="Cairo" w:eastAsia="Cairo" w:hAnsi="Cairo"/>
                <w:b w:val="false"/>
                <w:bCs w:val="false"/>
                <w:i w:val="false"/>
                <w:iCs w:val="false"/>
                <w:color w:val="222222"/>
                <w:sz w:val="22"/>
                <w:szCs w:val="22"/>
                <w:rtl/>
              </w:rPr>
              <w:t xml:space="preserve">أغلب الشركات تُطلق بإعلان نفسها. أمّا كيان فستُطلق بدعوة عدن لتبني معها شيئاً. الفكرة هي «نبنيه معاً» — فمن ينضمّ في البداية ليس عميلاً، بل مؤسّساً. هذا يحوّل الافتتاح إلى حراك، وهو صادق مع النموذج: كيان مؤسسة ثقة، والثقة تُبنى مع الناس لا تُبثّ إليهم. وتحتها تبقى المنصّة الأم: برهان لا وعود — فمن أوّل يوم تُظهر كيان مواهب موثّقة حقيقية، ومكاناً حقيقياً، وعملاً حقيقياً، وأوّل فنجان قهوة حقيقيّ — لا مجرّد دعاوى. لم يفتتح أحد في عدن بهذه الطريقة: لا بصوت أعلى، بل معاً.</w:t>
            </w:r>
          </w:p>
        </w:tc>
      </w:tr>
    </w:tbl>
    <w:p>
      <w:pPr>
        <w:spacing w:after="160" w:before="60" w:line="300"/>
        <w:ind w:left="200"/>
      </w:pPr>
      <w:r>
        <w:rPr>
          <w:rFonts w:ascii="Arial" w:cs="Arial" w:eastAsia="Arial" w:hAnsi="Arial"/>
          <w:b/>
          <w:bCs/>
          <w:i w:val="false"/>
          <w:iCs w:val="false"/>
          <w:color w:val="C0633F"/>
          <w:spacing w:val="60"/>
          <w:sz w:val="13"/>
          <w:szCs w:val="13"/>
        </w:rPr>
        <w:t xml:space="preserve">NOTE   </w:t>
      </w:r>
      <w:r>
        <w:rPr>
          <w:rFonts w:ascii="Cambria" w:cs="Cambria" w:eastAsia="Cambria" w:hAnsi="Cambria"/>
          <w:b w:val="false"/>
          <w:bCs w:val="false"/>
          <w:i/>
          <w:iCs/>
          <w:color w:val="6B6B6B"/>
          <w:sz w:val="18"/>
          <w:szCs w:val="18"/>
        </w:rPr>
        <w:t xml:space="preserve">The launch lines, in both tongues: “Kayan is open — we build it together.” / «كيان مفتوحة — نبنيه معاً.»  And the Café’s line: “Where coffee began, work begins again.” / «حيث بدأت القهوة، يبدأ العمل من جديد.»</w:t>
      </w:r>
    </w:p>
    <w:p>
      <w:pPr>
        <w:spacing w:after="60" w:before="520"/>
      </w:pPr>
      <w:r>
        <w:rPr>
          <w:rFonts w:ascii="Arial" w:cs="Arial" w:eastAsia="Arial" w:hAnsi="Arial"/>
          <w:b/>
          <w:bCs/>
          <w:i w:val="false"/>
          <w:iCs w:val="false"/>
          <w:color w:val="C8962E"/>
          <w:spacing w:val="120"/>
          <w:sz w:val="17"/>
          <w:szCs w:val="17"/>
        </w:rPr>
        <w:t xml:space="preserve">02      </w:t>
      </w:r>
      <w:r>
        <w:rPr>
          <w:rFonts w:ascii="Arial" w:cs="Arial" w:eastAsia="Arial" w:hAnsi="Arial"/>
          <w:b/>
          <w:bCs/>
          <w:i w:val="false"/>
          <w:iCs w:val="false"/>
          <w:color w:val="6B6B6B"/>
          <w:spacing w:val="120"/>
          <w:sz w:val="17"/>
          <w:szCs w:val="17"/>
        </w:rPr>
        <w:t xml:space="preserve">OBJECTIVES · الأهداف</w:t>
      </w:r>
    </w:p>
    <w:tbl>
      <w:tblPr>
        <w:tblW w:type="dxa" w:w="8640"/>
        <w:tblBorders>
          <w:top w:val="none"/>
          <w:left w:val="none"/>
          <w:bottom w:val="none"/>
          <w:right w:val="none"/>
          <w:insideH w:val="none"/>
          <w:insideV w:val="none"/>
        </w:tblBorders>
      </w:tblPr>
      <w:tblGrid>
        <w:gridCol w:w="4320"/>
        <w:gridCol w:w="4320"/>
      </w:tblGrid>
      <w:tr>
        <w:tc>
          <w:tcPr>
            <w:tcW w:type="dxa" w:w="4320"/>
            <w:tcMar>
              <w:top w:type="dxa" w:w="60"/>
              <w:left w:type="dxa" w:w="0"/>
              <w:bottom w:type="dxa" w:w="40"/>
              <w:right w:type="dxa" w:w="120"/>
            </w:tcMar>
            <w:vAlign w:val="center"/>
          </w:tcPr>
          <w:p>
            <w:pPr>
              <w:pBdr>
                <w:left w:val="single" w:color="C8962E" w:sz="24" w:space="10"/>
              </w:pBdr>
              <w:spacing w:after="0"/>
              <w:ind w:left="140"/>
            </w:pPr>
            <w:r>
              <w:rPr>
                <w:rFonts w:ascii="Cambria" w:cs="Cambria" w:eastAsia="Cambria" w:hAnsi="Cambria"/>
                <w:b/>
                <w:bCs/>
                <w:i w:val="false"/>
                <w:iCs w:val="false"/>
                <w:color w:val="0B3A33"/>
                <w:sz w:val="26"/>
                <w:szCs w:val="26"/>
              </w:rPr>
              <w:t xml:space="preserve">What the Launch Must Achieve</w:t>
            </w:r>
          </w:p>
        </w:tc>
        <w:tc>
          <w:tcPr>
            <w:tcW w:type="dxa" w:w="4320"/>
            <w:tcMar>
              <w:top w:type="dxa" w:w="60"/>
              <w:left w:type="dxa" w:w="120"/>
              <w:bottom w:type="dxa" w:w="40"/>
              <w:right w:type="dxa" w:w="0"/>
            </w:tcMar>
            <w:vAlign w:val="center"/>
          </w:tcPr>
          <w:p>
            <w:pPr>
              <w:bidi/>
              <w:spacing w:after="0" w:line="306"/>
              <w:jc w:val="right"/>
            </w:pPr>
            <w:r>
              <w:rPr>
                <w:rFonts w:ascii="Cairo" w:cs="Cairo" w:eastAsia="Cairo" w:hAnsi="Cairo"/>
                <w:b/>
                <w:bCs/>
                <w:i w:val="false"/>
                <w:iCs w:val="false"/>
                <w:color w:val="0B3A33"/>
                <w:sz w:val="28"/>
                <w:szCs w:val="28"/>
                <w:rtl/>
              </w:rPr>
              <w:t xml:space="preserve">ما الذي يجب أن يحقّقه الإطلاق</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36"/>
              <w:left w:type="dxa" w:w="0"/>
              <w:bottom w:type="dxa" w:w="36"/>
              <w:right w:type="dxa" w:w="170"/>
            </w:tcMar>
          </w:tcPr>
          <w:p>
            <w:pPr>
              <w:spacing w:after="0" w:line="282"/>
              <w:ind w:left="360" w:hanging="23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Be known: Aden’s professionals, businesses, and partners know Kayan exists and what it stands for.</w:t>
            </w:r>
          </w:p>
        </w:tc>
        <w:tc>
          <w:tcPr>
            <w:tcW w:type="dxa" w:w="4380"/>
            <w:tcMar>
              <w:top w:type="dxa" w:w="36"/>
              <w:left w:type="dxa" w:w="170"/>
              <w:bottom w:type="dxa" w:w="36"/>
              <w:right w:type="dxa" w:w="0"/>
            </w:tcMar>
          </w:tcPr>
          <w:p>
            <w:pPr>
              <w:bidi/>
              <w:spacing w:after="0" w:line="300"/>
              <w:jc w:val="right"/>
            </w:pPr>
            <w:r>
              <w:rPr>
                <w:rFonts w:ascii="Cairo" w:cs="Cairo" w:eastAsia="Cairo" w:hAnsi="Cairo"/>
                <w:b w:val="false"/>
                <w:bCs w:val="false"/>
                <w:i w:val="false"/>
                <w:iCs w:val="false"/>
                <w:color w:val="222222"/>
                <w:sz w:val="21"/>
                <w:szCs w:val="21"/>
                <w:rtl/>
              </w:rPr>
              <w:t xml:space="preserve">أن تُعرَف: يعرف محترفو عدن وشركاتها وشركاؤها أن كيان موجودة وما الذي تمثّله.</w:t>
            </w:r>
            <w:r>
              <w:rPr>
                <w:rFonts w:ascii="Cairo" w:cs="Cairo" w:eastAsia="Cairo" w:hAnsi="Cairo"/>
                <w:b w:val="false"/>
                <w:bCs w:val="false"/>
                <w:i w:val="false"/>
                <w:iCs w:val="false"/>
                <w:color w:val="C8962E"/>
                <w:sz w:val="13"/>
                <w:szCs w:val="13"/>
                <w:rtl/>
              </w:rPr>
              <w:t xml:space="preserve">  ◆</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36"/>
              <w:left w:type="dxa" w:w="0"/>
              <w:bottom w:type="dxa" w:w="36"/>
              <w:right w:type="dxa" w:w="170"/>
            </w:tcMar>
          </w:tcPr>
          <w:p>
            <w:pPr>
              <w:spacing w:after="0" w:line="282"/>
              <w:ind w:left="360" w:hanging="23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Build the supply: enrol the Founding 100 — the first verified professionals — so Kayan can deliver.</w:t>
            </w:r>
          </w:p>
        </w:tc>
        <w:tc>
          <w:tcPr>
            <w:tcW w:type="dxa" w:w="4380"/>
            <w:tcMar>
              <w:top w:type="dxa" w:w="36"/>
              <w:left w:type="dxa" w:w="170"/>
              <w:bottom w:type="dxa" w:w="36"/>
              <w:right w:type="dxa" w:w="0"/>
            </w:tcMar>
          </w:tcPr>
          <w:p>
            <w:pPr>
              <w:bidi/>
              <w:spacing w:after="0" w:line="300"/>
              <w:jc w:val="right"/>
            </w:pPr>
            <w:r>
              <w:rPr>
                <w:rFonts w:ascii="Cairo" w:cs="Cairo" w:eastAsia="Cairo" w:hAnsi="Cairo"/>
                <w:b w:val="false"/>
                <w:bCs w:val="false"/>
                <w:i w:val="false"/>
                <w:iCs w:val="false"/>
                <w:color w:val="222222"/>
                <w:sz w:val="21"/>
                <w:szCs w:val="21"/>
                <w:rtl/>
              </w:rPr>
              <w:t xml:space="preserve">بناء العرض: تسجيل المئة المؤسِّسين — أوّل المحترفين الموثّقين — حتى تستطيع كيان أن تُسلّم.</w:t>
            </w:r>
            <w:r>
              <w:rPr>
                <w:rFonts w:ascii="Cairo" w:cs="Cairo" w:eastAsia="Cairo" w:hAnsi="Cairo"/>
                <w:b w:val="false"/>
                <w:bCs w:val="false"/>
                <w:i w:val="false"/>
                <w:iCs w:val="false"/>
                <w:color w:val="C8962E"/>
                <w:sz w:val="13"/>
                <w:szCs w:val="13"/>
                <w:rtl/>
              </w:rPr>
              <w:t xml:space="preserve">  ◆</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36"/>
              <w:left w:type="dxa" w:w="0"/>
              <w:bottom w:type="dxa" w:w="36"/>
              <w:right w:type="dxa" w:w="170"/>
            </w:tcMar>
          </w:tcPr>
          <w:p>
            <w:pPr>
              <w:spacing w:after="0" w:line="282"/>
              <w:ind w:left="360" w:hanging="23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Open the demand: a first wave of real enquiries and the first signed engagements.</w:t>
            </w:r>
          </w:p>
        </w:tc>
        <w:tc>
          <w:tcPr>
            <w:tcW w:type="dxa" w:w="4380"/>
            <w:tcMar>
              <w:top w:type="dxa" w:w="36"/>
              <w:left w:type="dxa" w:w="170"/>
              <w:bottom w:type="dxa" w:w="36"/>
              <w:right w:type="dxa" w:w="0"/>
            </w:tcMar>
          </w:tcPr>
          <w:p>
            <w:pPr>
              <w:bidi/>
              <w:spacing w:after="0" w:line="300"/>
              <w:jc w:val="right"/>
            </w:pPr>
            <w:r>
              <w:rPr>
                <w:rFonts w:ascii="Cairo" w:cs="Cairo" w:eastAsia="Cairo" w:hAnsi="Cairo"/>
                <w:b w:val="false"/>
                <w:bCs w:val="false"/>
                <w:i w:val="false"/>
                <w:iCs w:val="false"/>
                <w:color w:val="222222"/>
                <w:sz w:val="21"/>
                <w:szCs w:val="21"/>
                <w:rtl/>
              </w:rPr>
              <w:t xml:space="preserve">فتح الطلب: موجة أولى من الاستفسارات الحقيقية وأوّل التعاقدات الموقّعة.</w:t>
            </w:r>
            <w:r>
              <w:rPr>
                <w:rFonts w:ascii="Cairo" w:cs="Cairo" w:eastAsia="Cairo" w:hAnsi="Cairo"/>
                <w:b w:val="false"/>
                <w:bCs w:val="false"/>
                <w:i w:val="false"/>
                <w:iCs w:val="false"/>
                <w:color w:val="C8962E"/>
                <w:sz w:val="13"/>
                <w:szCs w:val="13"/>
                <w:rtl/>
              </w:rPr>
              <w:t xml:space="preserve">  ◆</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36"/>
              <w:left w:type="dxa" w:w="0"/>
              <w:bottom w:type="dxa" w:w="36"/>
              <w:right w:type="dxa" w:w="170"/>
            </w:tcMar>
          </w:tcPr>
          <w:p>
            <w:pPr>
              <w:spacing w:after="0" w:line="282"/>
              <w:ind w:left="360" w:hanging="23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Fill the Hub: founding members and a steady flow of day-pass trials and Café footfall.</w:t>
            </w:r>
          </w:p>
        </w:tc>
        <w:tc>
          <w:tcPr>
            <w:tcW w:type="dxa" w:w="4380"/>
            <w:tcMar>
              <w:top w:type="dxa" w:w="36"/>
              <w:left w:type="dxa" w:w="170"/>
              <w:bottom w:type="dxa" w:w="36"/>
              <w:right w:type="dxa" w:w="0"/>
            </w:tcMar>
          </w:tcPr>
          <w:p>
            <w:pPr>
              <w:bidi/>
              <w:spacing w:after="0" w:line="300"/>
              <w:jc w:val="right"/>
            </w:pPr>
            <w:r>
              <w:rPr>
                <w:rFonts w:ascii="Cairo" w:cs="Cairo" w:eastAsia="Cairo" w:hAnsi="Cairo"/>
                <w:b w:val="false"/>
                <w:bCs w:val="false"/>
                <w:i w:val="false"/>
                <w:iCs w:val="false"/>
                <w:color w:val="222222"/>
                <w:sz w:val="21"/>
                <w:szCs w:val="21"/>
                <w:rtl/>
              </w:rPr>
              <w:t xml:space="preserve">ملء الهَب: أعضاء مؤسِّسون وتدفّق ثابت من تجارب اليوم الواحد ورُوّاد الكافيه.</w:t>
            </w:r>
            <w:r>
              <w:rPr>
                <w:rFonts w:ascii="Cairo" w:cs="Cairo" w:eastAsia="Cairo" w:hAnsi="Cairo"/>
                <w:b w:val="false"/>
                <w:bCs w:val="false"/>
                <w:i w:val="false"/>
                <w:iCs w:val="false"/>
                <w:color w:val="C8962E"/>
                <w:sz w:val="13"/>
                <w:szCs w:val="13"/>
                <w:rtl/>
              </w:rPr>
              <w:t xml:space="preserve">  ◆</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36"/>
              <w:left w:type="dxa" w:w="0"/>
              <w:bottom w:type="dxa" w:w="36"/>
              <w:right w:type="dxa" w:w="170"/>
            </w:tcMar>
          </w:tcPr>
          <w:p>
            <w:pPr>
              <w:spacing w:after="0" w:line="282"/>
              <w:ind w:left="360" w:hanging="23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Earn credibility: partners and donors see an operational, accountable institution — not a plan.</w:t>
            </w:r>
          </w:p>
        </w:tc>
        <w:tc>
          <w:tcPr>
            <w:tcW w:type="dxa" w:w="4380"/>
            <w:tcMar>
              <w:top w:type="dxa" w:w="36"/>
              <w:left w:type="dxa" w:w="170"/>
              <w:bottom w:type="dxa" w:w="36"/>
              <w:right w:type="dxa" w:w="0"/>
            </w:tcMar>
          </w:tcPr>
          <w:p>
            <w:pPr>
              <w:bidi/>
              <w:spacing w:after="0" w:line="300"/>
              <w:jc w:val="right"/>
            </w:pPr>
            <w:r>
              <w:rPr>
                <w:rFonts w:ascii="Cairo" w:cs="Cairo" w:eastAsia="Cairo" w:hAnsi="Cairo"/>
                <w:b w:val="false"/>
                <w:bCs w:val="false"/>
                <w:i w:val="false"/>
                <w:iCs w:val="false"/>
                <w:color w:val="222222"/>
                <w:sz w:val="21"/>
                <w:szCs w:val="21"/>
                <w:rtl/>
              </w:rPr>
              <w:t xml:space="preserve">كسب المصداقية: يرى الشركاء والمانحون مؤسسة عاملة ومسؤولة — لا مجرّد خطة.</w:t>
            </w:r>
            <w:r>
              <w:rPr>
                <w:rFonts w:ascii="Cairo" w:cs="Cairo" w:eastAsia="Cairo" w:hAnsi="Cairo"/>
                <w:b w:val="false"/>
                <w:bCs w:val="false"/>
                <w:i w:val="false"/>
                <w:iCs w:val="false"/>
                <w:color w:val="C8962E"/>
                <w:sz w:val="13"/>
                <w:szCs w:val="13"/>
                <w:rtl/>
              </w:rPr>
              <w:t xml:space="preserve">  ◆</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36"/>
              <w:left w:type="dxa" w:w="0"/>
              <w:bottom w:type="dxa" w:w="36"/>
              <w:right w:type="dxa" w:w="170"/>
            </w:tcMar>
          </w:tcPr>
          <w:p>
            <w:pPr>
              <w:spacing w:after="0" w:line="282"/>
              <w:ind w:left="360" w:hanging="23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Win goodwill: Aden feels pride that something serious and dignified opened here.</w:t>
            </w:r>
          </w:p>
        </w:tc>
        <w:tc>
          <w:tcPr>
            <w:tcW w:type="dxa" w:w="4380"/>
            <w:tcMar>
              <w:top w:type="dxa" w:w="36"/>
              <w:left w:type="dxa" w:w="170"/>
              <w:bottom w:type="dxa" w:w="36"/>
              <w:right w:type="dxa" w:w="0"/>
            </w:tcMar>
          </w:tcPr>
          <w:p>
            <w:pPr>
              <w:bidi/>
              <w:spacing w:after="0" w:line="300"/>
              <w:jc w:val="right"/>
            </w:pPr>
            <w:r>
              <w:rPr>
                <w:rFonts w:ascii="Cairo" w:cs="Cairo" w:eastAsia="Cairo" w:hAnsi="Cairo"/>
                <w:b w:val="false"/>
                <w:bCs w:val="false"/>
                <w:i w:val="false"/>
                <w:iCs w:val="false"/>
                <w:color w:val="222222"/>
                <w:sz w:val="21"/>
                <w:szCs w:val="21"/>
                <w:rtl/>
              </w:rPr>
              <w:t xml:space="preserve">كسب المودّة: تشعر عدن بالفخر أن شيئاً جادّاً وكريماً قد افتُتح هنا.</w:t>
            </w:r>
            <w:r>
              <w:rPr>
                <w:rFonts w:ascii="Cairo" w:cs="Cairo" w:eastAsia="Cairo" w:hAnsi="Cairo"/>
                <w:b w:val="false"/>
                <w:bCs w:val="false"/>
                <w:i w:val="false"/>
                <w:iCs w:val="false"/>
                <w:color w:val="C8962E"/>
                <w:sz w:val="13"/>
                <w:szCs w:val="13"/>
                <w:rtl/>
              </w:rPr>
              <w:t xml:space="preserve">  ◆</w:t>
            </w:r>
          </w:p>
        </w:tc>
      </w:tr>
    </w:tbl>
    <w:p>
      <w:pPr>
        <w:spacing w:after="60" w:before="520"/>
      </w:pPr>
      <w:r>
        <w:rPr>
          <w:rFonts w:ascii="Arial" w:cs="Arial" w:eastAsia="Arial" w:hAnsi="Arial"/>
          <w:b/>
          <w:bCs/>
          <w:i w:val="false"/>
          <w:iCs w:val="false"/>
          <w:color w:val="C8962E"/>
          <w:spacing w:val="120"/>
          <w:sz w:val="17"/>
          <w:szCs w:val="17"/>
        </w:rPr>
        <w:t xml:space="preserve">03      </w:t>
      </w:r>
      <w:r>
        <w:rPr>
          <w:rFonts w:ascii="Arial" w:cs="Arial" w:eastAsia="Arial" w:hAnsi="Arial"/>
          <w:b/>
          <w:bCs/>
          <w:i w:val="false"/>
          <w:iCs w:val="false"/>
          <w:color w:val="6B6B6B"/>
          <w:spacing w:val="120"/>
          <w:sz w:val="17"/>
          <w:szCs w:val="17"/>
        </w:rPr>
        <w:t xml:space="preserve">AUDIENCES · الجماهير</w:t>
      </w:r>
    </w:p>
    <w:tbl>
      <w:tblPr>
        <w:tblW w:type="dxa" w:w="8640"/>
        <w:tblBorders>
          <w:top w:val="none"/>
          <w:left w:val="none"/>
          <w:bottom w:val="none"/>
          <w:right w:val="none"/>
          <w:insideH w:val="none"/>
          <w:insideV w:val="none"/>
        </w:tblBorders>
      </w:tblPr>
      <w:tblGrid>
        <w:gridCol w:w="4320"/>
        <w:gridCol w:w="4320"/>
      </w:tblGrid>
      <w:tr>
        <w:tc>
          <w:tcPr>
            <w:tcW w:type="dxa" w:w="4320"/>
            <w:tcMar>
              <w:top w:type="dxa" w:w="60"/>
              <w:left w:type="dxa" w:w="0"/>
              <w:bottom w:type="dxa" w:w="40"/>
              <w:right w:type="dxa" w:w="120"/>
            </w:tcMar>
            <w:vAlign w:val="center"/>
          </w:tcPr>
          <w:p>
            <w:pPr>
              <w:pBdr>
                <w:left w:val="single" w:color="C8962E" w:sz="24" w:space="10"/>
              </w:pBdr>
              <w:spacing w:after="0"/>
              <w:ind w:left="140"/>
            </w:pPr>
            <w:r>
              <w:rPr>
                <w:rFonts w:ascii="Cambria" w:cs="Cambria" w:eastAsia="Cambria" w:hAnsi="Cambria"/>
                <w:b/>
                <w:bCs/>
                <w:i w:val="false"/>
                <w:iCs w:val="false"/>
                <w:color w:val="0B3A33"/>
                <w:sz w:val="26"/>
                <w:szCs w:val="26"/>
              </w:rPr>
              <w:t xml:space="preserve">The Message to Each, at Launch</w:t>
            </w:r>
          </w:p>
        </w:tc>
        <w:tc>
          <w:tcPr>
            <w:tcW w:type="dxa" w:w="4320"/>
            <w:tcMar>
              <w:top w:type="dxa" w:w="60"/>
              <w:left w:type="dxa" w:w="120"/>
              <w:bottom w:type="dxa" w:w="40"/>
              <w:right w:type="dxa" w:w="0"/>
            </w:tcMar>
            <w:vAlign w:val="center"/>
          </w:tcPr>
          <w:p>
            <w:pPr>
              <w:bidi/>
              <w:spacing w:after="0" w:line="306"/>
              <w:jc w:val="right"/>
            </w:pPr>
            <w:r>
              <w:rPr>
                <w:rFonts w:ascii="Cairo" w:cs="Cairo" w:eastAsia="Cairo" w:hAnsi="Cairo"/>
                <w:b/>
                <w:bCs/>
                <w:i w:val="false"/>
                <w:iCs w:val="false"/>
                <w:color w:val="0B3A33"/>
                <w:sz w:val="28"/>
                <w:szCs w:val="28"/>
                <w:rtl/>
              </w:rPr>
              <w:t xml:space="preserve">رسالة الإطلاق لكلّ جمهور</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44"/>
              <w:left w:type="dxa" w:w="0"/>
              <w:bottom w:type="dxa" w:w="44"/>
              <w:right w:type="dxa" w:w="170"/>
            </w:tcMar>
          </w:tcPr>
          <w:p>
            <w:pPr>
              <w:spacing w:after="0" w:line="288"/>
              <w:jc w:val="left"/>
            </w:pPr>
            <w:r>
              <w:rPr>
                <w:rFonts w:ascii="Cambria" w:cs="Cambria" w:eastAsia="Cambria" w:hAnsi="Cambria"/>
                <w:b w:val="false"/>
                <w:bCs w:val="false"/>
                <w:i w:val="false"/>
                <w:iCs w:val="false"/>
                <w:color w:val="222222"/>
                <w:sz w:val="20"/>
                <w:szCs w:val="20"/>
              </w:rPr>
              <w:t xml:space="preserve">Lead with the right invitation for each audience — all of it the same idea, ‘we build it together’, in their language. Businesses hear ‘Aden finally has a partner you can trust with the work.’ Professionals hear ‘be one of the Founding 100 — verified, protected, proud.’ Learners hear ‘the first cohort starts — learn, get verified, get hired.’ The community hears ‘your professional home, and the city’s coffee reborn, has opened.’ Partners and donors hear ‘the accountable local layer you needed is now operational.’ The diaspora hears ‘Aden is building — be part of it from wherever you are.’</w:t>
            </w:r>
          </w:p>
        </w:tc>
        <w:tc>
          <w:tcPr>
            <w:tcW w:type="dxa" w:w="4380"/>
            <w:tcMar>
              <w:top w:type="dxa" w:w="44"/>
              <w:left w:type="dxa" w:w="170"/>
              <w:bottom w:type="dxa" w:w="44"/>
              <w:right w:type="dxa" w:w="0"/>
            </w:tcMar>
          </w:tcPr>
          <w:p>
            <w:pPr>
              <w:bidi/>
              <w:spacing w:after="0" w:line="306"/>
              <w:jc w:val="right"/>
            </w:pPr>
            <w:r>
              <w:rPr>
                <w:rFonts w:ascii="Cairo" w:cs="Cairo" w:eastAsia="Cairo" w:hAnsi="Cairo"/>
                <w:b w:val="false"/>
                <w:bCs w:val="false"/>
                <w:i w:val="false"/>
                <w:iCs w:val="false"/>
                <w:color w:val="222222"/>
                <w:sz w:val="22"/>
                <w:szCs w:val="22"/>
                <w:rtl/>
              </w:rPr>
              <w:t xml:space="preserve">ابدأ بالدعوة المناسبة لكلّ جمهور — وكلّها الفكرة نفسها، «نبنيه معاً»، بلغتهم. الشركات تسمع: «أخيراً صار لعدن شريك تثق به في العمل.» والمحترفون يسمعون: «كن أحد المئة المؤسّسين — موثّقاً، محمياً، فخوراً.» والمتدربون: «تبدأ الدفعة الأولى — تعلّم، وثّق نفسك، احصل على عمل.» والمجتمع: «بيتك المهني، وقهوة المدينة تولد من جديد، قد افتتح.» والشركاء والمانحون: «الطبقة المحلية المسؤولة التي احتجتموها صارت عاملة.» والمغتربون: «عدن تبني — كن جزءاً منها أينما كنت.»</w:t>
            </w:r>
          </w:p>
        </w:tc>
      </w:tr>
    </w:tbl>
    <w:p>
      <w:pPr>
        <w:spacing w:after="60" w:before="520"/>
      </w:pPr>
      <w:r>
        <w:rPr>
          <w:rFonts w:ascii="Arial" w:cs="Arial" w:eastAsia="Arial" w:hAnsi="Arial"/>
          <w:b/>
          <w:bCs/>
          <w:i w:val="false"/>
          <w:iCs w:val="false"/>
          <w:color w:val="C8962E"/>
          <w:spacing w:val="120"/>
          <w:sz w:val="17"/>
          <w:szCs w:val="17"/>
        </w:rPr>
        <w:t xml:space="preserve">04      </w:t>
      </w:r>
      <w:r>
        <w:rPr>
          <w:rFonts w:ascii="Arial" w:cs="Arial" w:eastAsia="Arial" w:hAnsi="Arial"/>
          <w:b/>
          <w:bCs/>
          <w:i w:val="false"/>
          <w:iCs w:val="false"/>
          <w:color w:val="6B6B6B"/>
          <w:spacing w:val="120"/>
          <w:sz w:val="17"/>
          <w:szCs w:val="17"/>
        </w:rPr>
        <w:t xml:space="preserve">PHASES · المراحل</w:t>
      </w:r>
    </w:p>
    <w:tbl>
      <w:tblPr>
        <w:tblW w:type="dxa" w:w="8640"/>
        <w:tblBorders>
          <w:top w:val="none"/>
          <w:left w:val="none"/>
          <w:bottom w:val="none"/>
          <w:right w:val="none"/>
          <w:insideH w:val="none"/>
          <w:insideV w:val="none"/>
        </w:tblBorders>
      </w:tblPr>
      <w:tblGrid>
        <w:gridCol w:w="4320"/>
        <w:gridCol w:w="4320"/>
      </w:tblGrid>
      <w:tr>
        <w:tc>
          <w:tcPr>
            <w:tcW w:type="dxa" w:w="4320"/>
            <w:tcMar>
              <w:top w:type="dxa" w:w="60"/>
              <w:left w:type="dxa" w:w="0"/>
              <w:bottom w:type="dxa" w:w="40"/>
              <w:right w:type="dxa" w:w="120"/>
            </w:tcMar>
            <w:vAlign w:val="center"/>
          </w:tcPr>
          <w:p>
            <w:pPr>
              <w:pBdr>
                <w:left w:val="single" w:color="C8962E" w:sz="24" w:space="10"/>
              </w:pBdr>
              <w:spacing w:after="0"/>
              <w:ind w:left="140"/>
            </w:pPr>
            <w:r>
              <w:rPr>
                <w:rFonts w:ascii="Cambria" w:cs="Cambria" w:eastAsia="Cambria" w:hAnsi="Cambria"/>
                <w:b/>
                <w:bCs/>
                <w:i w:val="false"/>
                <w:iCs w:val="false"/>
                <w:color w:val="0B3A33"/>
                <w:sz w:val="26"/>
                <w:szCs w:val="26"/>
              </w:rPr>
              <w:t xml:space="preserve">Phase 0 — The Whisper</w:t>
            </w:r>
          </w:p>
        </w:tc>
        <w:tc>
          <w:tcPr>
            <w:tcW w:type="dxa" w:w="4320"/>
            <w:tcMar>
              <w:top w:type="dxa" w:w="60"/>
              <w:left w:type="dxa" w:w="120"/>
              <w:bottom w:type="dxa" w:w="40"/>
              <w:right w:type="dxa" w:w="0"/>
            </w:tcMar>
            <w:vAlign w:val="center"/>
          </w:tcPr>
          <w:p>
            <w:pPr>
              <w:bidi/>
              <w:spacing w:after="0" w:line="306"/>
              <w:jc w:val="right"/>
            </w:pPr>
            <w:r>
              <w:rPr>
                <w:rFonts w:ascii="Cairo" w:cs="Cairo" w:eastAsia="Cairo" w:hAnsi="Cairo"/>
                <w:b/>
                <w:bCs/>
                <w:i w:val="false"/>
                <w:iCs w:val="false"/>
                <w:color w:val="0B3A33"/>
                <w:sz w:val="28"/>
                <w:szCs w:val="28"/>
                <w:rtl/>
              </w:rPr>
              <w:t xml:space="preserve">المرحلة صفر — الهمس</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44"/>
              <w:left w:type="dxa" w:w="0"/>
              <w:bottom w:type="dxa" w:w="44"/>
              <w:right w:type="dxa" w:w="170"/>
            </w:tcMar>
          </w:tcPr>
          <w:p>
            <w:pPr>
              <w:spacing w:after="0" w:line="288"/>
              <w:jc w:val="left"/>
            </w:pPr>
            <w:r>
              <w:rPr>
                <w:rFonts w:ascii="Cambria" w:cs="Cambria" w:eastAsia="Cambria" w:hAnsi="Cambria"/>
                <w:b w:val="false"/>
                <w:bCs w:val="false"/>
                <w:i w:val="false"/>
                <w:iCs w:val="false"/>
                <w:color w:val="222222"/>
                <w:sz w:val="20"/>
                <w:szCs w:val="20"/>
              </w:rPr>
              <w:t xml:space="preserve">In the three weeks before opening, build quiet anticipation. Instead of a generic countdown, count down with proof: each day reveal one piece — a verified professional’s face, a capability, a corner of the space, the founder’s honest words about why he is building this. Open a single, simple call to action: message us on WhatsApp to be first to know. Let curiosity and the founder’s voice do the work; spend nothing.</w:t>
            </w:r>
          </w:p>
        </w:tc>
        <w:tc>
          <w:tcPr>
            <w:tcW w:type="dxa" w:w="4380"/>
            <w:tcMar>
              <w:top w:type="dxa" w:w="44"/>
              <w:left w:type="dxa" w:w="170"/>
              <w:bottom w:type="dxa" w:w="44"/>
              <w:right w:type="dxa" w:w="0"/>
            </w:tcMar>
          </w:tcPr>
          <w:p>
            <w:pPr>
              <w:bidi/>
              <w:spacing w:after="0" w:line="306"/>
              <w:jc w:val="right"/>
            </w:pPr>
            <w:r>
              <w:rPr>
                <w:rFonts w:ascii="Cairo" w:cs="Cairo" w:eastAsia="Cairo" w:hAnsi="Cairo"/>
                <w:b w:val="false"/>
                <w:bCs w:val="false"/>
                <w:i w:val="false"/>
                <w:iCs w:val="false"/>
                <w:color w:val="222222"/>
                <w:sz w:val="22"/>
                <w:szCs w:val="22"/>
                <w:rtl/>
              </w:rPr>
              <w:t xml:space="preserve">في الأسابيع الثلاثة قبل الافتتاح، ابنِ ترقّباً هادئاً. بدلاً من عدّ تنازلي عادي، عُدّ بالبرهان: كلّ يوم اكشف عنصراً — وجه محترف موثّق، قدرة، ركناً من المكان، كلمات المؤسّس الصادقة عن سبب بنائه لهذا. افتح دعوة واحدة بسيطة: راسلنا عبر واتساب لتكون أوّل من يعرف. دع الفضول وصوت المؤسّس يقومان بالمهمّة؛ ولا تنفق شيئاً.</w:t>
            </w:r>
          </w:p>
        </w:tc>
      </w:tr>
    </w:tbl>
    <w:tbl>
      <w:tblPr>
        <w:tblW w:type="dxa" w:w="8640"/>
        <w:tblBorders>
          <w:top w:val="none"/>
          <w:left w:val="none"/>
          <w:bottom w:val="none"/>
          <w:right w:val="none"/>
          <w:insideH w:val="none"/>
          <w:insideV w:val="none"/>
        </w:tblBorders>
      </w:tblPr>
      <w:tblGrid>
        <w:gridCol w:w="4320"/>
        <w:gridCol w:w="4320"/>
      </w:tblGrid>
      <w:tr>
        <w:tc>
          <w:tcPr>
            <w:tcW w:type="dxa" w:w="4320"/>
            <w:tcMar>
              <w:top w:type="dxa" w:w="60"/>
              <w:left w:type="dxa" w:w="0"/>
              <w:bottom w:type="dxa" w:w="40"/>
              <w:right w:type="dxa" w:w="120"/>
            </w:tcMar>
            <w:vAlign w:val="center"/>
          </w:tcPr>
          <w:p>
            <w:pPr>
              <w:pBdr>
                <w:left w:val="single" w:color="C8962E" w:sz="24" w:space="10"/>
              </w:pBdr>
              <w:spacing w:after="0"/>
              <w:ind w:left="140"/>
            </w:pPr>
            <w:r>
              <w:rPr>
                <w:rFonts w:ascii="Cambria" w:cs="Cambria" w:eastAsia="Cambria" w:hAnsi="Cambria"/>
                <w:b/>
                <w:bCs/>
                <w:i w:val="false"/>
                <w:iCs w:val="false"/>
                <w:color w:val="0B3A33"/>
                <w:sz w:val="26"/>
                <w:szCs w:val="26"/>
              </w:rPr>
              <w:t xml:space="preserve">Phase 1 — The Opening</w:t>
            </w:r>
          </w:p>
        </w:tc>
        <w:tc>
          <w:tcPr>
            <w:tcW w:type="dxa" w:w="4320"/>
            <w:tcMar>
              <w:top w:type="dxa" w:w="60"/>
              <w:left w:type="dxa" w:w="120"/>
              <w:bottom w:type="dxa" w:w="40"/>
              <w:right w:type="dxa" w:w="0"/>
            </w:tcMar>
            <w:vAlign w:val="center"/>
          </w:tcPr>
          <w:p>
            <w:pPr>
              <w:bidi/>
              <w:spacing w:after="0" w:line="306"/>
              <w:jc w:val="right"/>
            </w:pPr>
            <w:r>
              <w:rPr>
                <w:rFonts w:ascii="Cairo" w:cs="Cairo" w:eastAsia="Cairo" w:hAnsi="Cairo"/>
                <w:b/>
                <w:bCs/>
                <w:i w:val="false"/>
                <w:iCs w:val="false"/>
                <w:color w:val="0B3A33"/>
                <w:sz w:val="28"/>
                <w:szCs w:val="28"/>
                <w:rtl/>
              </w:rPr>
              <w:t xml:space="preserve">المرحلة الأولى — الافتتاح</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44"/>
              <w:left w:type="dxa" w:w="0"/>
              <w:bottom w:type="dxa" w:w="44"/>
              <w:right w:type="dxa" w:w="170"/>
            </w:tcMar>
          </w:tcPr>
          <w:p>
            <w:pPr>
              <w:spacing w:after="0" w:line="288"/>
              <w:jc w:val="left"/>
            </w:pPr>
            <w:r>
              <w:rPr>
                <w:rFonts w:ascii="Cambria" w:cs="Cambria" w:eastAsia="Cambria" w:hAnsi="Cambria"/>
                <w:b w:val="false"/>
                <w:bCs w:val="false"/>
                <w:i w:val="false"/>
                <w:iCs w:val="false"/>
                <w:color w:val="222222"/>
                <w:sz w:val="20"/>
                <w:szCs w:val="20"/>
              </w:rPr>
              <w:t xml:space="preserve">In launch week the doors open — literally and on every channel. Hold one opening gathering at the Hub and Café: invite local businesses, partners, press, and the community; serve the first Birthplace Brew; tour the space; and reveal the brand and the first ‘Faces of Kayan’. Open the Founding 100 call. Show proof immediately — ideally a first project already delivered in a quiet pilot, shown on day one. Stream a moment of it so the diaspora can witness Aden building.</w:t>
            </w:r>
          </w:p>
        </w:tc>
        <w:tc>
          <w:tcPr>
            <w:tcW w:type="dxa" w:w="4380"/>
            <w:tcMar>
              <w:top w:type="dxa" w:w="44"/>
              <w:left w:type="dxa" w:w="170"/>
              <w:bottom w:type="dxa" w:w="44"/>
              <w:right w:type="dxa" w:w="0"/>
            </w:tcMar>
          </w:tcPr>
          <w:p>
            <w:pPr>
              <w:bidi/>
              <w:spacing w:after="0" w:line="306"/>
              <w:jc w:val="right"/>
            </w:pPr>
            <w:r>
              <w:rPr>
                <w:rFonts w:ascii="Cairo" w:cs="Cairo" w:eastAsia="Cairo" w:hAnsi="Cairo"/>
                <w:b w:val="false"/>
                <w:bCs w:val="false"/>
                <w:i w:val="false"/>
                <w:iCs w:val="false"/>
                <w:color w:val="222222"/>
                <w:sz w:val="22"/>
                <w:szCs w:val="22"/>
                <w:rtl/>
              </w:rPr>
              <w:t xml:space="preserve">في أسبوع الإطلاق تُفتح الأبواب — حقيقةً وعلى كلّ قناة. أقِم لقاءً افتتاحياً واحداً في الهَب والكافيه: ادعُ الشركات المحلية والشركاء والصحافة والمجتمع؛ وقدّم أوّل فنجان من «قهوة المنشأ»؛ وجوّل في المكان؛ واكشف العلامة وأوّل «وجوه كيان». افتح دعوة المئة المؤسّسين. وأظهِر البرهان فوراً — ويُفضّل مشروع أوّل مُسلّم في تجربة هادئة، يُعرَض يوم الافتتاح. وانقل لحظة منه مباشرةً ليشهد المغتربون عدن وهي تبني.</w:t>
            </w:r>
          </w:p>
        </w:tc>
      </w:tr>
    </w:tbl>
    <w:tbl>
      <w:tblPr>
        <w:tblW w:type="dxa" w:w="8640"/>
        <w:tblBorders>
          <w:top w:val="none"/>
          <w:left w:val="none"/>
          <w:bottom w:val="none"/>
          <w:right w:val="none"/>
          <w:insideH w:val="none"/>
          <w:insideV w:val="none"/>
        </w:tblBorders>
      </w:tblPr>
      <w:tblGrid>
        <w:gridCol w:w="4320"/>
        <w:gridCol w:w="4320"/>
      </w:tblGrid>
      <w:tr>
        <w:tc>
          <w:tcPr>
            <w:tcW w:type="dxa" w:w="4320"/>
            <w:tcMar>
              <w:top w:type="dxa" w:w="60"/>
              <w:left w:type="dxa" w:w="0"/>
              <w:bottom w:type="dxa" w:w="40"/>
              <w:right w:type="dxa" w:w="120"/>
            </w:tcMar>
            <w:vAlign w:val="center"/>
          </w:tcPr>
          <w:p>
            <w:pPr>
              <w:pBdr>
                <w:left w:val="single" w:color="C8962E" w:sz="24" w:space="10"/>
              </w:pBdr>
              <w:spacing w:after="0"/>
              <w:ind w:left="140"/>
            </w:pPr>
            <w:r>
              <w:rPr>
                <w:rFonts w:ascii="Cambria" w:cs="Cambria" w:eastAsia="Cambria" w:hAnsi="Cambria"/>
                <w:b/>
                <w:bCs/>
                <w:i w:val="false"/>
                <w:iCs w:val="false"/>
                <w:color w:val="0B3A33"/>
                <w:sz w:val="26"/>
                <w:szCs w:val="26"/>
              </w:rPr>
              <w:t xml:space="preserve">Phase 2 — The Proof</w:t>
            </w:r>
          </w:p>
        </w:tc>
        <w:tc>
          <w:tcPr>
            <w:tcW w:type="dxa" w:w="4320"/>
            <w:tcMar>
              <w:top w:type="dxa" w:w="60"/>
              <w:left w:type="dxa" w:w="120"/>
              <w:bottom w:type="dxa" w:w="40"/>
              <w:right w:type="dxa" w:w="0"/>
            </w:tcMar>
            <w:vAlign w:val="center"/>
          </w:tcPr>
          <w:p>
            <w:pPr>
              <w:bidi/>
              <w:spacing w:after="0" w:line="306"/>
              <w:jc w:val="right"/>
            </w:pPr>
            <w:r>
              <w:rPr>
                <w:rFonts w:ascii="Cairo" w:cs="Cairo" w:eastAsia="Cairo" w:hAnsi="Cairo"/>
                <w:b/>
                <w:bCs/>
                <w:i w:val="false"/>
                <w:iCs w:val="false"/>
                <w:color w:val="0B3A33"/>
                <w:sz w:val="28"/>
                <w:szCs w:val="28"/>
                <w:rtl/>
              </w:rPr>
              <w:t xml:space="preserve">المرحلة الثانية — البرهان</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44"/>
              <w:left w:type="dxa" w:w="0"/>
              <w:bottom w:type="dxa" w:w="44"/>
              <w:right w:type="dxa" w:w="170"/>
            </w:tcMar>
          </w:tcPr>
          <w:p>
            <w:pPr>
              <w:spacing w:after="0" w:line="288"/>
              <w:jc w:val="left"/>
            </w:pPr>
            <w:r>
              <w:rPr>
                <w:rFonts w:ascii="Cambria" w:cs="Cambria" w:eastAsia="Cambria" w:hAnsi="Cambria"/>
                <w:b w:val="false"/>
                <w:bCs w:val="false"/>
                <w:i w:val="false"/>
                <w:iCs w:val="false"/>
                <w:color w:val="222222"/>
                <w:sz w:val="20"/>
                <w:szCs w:val="20"/>
              </w:rPr>
              <w:t xml:space="preserve">In the first ninety days, turn attention into trust. Run Proof Fridays — one delivered project shown each week. Name the Founding 100 publicly as they join. Start and celebrate the first training cohort. Keep ‘Faces of Kayan’ weekly. Every win becomes content, every piece of content becomes a referral, and the flywheel begins to turn on its own. This is where a loud opening becomes a lasting institution.</w:t>
            </w:r>
          </w:p>
        </w:tc>
        <w:tc>
          <w:tcPr>
            <w:tcW w:type="dxa" w:w="4380"/>
            <w:tcMar>
              <w:top w:type="dxa" w:w="44"/>
              <w:left w:type="dxa" w:w="170"/>
              <w:bottom w:type="dxa" w:w="44"/>
              <w:right w:type="dxa" w:w="0"/>
            </w:tcMar>
          </w:tcPr>
          <w:p>
            <w:pPr>
              <w:bidi/>
              <w:spacing w:after="0" w:line="306"/>
              <w:jc w:val="right"/>
            </w:pPr>
            <w:r>
              <w:rPr>
                <w:rFonts w:ascii="Cairo" w:cs="Cairo" w:eastAsia="Cairo" w:hAnsi="Cairo"/>
                <w:b w:val="false"/>
                <w:bCs w:val="false"/>
                <w:i w:val="false"/>
                <w:iCs w:val="false"/>
                <w:color w:val="222222"/>
                <w:sz w:val="22"/>
                <w:szCs w:val="22"/>
                <w:rtl/>
              </w:rPr>
              <w:t xml:space="preserve">في التسعين يوماً الأولى، حوّل الانتباه إلى ثقة. شغّل «جمعة البرهان» — مشروع مُسلّم يُعرَض كلّ أسبوع. اذكر المئة المؤسّسين علناً كلّما انضمّوا. ابدأ الدفعة التدريبية الأولى واحتفِ بها. واستمرّ في «وجوه كيان» أسبوعياً. كلّ إنجاز يصير محتوى، وكلّ محتوى يصير توصية، وتبدأ العجلة تدور وحدها. هنا يتحوّل افتتاح صاخب إلى مؤسسة تبقى.</w:t>
            </w:r>
          </w:p>
        </w:tc>
      </w:tr>
    </w:tbl>
    <w:p>
      <w:pPr>
        <w:spacing w:after="60" w:before="520"/>
      </w:pPr>
      <w:r>
        <w:rPr>
          <w:rFonts w:ascii="Arial" w:cs="Arial" w:eastAsia="Arial" w:hAnsi="Arial"/>
          <w:b/>
          <w:bCs/>
          <w:i w:val="false"/>
          <w:iCs w:val="false"/>
          <w:color w:val="C8962E"/>
          <w:spacing w:val="120"/>
          <w:sz w:val="17"/>
          <w:szCs w:val="17"/>
        </w:rPr>
        <w:t xml:space="preserve">05      </w:t>
      </w:r>
      <w:r>
        <w:rPr>
          <w:rFonts w:ascii="Arial" w:cs="Arial" w:eastAsia="Arial" w:hAnsi="Arial"/>
          <w:b/>
          <w:bCs/>
          <w:i w:val="false"/>
          <w:iCs w:val="false"/>
          <w:color w:val="6B6B6B"/>
          <w:spacing w:val="120"/>
          <w:sz w:val="17"/>
          <w:szCs w:val="17"/>
        </w:rPr>
        <w:t xml:space="preserve">SIGNATURE MOMENTS · لحظات مميّزة</w:t>
      </w:r>
    </w:p>
    <w:tbl>
      <w:tblPr>
        <w:tblW w:type="dxa" w:w="8640"/>
        <w:tblBorders>
          <w:top w:val="none"/>
          <w:left w:val="none"/>
          <w:bottom w:val="none"/>
          <w:right w:val="none"/>
          <w:insideH w:val="none"/>
          <w:insideV w:val="none"/>
        </w:tblBorders>
      </w:tblPr>
      <w:tblGrid>
        <w:gridCol w:w="4320"/>
        <w:gridCol w:w="4320"/>
      </w:tblGrid>
      <w:tr>
        <w:tc>
          <w:tcPr>
            <w:tcW w:type="dxa" w:w="4320"/>
            <w:tcMar>
              <w:top w:type="dxa" w:w="60"/>
              <w:left w:type="dxa" w:w="0"/>
              <w:bottom w:type="dxa" w:w="40"/>
              <w:right w:type="dxa" w:w="120"/>
            </w:tcMar>
            <w:vAlign w:val="center"/>
          </w:tcPr>
          <w:p>
            <w:pPr>
              <w:pBdr>
                <w:left w:val="single" w:color="C8962E" w:sz="24" w:space="10"/>
              </w:pBdr>
              <w:spacing w:after="0"/>
              <w:ind w:left="140"/>
            </w:pPr>
            <w:r>
              <w:rPr>
                <w:rFonts w:ascii="Cambria" w:cs="Cambria" w:eastAsia="Cambria" w:hAnsi="Cambria"/>
                <w:b/>
                <w:bCs/>
                <w:i w:val="false"/>
                <w:iCs w:val="false"/>
                <w:color w:val="0B3A33"/>
                <w:sz w:val="26"/>
                <w:szCs w:val="26"/>
              </w:rPr>
              <w:t xml:space="preserve">The Moments People Will Remember</w:t>
            </w:r>
          </w:p>
        </w:tc>
        <w:tc>
          <w:tcPr>
            <w:tcW w:type="dxa" w:w="4320"/>
            <w:tcMar>
              <w:top w:type="dxa" w:w="60"/>
              <w:left w:type="dxa" w:w="120"/>
              <w:bottom w:type="dxa" w:w="40"/>
              <w:right w:type="dxa" w:w="0"/>
            </w:tcMar>
            <w:vAlign w:val="center"/>
          </w:tcPr>
          <w:p>
            <w:pPr>
              <w:bidi/>
              <w:spacing w:after="0" w:line="306"/>
              <w:jc w:val="right"/>
            </w:pPr>
            <w:r>
              <w:rPr>
                <w:rFonts w:ascii="Cairo" w:cs="Cairo" w:eastAsia="Cairo" w:hAnsi="Cairo"/>
                <w:b/>
                <w:bCs/>
                <w:i w:val="false"/>
                <w:iCs w:val="false"/>
                <w:color w:val="0B3A33"/>
                <w:sz w:val="28"/>
                <w:szCs w:val="28"/>
                <w:rtl/>
              </w:rPr>
              <w:t xml:space="preserve">اللحظات التي سيتذكّرها الناس</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36"/>
              <w:left w:type="dxa" w:w="0"/>
              <w:bottom w:type="dxa" w:w="36"/>
              <w:right w:type="dxa" w:w="170"/>
            </w:tcMar>
          </w:tcPr>
          <w:p>
            <w:pPr>
              <w:spacing w:after="0" w:line="282"/>
              <w:ind w:left="360" w:hanging="23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The Open Door: the literal opening of the Hub’s doors — the campaign’s central image, photographed and shared.</w:t>
            </w:r>
          </w:p>
        </w:tc>
        <w:tc>
          <w:tcPr>
            <w:tcW w:type="dxa" w:w="4380"/>
            <w:tcMar>
              <w:top w:type="dxa" w:w="36"/>
              <w:left w:type="dxa" w:w="170"/>
              <w:bottom w:type="dxa" w:w="36"/>
              <w:right w:type="dxa" w:w="0"/>
            </w:tcMar>
          </w:tcPr>
          <w:p>
            <w:pPr>
              <w:bidi/>
              <w:spacing w:after="0" w:line="300"/>
              <w:jc w:val="right"/>
            </w:pPr>
            <w:r>
              <w:rPr>
                <w:rFonts w:ascii="Cairo" w:cs="Cairo" w:eastAsia="Cairo" w:hAnsi="Cairo"/>
                <w:b w:val="false"/>
                <w:bCs w:val="false"/>
                <w:i w:val="false"/>
                <w:iCs w:val="false"/>
                <w:color w:val="222222"/>
                <w:sz w:val="21"/>
                <w:szCs w:val="21"/>
                <w:rtl/>
              </w:rPr>
              <w:t xml:space="preserve">الباب المفتوح: فتح أبواب الهَب فعلياً — الصورة المركزية للحملة، تُلتقط وتُنشر.</w:t>
            </w:r>
            <w:r>
              <w:rPr>
                <w:rFonts w:ascii="Cairo" w:cs="Cairo" w:eastAsia="Cairo" w:hAnsi="Cairo"/>
                <w:b w:val="false"/>
                <w:bCs w:val="false"/>
                <w:i w:val="false"/>
                <w:iCs w:val="false"/>
                <w:color w:val="C8962E"/>
                <w:sz w:val="13"/>
                <w:szCs w:val="13"/>
                <w:rtl/>
              </w:rPr>
              <w:t xml:space="preserve">  ◆</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36"/>
              <w:left w:type="dxa" w:w="0"/>
              <w:bottom w:type="dxa" w:w="36"/>
              <w:right w:type="dxa" w:w="170"/>
            </w:tcMar>
          </w:tcPr>
          <w:p>
            <w:pPr>
              <w:spacing w:after="0" w:line="282"/>
              <w:ind w:left="360" w:hanging="23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The First Brew: the founder serves the first cup of the Birthplace Brew — Aden, where coffee began.</w:t>
            </w:r>
          </w:p>
        </w:tc>
        <w:tc>
          <w:tcPr>
            <w:tcW w:type="dxa" w:w="4380"/>
            <w:tcMar>
              <w:top w:type="dxa" w:w="36"/>
              <w:left w:type="dxa" w:w="170"/>
              <w:bottom w:type="dxa" w:w="36"/>
              <w:right w:type="dxa" w:w="0"/>
            </w:tcMar>
          </w:tcPr>
          <w:p>
            <w:pPr>
              <w:bidi/>
              <w:spacing w:after="0" w:line="300"/>
              <w:jc w:val="right"/>
            </w:pPr>
            <w:r>
              <w:rPr>
                <w:rFonts w:ascii="Cairo" w:cs="Cairo" w:eastAsia="Cairo" w:hAnsi="Cairo"/>
                <w:b w:val="false"/>
                <w:bCs w:val="false"/>
                <w:i w:val="false"/>
                <w:iCs w:val="false"/>
                <w:color w:val="222222"/>
                <w:sz w:val="21"/>
                <w:szCs w:val="21"/>
                <w:rtl/>
              </w:rPr>
              <w:t xml:space="preserve">أول فنجان: يقدّم المؤسّس أوّل فنجان من «قهوة المنشأ» — عدن، حيث بدأت القهوة.</w:t>
            </w:r>
            <w:r>
              <w:rPr>
                <w:rFonts w:ascii="Cairo" w:cs="Cairo" w:eastAsia="Cairo" w:hAnsi="Cairo"/>
                <w:b w:val="false"/>
                <w:bCs w:val="false"/>
                <w:i w:val="false"/>
                <w:iCs w:val="false"/>
                <w:color w:val="C8962E"/>
                <w:sz w:val="13"/>
                <w:szCs w:val="13"/>
                <w:rtl/>
              </w:rPr>
              <w:t xml:space="preserve">  ◆</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36"/>
              <w:left w:type="dxa" w:w="0"/>
              <w:bottom w:type="dxa" w:w="36"/>
              <w:right w:type="dxa" w:w="170"/>
            </w:tcMar>
          </w:tcPr>
          <w:p>
            <w:pPr>
              <w:spacing w:after="0" w:line="282"/>
              <w:ind w:left="360" w:hanging="23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Faces of Kayan: the first verified professionals revealed by name and skill — the proof, and the pride.</w:t>
            </w:r>
          </w:p>
        </w:tc>
        <w:tc>
          <w:tcPr>
            <w:tcW w:type="dxa" w:w="4380"/>
            <w:tcMar>
              <w:top w:type="dxa" w:w="36"/>
              <w:left w:type="dxa" w:w="170"/>
              <w:bottom w:type="dxa" w:w="36"/>
              <w:right w:type="dxa" w:w="0"/>
            </w:tcMar>
          </w:tcPr>
          <w:p>
            <w:pPr>
              <w:bidi/>
              <w:spacing w:after="0" w:line="300"/>
              <w:jc w:val="right"/>
            </w:pPr>
            <w:r>
              <w:rPr>
                <w:rFonts w:ascii="Cairo" w:cs="Cairo" w:eastAsia="Cairo" w:hAnsi="Cairo"/>
                <w:b w:val="false"/>
                <w:bCs w:val="false"/>
                <w:i w:val="false"/>
                <w:iCs w:val="false"/>
                <w:color w:val="222222"/>
                <w:sz w:val="21"/>
                <w:szCs w:val="21"/>
                <w:rtl/>
              </w:rPr>
              <w:t xml:space="preserve">وجوه كيان: أوّل المحترفين الموثّقين يُكشفون بالاسم والمهارة — البرهان، والفخر.</w:t>
            </w:r>
            <w:r>
              <w:rPr>
                <w:rFonts w:ascii="Cairo" w:cs="Cairo" w:eastAsia="Cairo" w:hAnsi="Cairo"/>
                <w:b w:val="false"/>
                <w:bCs w:val="false"/>
                <w:i w:val="false"/>
                <w:iCs w:val="false"/>
                <w:color w:val="C8962E"/>
                <w:sz w:val="13"/>
                <w:szCs w:val="13"/>
                <w:rtl/>
              </w:rPr>
              <w:t xml:space="preserve">  ◆</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36"/>
              <w:left w:type="dxa" w:w="0"/>
              <w:bottom w:type="dxa" w:w="36"/>
              <w:right w:type="dxa" w:w="170"/>
            </w:tcMar>
          </w:tcPr>
          <w:p>
            <w:pPr>
              <w:spacing w:after="0" w:line="282"/>
              <w:ind w:left="360" w:hanging="23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The Founders’ Wall: the Founding 100 inscribed — on a wall in the Hub and online — a permanent record of who began.</w:t>
            </w:r>
          </w:p>
        </w:tc>
        <w:tc>
          <w:tcPr>
            <w:tcW w:type="dxa" w:w="4380"/>
            <w:tcMar>
              <w:top w:type="dxa" w:w="36"/>
              <w:left w:type="dxa" w:w="170"/>
              <w:bottom w:type="dxa" w:w="36"/>
              <w:right w:type="dxa" w:w="0"/>
            </w:tcMar>
          </w:tcPr>
          <w:p>
            <w:pPr>
              <w:bidi/>
              <w:spacing w:after="0" w:line="300"/>
              <w:jc w:val="right"/>
            </w:pPr>
            <w:r>
              <w:rPr>
                <w:rFonts w:ascii="Cairo" w:cs="Cairo" w:eastAsia="Cairo" w:hAnsi="Cairo"/>
                <w:b w:val="false"/>
                <w:bCs w:val="false"/>
                <w:i w:val="false"/>
                <w:iCs w:val="false"/>
                <w:color w:val="222222"/>
                <w:sz w:val="21"/>
                <w:szCs w:val="21"/>
                <w:rtl/>
              </w:rPr>
              <w:t xml:space="preserve">جدار المؤسِّسين: تُسجَّل المئة المؤسِّسون — على جدار في الهَب وعلى الإنترنت — سجلٌّ دائم لمن بدأ.</w:t>
            </w:r>
            <w:r>
              <w:rPr>
                <w:rFonts w:ascii="Cairo" w:cs="Cairo" w:eastAsia="Cairo" w:hAnsi="Cairo"/>
                <w:b w:val="false"/>
                <w:bCs w:val="false"/>
                <w:i w:val="false"/>
                <w:iCs w:val="false"/>
                <w:color w:val="C8962E"/>
                <w:sz w:val="13"/>
                <w:szCs w:val="13"/>
                <w:rtl/>
              </w:rPr>
              <w:t xml:space="preserve">  ◆</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36"/>
              <w:left w:type="dxa" w:w="0"/>
              <w:bottom w:type="dxa" w:w="36"/>
              <w:right w:type="dxa" w:w="170"/>
            </w:tcMar>
          </w:tcPr>
          <w:p>
            <w:pPr>
              <w:spacing w:after="0" w:line="282"/>
              <w:ind w:left="360" w:hanging="23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The Firsts: document and celebrate the first of everything — first project, first member, first cohort, first review.</w:t>
            </w:r>
          </w:p>
        </w:tc>
        <w:tc>
          <w:tcPr>
            <w:tcW w:type="dxa" w:w="4380"/>
            <w:tcMar>
              <w:top w:type="dxa" w:w="36"/>
              <w:left w:type="dxa" w:w="170"/>
              <w:bottom w:type="dxa" w:w="36"/>
              <w:right w:type="dxa" w:w="0"/>
            </w:tcMar>
          </w:tcPr>
          <w:p>
            <w:pPr>
              <w:bidi/>
              <w:spacing w:after="0" w:line="300"/>
              <w:jc w:val="right"/>
            </w:pPr>
            <w:r>
              <w:rPr>
                <w:rFonts w:ascii="Cairo" w:cs="Cairo" w:eastAsia="Cairo" w:hAnsi="Cairo"/>
                <w:b w:val="false"/>
                <w:bCs w:val="false"/>
                <w:i w:val="false"/>
                <w:iCs w:val="false"/>
                <w:color w:val="222222"/>
                <w:sz w:val="21"/>
                <w:szCs w:val="21"/>
                <w:rtl/>
              </w:rPr>
              <w:t xml:space="preserve">الأوائل: وثّق واحتفِ بأوّل كلّ شيء — أوّل مشروع، أوّل عضو، أوّل دفعة، أوّل تقييم.</w:t>
            </w:r>
            <w:r>
              <w:rPr>
                <w:rFonts w:ascii="Cairo" w:cs="Cairo" w:eastAsia="Cairo" w:hAnsi="Cairo"/>
                <w:b w:val="false"/>
                <w:bCs w:val="false"/>
                <w:i w:val="false"/>
                <w:iCs w:val="false"/>
                <w:color w:val="C8962E"/>
                <w:sz w:val="13"/>
                <w:szCs w:val="13"/>
                <w:rtl/>
              </w:rPr>
              <w:t xml:space="preserve">  ◆</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36"/>
              <w:left w:type="dxa" w:w="0"/>
              <w:bottom w:type="dxa" w:w="36"/>
              <w:right w:type="dxa" w:w="170"/>
            </w:tcMar>
          </w:tcPr>
          <w:p>
            <w:pPr>
              <w:spacing w:after="0" w:line="282"/>
              <w:ind w:left="360" w:hanging="23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The Diaspora Bridge: a short live stream of the opening, so Yemenis abroad witness — and join — from afar.</w:t>
            </w:r>
          </w:p>
        </w:tc>
        <w:tc>
          <w:tcPr>
            <w:tcW w:type="dxa" w:w="4380"/>
            <w:tcMar>
              <w:top w:type="dxa" w:w="36"/>
              <w:left w:type="dxa" w:w="170"/>
              <w:bottom w:type="dxa" w:w="36"/>
              <w:right w:type="dxa" w:w="0"/>
            </w:tcMar>
          </w:tcPr>
          <w:p>
            <w:pPr>
              <w:bidi/>
              <w:spacing w:after="0" w:line="300"/>
              <w:jc w:val="right"/>
            </w:pPr>
            <w:r>
              <w:rPr>
                <w:rFonts w:ascii="Cairo" w:cs="Cairo" w:eastAsia="Cairo" w:hAnsi="Cairo"/>
                <w:b w:val="false"/>
                <w:bCs w:val="false"/>
                <w:i w:val="false"/>
                <w:iCs w:val="false"/>
                <w:color w:val="222222"/>
                <w:sz w:val="21"/>
                <w:szCs w:val="21"/>
                <w:rtl/>
              </w:rPr>
              <w:t xml:space="preserve">جسر المغتربين: بثّ مباشر قصير للافتتاح، ليشهد اليمنيون في الخارج — وينضمّوا — من بعيد.</w:t>
            </w:r>
            <w:r>
              <w:rPr>
                <w:rFonts w:ascii="Cairo" w:cs="Cairo" w:eastAsia="Cairo" w:hAnsi="Cairo"/>
                <w:b w:val="false"/>
                <w:bCs w:val="false"/>
                <w:i w:val="false"/>
                <w:iCs w:val="false"/>
                <w:color w:val="C8962E"/>
                <w:sz w:val="13"/>
                <w:szCs w:val="13"/>
                <w:rtl/>
              </w:rPr>
              <w:t xml:space="preserve">  ◆</w:t>
            </w:r>
          </w:p>
        </w:tc>
      </w:tr>
    </w:tbl>
    <w:p>
      <w:pPr>
        <w:spacing w:after="60" w:before="520"/>
      </w:pPr>
      <w:r>
        <w:rPr>
          <w:rFonts w:ascii="Arial" w:cs="Arial" w:eastAsia="Arial" w:hAnsi="Arial"/>
          <w:b/>
          <w:bCs/>
          <w:i w:val="false"/>
          <w:iCs w:val="false"/>
          <w:color w:val="C8962E"/>
          <w:spacing w:val="120"/>
          <w:sz w:val="17"/>
          <w:szCs w:val="17"/>
        </w:rPr>
        <w:t xml:space="preserve">06      </w:t>
      </w:r>
      <w:r>
        <w:rPr>
          <w:rFonts w:ascii="Arial" w:cs="Arial" w:eastAsia="Arial" w:hAnsi="Arial"/>
          <w:b/>
          <w:bCs/>
          <w:i w:val="false"/>
          <w:iCs w:val="false"/>
          <w:color w:val="6B6B6B"/>
          <w:spacing w:val="120"/>
          <w:sz w:val="17"/>
          <w:szCs w:val="17"/>
        </w:rPr>
        <w:t xml:space="preserve">FOUNDING 100 · المئة المؤسِّسون</w:t>
      </w:r>
    </w:p>
    <w:tbl>
      <w:tblPr>
        <w:tblW w:type="dxa" w:w="8640"/>
        <w:tblBorders>
          <w:top w:val="none"/>
          <w:left w:val="none"/>
          <w:bottom w:val="none"/>
          <w:right w:val="none"/>
          <w:insideH w:val="none"/>
          <w:insideV w:val="none"/>
        </w:tblBorders>
      </w:tblPr>
      <w:tblGrid>
        <w:gridCol w:w="4320"/>
        <w:gridCol w:w="4320"/>
      </w:tblGrid>
      <w:tr>
        <w:tc>
          <w:tcPr>
            <w:tcW w:type="dxa" w:w="4320"/>
            <w:tcMar>
              <w:top w:type="dxa" w:w="60"/>
              <w:left w:type="dxa" w:w="0"/>
              <w:bottom w:type="dxa" w:w="40"/>
              <w:right w:type="dxa" w:w="120"/>
            </w:tcMar>
            <w:vAlign w:val="center"/>
          </w:tcPr>
          <w:p>
            <w:pPr>
              <w:pBdr>
                <w:left w:val="single" w:color="C8962E" w:sz="24" w:space="10"/>
              </w:pBdr>
              <w:spacing w:after="0"/>
              <w:ind w:left="140"/>
            </w:pPr>
            <w:r>
              <w:rPr>
                <w:rFonts w:ascii="Cambria" w:cs="Cambria" w:eastAsia="Cambria" w:hAnsi="Cambria"/>
                <w:b/>
                <w:bCs/>
                <w:i w:val="false"/>
                <w:iCs w:val="false"/>
                <w:color w:val="0B3A33"/>
                <w:sz w:val="26"/>
                <w:szCs w:val="26"/>
              </w:rPr>
              <w:t xml:space="preserve">The Mechanic That Changes Everything</w:t>
            </w:r>
          </w:p>
        </w:tc>
        <w:tc>
          <w:tcPr>
            <w:tcW w:type="dxa" w:w="4320"/>
            <w:tcMar>
              <w:top w:type="dxa" w:w="60"/>
              <w:left w:type="dxa" w:w="120"/>
              <w:bottom w:type="dxa" w:w="40"/>
              <w:right w:type="dxa" w:w="0"/>
            </w:tcMar>
            <w:vAlign w:val="center"/>
          </w:tcPr>
          <w:p>
            <w:pPr>
              <w:bidi/>
              <w:spacing w:after="0" w:line="306"/>
              <w:jc w:val="right"/>
            </w:pPr>
            <w:r>
              <w:rPr>
                <w:rFonts w:ascii="Cairo" w:cs="Cairo" w:eastAsia="Cairo" w:hAnsi="Cairo"/>
                <w:b/>
                <w:bCs/>
                <w:i w:val="false"/>
                <w:iCs w:val="false"/>
                <w:color w:val="0B3A33"/>
                <w:sz w:val="28"/>
                <w:szCs w:val="28"/>
                <w:rtl/>
              </w:rPr>
              <w:t xml:space="preserve">الفكرة التي تُغيّر كلّ شيء</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44"/>
              <w:left w:type="dxa" w:w="0"/>
              <w:bottom w:type="dxa" w:w="44"/>
              <w:right w:type="dxa" w:w="170"/>
            </w:tcMar>
          </w:tcPr>
          <w:p>
            <w:pPr>
              <w:spacing w:after="0" w:line="288"/>
              <w:jc w:val="left"/>
            </w:pPr>
            <w:r>
              <w:rPr>
                <w:rFonts w:ascii="Cambria" w:cs="Cambria" w:eastAsia="Cambria" w:hAnsi="Cambria"/>
                <w:b w:val="false"/>
                <w:bCs w:val="false"/>
                <w:i w:val="false"/>
                <w:iCs w:val="false"/>
                <w:color w:val="222222"/>
                <w:sz w:val="20"/>
                <w:szCs w:val="20"/>
              </w:rPr>
              <w:t xml:space="preserve">The single most powerful move of the launch is the Founding 100 — the first one hundred verified professionals to join Kayan. They are named on the Founders’ Wall, carry a founding mark on their Kayan Card, get first access to the earliest projects, and are honoured as the people who began. It turns a sign-up form into a status worth earning, creates real urgency and scarcity, and builds three things at once: the verified talent base Kayan needs to deliver, the proof that the model is real, and an army of proud founders who refer the next hundred. No one in Yemen has turned registration into belonging like this.</w:t>
            </w:r>
          </w:p>
        </w:tc>
        <w:tc>
          <w:tcPr>
            <w:tcW w:type="dxa" w:w="4380"/>
            <w:tcMar>
              <w:top w:type="dxa" w:w="44"/>
              <w:left w:type="dxa" w:w="170"/>
              <w:bottom w:type="dxa" w:w="44"/>
              <w:right w:type="dxa" w:w="0"/>
            </w:tcMar>
          </w:tcPr>
          <w:p>
            <w:pPr>
              <w:bidi/>
              <w:spacing w:after="0" w:line="306"/>
              <w:jc w:val="right"/>
            </w:pPr>
            <w:r>
              <w:rPr>
                <w:rFonts w:ascii="Cairo" w:cs="Cairo" w:eastAsia="Cairo" w:hAnsi="Cairo"/>
                <w:b w:val="false"/>
                <w:bCs w:val="false"/>
                <w:i w:val="false"/>
                <w:iCs w:val="false"/>
                <w:color w:val="222222"/>
                <w:sz w:val="22"/>
                <w:szCs w:val="22"/>
                <w:rtl/>
              </w:rPr>
              <w:t xml:space="preserve">أقوى خطوة في الإطلاق هي المئة المؤسّسون — أوّل مئة محترف موثّق ينضمّون إلى كيان. تُكتب أسماؤهم على جدار المؤسّسين، ويحملون علامة تأسيسية على بطاقة كيان، وينالون أولوية الوصول إلى أولى المشاريع، ويُكرّمون بوصفهم من بدأوا. يحوّل هذا استمارة التسجيل إلى مكانة تستحقّ السعي إليها، ويخلق إلحاحاً حقيقياً، ويبني ثلاثة أشياء معاً: قاعدة المواهب الموثّقة التي تحتاجها كيان لتُسلّم، والبرهان أنّ النموذج حقيقي، وجيشاً من المؤسّسين الفخورين يوصون بالمئة التالية. لم يحوّل أحد في اليمن التسجيل إلى انتماء بهذه الصورة.</w:t>
            </w:r>
          </w:p>
        </w:tc>
      </w:tr>
    </w:tbl>
    <w:p>
      <w:pPr>
        <w:spacing w:after="60" w:before="520"/>
      </w:pPr>
      <w:r>
        <w:rPr>
          <w:rFonts w:ascii="Arial" w:cs="Arial" w:eastAsia="Arial" w:hAnsi="Arial"/>
          <w:b/>
          <w:bCs/>
          <w:i w:val="false"/>
          <w:iCs w:val="false"/>
          <w:color w:val="C8962E"/>
          <w:spacing w:val="120"/>
          <w:sz w:val="17"/>
          <w:szCs w:val="17"/>
        </w:rPr>
        <w:t xml:space="preserve">07      </w:t>
      </w:r>
      <w:r>
        <w:rPr>
          <w:rFonts w:ascii="Arial" w:cs="Arial" w:eastAsia="Arial" w:hAnsi="Arial"/>
          <w:b/>
          <w:bCs/>
          <w:i w:val="false"/>
          <w:iCs w:val="false"/>
          <w:color w:val="6B6B6B"/>
          <w:spacing w:val="120"/>
          <w:sz w:val="17"/>
          <w:szCs w:val="17"/>
        </w:rPr>
        <w:t xml:space="preserve">RUN OF SHOW · مجريات اليوم</w:t>
      </w:r>
    </w:p>
    <w:tbl>
      <w:tblPr>
        <w:tblW w:type="dxa" w:w="8640"/>
        <w:tblBorders>
          <w:top w:val="none"/>
          <w:left w:val="none"/>
          <w:bottom w:val="none"/>
          <w:right w:val="none"/>
          <w:insideH w:val="none"/>
          <w:insideV w:val="none"/>
        </w:tblBorders>
      </w:tblPr>
      <w:tblGrid>
        <w:gridCol w:w="4320"/>
        <w:gridCol w:w="4320"/>
      </w:tblGrid>
      <w:tr>
        <w:tc>
          <w:tcPr>
            <w:tcW w:type="dxa" w:w="4320"/>
            <w:tcMar>
              <w:top w:type="dxa" w:w="60"/>
              <w:left w:type="dxa" w:w="0"/>
              <w:bottom w:type="dxa" w:w="40"/>
              <w:right w:type="dxa" w:w="120"/>
            </w:tcMar>
            <w:vAlign w:val="center"/>
          </w:tcPr>
          <w:p>
            <w:pPr>
              <w:pBdr>
                <w:left w:val="single" w:color="C8962E" w:sz="24" w:space="10"/>
              </w:pBdr>
              <w:spacing w:after="0"/>
              <w:ind w:left="140"/>
            </w:pPr>
            <w:r>
              <w:rPr>
                <w:rFonts w:ascii="Cambria" w:cs="Cambria" w:eastAsia="Cambria" w:hAnsi="Cambria"/>
                <w:b/>
                <w:bCs/>
                <w:i w:val="false"/>
                <w:iCs w:val="false"/>
                <w:color w:val="0B3A33"/>
                <w:sz w:val="26"/>
                <w:szCs w:val="26"/>
              </w:rPr>
              <w:t xml:space="preserve">Opening Day, Hour by Hour</w:t>
            </w:r>
          </w:p>
        </w:tc>
        <w:tc>
          <w:tcPr>
            <w:tcW w:type="dxa" w:w="4320"/>
            <w:tcMar>
              <w:top w:type="dxa" w:w="60"/>
              <w:left w:type="dxa" w:w="120"/>
              <w:bottom w:type="dxa" w:w="40"/>
              <w:right w:type="dxa" w:w="0"/>
            </w:tcMar>
            <w:vAlign w:val="center"/>
          </w:tcPr>
          <w:p>
            <w:pPr>
              <w:bidi/>
              <w:spacing w:after="0" w:line="306"/>
              <w:jc w:val="right"/>
            </w:pPr>
            <w:r>
              <w:rPr>
                <w:rFonts w:ascii="Cairo" w:cs="Cairo" w:eastAsia="Cairo" w:hAnsi="Cairo"/>
                <w:b/>
                <w:bCs/>
                <w:i w:val="false"/>
                <w:iCs w:val="false"/>
                <w:color w:val="0B3A33"/>
                <w:sz w:val="28"/>
                <w:szCs w:val="28"/>
                <w:rtl/>
              </w:rPr>
              <w:t xml:space="preserve">يوم الافتتاح، ساعةً بساعة</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36"/>
              <w:left w:type="dxa" w:w="0"/>
              <w:bottom w:type="dxa" w:w="36"/>
              <w:right w:type="dxa" w:w="170"/>
            </w:tcMar>
          </w:tcPr>
          <w:p>
            <w:pPr>
              <w:spacing w:after="0" w:line="282"/>
              <w:ind w:left="360" w:hanging="23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Morning: final walk-through; the team in place; the Café ready; the Founders’ Wall prepared.</w:t>
            </w:r>
          </w:p>
        </w:tc>
        <w:tc>
          <w:tcPr>
            <w:tcW w:type="dxa" w:w="4380"/>
            <w:tcMar>
              <w:top w:type="dxa" w:w="36"/>
              <w:left w:type="dxa" w:w="170"/>
              <w:bottom w:type="dxa" w:w="36"/>
              <w:right w:type="dxa" w:w="0"/>
            </w:tcMar>
          </w:tcPr>
          <w:p>
            <w:pPr>
              <w:bidi/>
              <w:spacing w:after="0" w:line="300"/>
              <w:jc w:val="right"/>
            </w:pPr>
            <w:r>
              <w:rPr>
                <w:rFonts w:ascii="Cairo" w:cs="Cairo" w:eastAsia="Cairo" w:hAnsi="Cairo"/>
                <w:b w:val="false"/>
                <w:bCs w:val="false"/>
                <w:i w:val="false"/>
                <w:iCs w:val="false"/>
                <w:color w:val="222222"/>
                <w:sz w:val="21"/>
                <w:szCs w:val="21"/>
                <w:rtl/>
              </w:rPr>
              <w:t xml:space="preserve">الصباح: جولة أخيرة؛ الفريق في مواقعه؛ الكافيه جاهز؛ جدار المؤسِّسين مُعدّ.</w:t>
            </w:r>
            <w:r>
              <w:rPr>
                <w:rFonts w:ascii="Cairo" w:cs="Cairo" w:eastAsia="Cairo" w:hAnsi="Cairo"/>
                <w:b w:val="false"/>
                <w:bCs w:val="false"/>
                <w:i w:val="false"/>
                <w:iCs w:val="false"/>
                <w:color w:val="C8962E"/>
                <w:sz w:val="13"/>
                <w:szCs w:val="13"/>
                <w:rtl/>
              </w:rPr>
              <w:t xml:space="preserve">  ◆</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36"/>
              <w:left w:type="dxa" w:w="0"/>
              <w:bottom w:type="dxa" w:w="36"/>
              <w:right w:type="dxa" w:w="170"/>
            </w:tcMar>
          </w:tcPr>
          <w:p>
            <w:pPr>
              <w:spacing w:after="0" w:line="282"/>
              <w:ind w:left="360" w:hanging="23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Midday: doors open; founder welcomes guests; the first Birthplace Brew is served and filmed.</w:t>
            </w:r>
          </w:p>
        </w:tc>
        <w:tc>
          <w:tcPr>
            <w:tcW w:type="dxa" w:w="4380"/>
            <w:tcMar>
              <w:top w:type="dxa" w:w="36"/>
              <w:left w:type="dxa" w:w="170"/>
              <w:bottom w:type="dxa" w:w="36"/>
              <w:right w:type="dxa" w:w="0"/>
            </w:tcMar>
          </w:tcPr>
          <w:p>
            <w:pPr>
              <w:bidi/>
              <w:spacing w:after="0" w:line="300"/>
              <w:jc w:val="right"/>
            </w:pPr>
            <w:r>
              <w:rPr>
                <w:rFonts w:ascii="Cairo" w:cs="Cairo" w:eastAsia="Cairo" w:hAnsi="Cairo"/>
                <w:b w:val="false"/>
                <w:bCs w:val="false"/>
                <w:i w:val="false"/>
                <w:iCs w:val="false"/>
                <w:color w:val="222222"/>
                <w:sz w:val="21"/>
                <w:szCs w:val="21"/>
                <w:rtl/>
              </w:rPr>
              <w:t xml:space="preserve">الظهيرة: تُفتح الأبواب؛ يرحّب المؤسّس بالضيوف؛ يُقدَّم أوّل فنجان قهوة ويُصوَّر.</w:t>
            </w:r>
            <w:r>
              <w:rPr>
                <w:rFonts w:ascii="Cairo" w:cs="Cairo" w:eastAsia="Cairo" w:hAnsi="Cairo"/>
                <w:b w:val="false"/>
                <w:bCs w:val="false"/>
                <w:i w:val="false"/>
                <w:iCs w:val="false"/>
                <w:color w:val="C8962E"/>
                <w:sz w:val="13"/>
                <w:szCs w:val="13"/>
                <w:rtl/>
              </w:rPr>
              <w:t xml:space="preserve">  ◆</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36"/>
              <w:left w:type="dxa" w:w="0"/>
              <w:bottom w:type="dxa" w:w="36"/>
              <w:right w:type="dxa" w:w="170"/>
            </w:tcMar>
          </w:tcPr>
          <w:p>
            <w:pPr>
              <w:spacing w:after="0" w:line="282"/>
              <w:ind w:left="360" w:hanging="23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Afternoon: space tours; the Faces of Kayan reveal; partners and press meet the team; Founding 100 sign-ups open at a desk and on WhatsApp.</w:t>
            </w:r>
          </w:p>
        </w:tc>
        <w:tc>
          <w:tcPr>
            <w:tcW w:type="dxa" w:w="4380"/>
            <w:tcMar>
              <w:top w:type="dxa" w:w="36"/>
              <w:left w:type="dxa" w:w="170"/>
              <w:bottom w:type="dxa" w:w="36"/>
              <w:right w:type="dxa" w:w="0"/>
            </w:tcMar>
          </w:tcPr>
          <w:p>
            <w:pPr>
              <w:bidi/>
              <w:spacing w:after="0" w:line="300"/>
              <w:jc w:val="right"/>
            </w:pPr>
            <w:r>
              <w:rPr>
                <w:rFonts w:ascii="Cairo" w:cs="Cairo" w:eastAsia="Cairo" w:hAnsi="Cairo"/>
                <w:b w:val="false"/>
                <w:bCs w:val="false"/>
                <w:i w:val="false"/>
                <w:iCs w:val="false"/>
                <w:color w:val="222222"/>
                <w:sz w:val="21"/>
                <w:szCs w:val="21"/>
                <w:rtl/>
              </w:rPr>
              <w:t xml:space="preserve">بعد الظهر: جولات في المكان؛ كشف وجوه كيان؛ يلتقي الشركاء والصحافة بالفريق؛ يُفتح تسجيل المئة المؤسِّسين عند مكتب وعبر واتساب.</w:t>
            </w:r>
            <w:r>
              <w:rPr>
                <w:rFonts w:ascii="Cairo" w:cs="Cairo" w:eastAsia="Cairo" w:hAnsi="Cairo"/>
                <w:b w:val="false"/>
                <w:bCs w:val="false"/>
                <w:i w:val="false"/>
                <w:iCs w:val="false"/>
                <w:color w:val="C8962E"/>
                <w:sz w:val="13"/>
                <w:szCs w:val="13"/>
                <w:rtl/>
              </w:rPr>
              <w:t xml:space="preserve">  ◆</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36"/>
              <w:left w:type="dxa" w:w="0"/>
              <w:bottom w:type="dxa" w:w="36"/>
              <w:right w:type="dxa" w:w="170"/>
            </w:tcMar>
          </w:tcPr>
          <w:p>
            <w:pPr>
              <w:spacing w:after="0" w:line="282"/>
              <w:ind w:left="360" w:hanging="230"/>
            </w:pPr>
            <w:r>
              <w:rPr>
                <w:rFonts w:ascii="Cambria" w:cs="Cambria" w:eastAsia="Cambria" w:hAnsi="Cambria"/>
                <w:b w:val="false"/>
                <w:bCs w:val="false"/>
                <w:i w:val="false"/>
                <w:iCs w:val="false"/>
                <w:color w:val="C8962E"/>
                <w:sz w:val="14"/>
                <w:szCs w:val="14"/>
              </w:rPr>
              <w:t xml:space="preserve">◆  </w:t>
            </w:r>
            <w:r>
              <w:rPr>
                <w:rFonts w:ascii="Cambria" w:cs="Cambria" w:eastAsia="Cambria" w:hAnsi="Cambria"/>
                <w:b w:val="false"/>
                <w:bCs w:val="false"/>
                <w:i w:val="false"/>
                <w:iCs w:val="false"/>
                <w:color w:val="222222"/>
                <w:sz w:val="19"/>
                <w:szCs w:val="19"/>
              </w:rPr>
              <w:t xml:space="preserve">Evening: a short live stream for the diaspora; thank-yous; the day’s photos posted that night across every channel.</w:t>
            </w:r>
          </w:p>
        </w:tc>
        <w:tc>
          <w:tcPr>
            <w:tcW w:type="dxa" w:w="4380"/>
            <w:tcMar>
              <w:top w:type="dxa" w:w="36"/>
              <w:left w:type="dxa" w:w="170"/>
              <w:bottom w:type="dxa" w:w="36"/>
              <w:right w:type="dxa" w:w="0"/>
            </w:tcMar>
          </w:tcPr>
          <w:p>
            <w:pPr>
              <w:bidi/>
              <w:spacing w:after="0" w:line="300"/>
              <w:jc w:val="right"/>
            </w:pPr>
            <w:r>
              <w:rPr>
                <w:rFonts w:ascii="Cairo" w:cs="Cairo" w:eastAsia="Cairo" w:hAnsi="Cairo"/>
                <w:b w:val="false"/>
                <w:bCs w:val="false"/>
                <w:i w:val="false"/>
                <w:iCs w:val="false"/>
                <w:color w:val="222222"/>
                <w:sz w:val="21"/>
                <w:szCs w:val="21"/>
                <w:rtl/>
              </w:rPr>
              <w:t xml:space="preserve">المساء: بثّ مباشر قصير للمغتربين؛ كلمات شكر؛ تُنشر صور اليوم في الليلة نفسها على كلّ القنوات.</w:t>
            </w:r>
            <w:r>
              <w:rPr>
                <w:rFonts w:ascii="Cairo" w:cs="Cairo" w:eastAsia="Cairo" w:hAnsi="Cairo"/>
                <w:b w:val="false"/>
                <w:bCs w:val="false"/>
                <w:i w:val="false"/>
                <w:iCs w:val="false"/>
                <w:color w:val="C8962E"/>
                <w:sz w:val="13"/>
                <w:szCs w:val="13"/>
                <w:rtl/>
              </w:rPr>
              <w:t xml:space="preserve">  ◆</w:t>
            </w:r>
          </w:p>
        </w:tc>
      </w:tr>
    </w:tbl>
    <w:p>
      <w:pPr>
        <w:spacing w:after="60" w:before="520"/>
      </w:pPr>
      <w:r>
        <w:rPr>
          <w:rFonts w:ascii="Arial" w:cs="Arial" w:eastAsia="Arial" w:hAnsi="Arial"/>
          <w:b/>
          <w:bCs/>
          <w:i w:val="false"/>
          <w:iCs w:val="false"/>
          <w:color w:val="C8962E"/>
          <w:spacing w:val="120"/>
          <w:sz w:val="17"/>
          <w:szCs w:val="17"/>
        </w:rPr>
        <w:t xml:space="preserve">08      </w:t>
      </w:r>
      <w:r>
        <w:rPr>
          <w:rFonts w:ascii="Arial" w:cs="Arial" w:eastAsia="Arial" w:hAnsi="Arial"/>
          <w:b/>
          <w:bCs/>
          <w:i w:val="false"/>
          <w:iCs w:val="false"/>
          <w:color w:val="6B6B6B"/>
          <w:spacing w:val="120"/>
          <w:sz w:val="17"/>
          <w:szCs w:val="17"/>
        </w:rPr>
        <w:t xml:space="preserve">CHANNELS &amp; BUDGET · القنوات والميزانية</w:t>
      </w:r>
    </w:p>
    <w:tbl>
      <w:tblPr>
        <w:tblW w:type="dxa" w:w="8640"/>
        <w:tblBorders>
          <w:top w:val="none"/>
          <w:left w:val="none"/>
          <w:bottom w:val="none"/>
          <w:right w:val="none"/>
          <w:insideH w:val="none"/>
          <w:insideV w:val="none"/>
        </w:tblBorders>
      </w:tblPr>
      <w:tblGrid>
        <w:gridCol w:w="4320"/>
        <w:gridCol w:w="4320"/>
      </w:tblGrid>
      <w:tr>
        <w:tc>
          <w:tcPr>
            <w:tcW w:type="dxa" w:w="4320"/>
            <w:tcMar>
              <w:top w:type="dxa" w:w="60"/>
              <w:left w:type="dxa" w:w="0"/>
              <w:bottom w:type="dxa" w:w="40"/>
              <w:right w:type="dxa" w:w="120"/>
            </w:tcMar>
            <w:vAlign w:val="center"/>
          </w:tcPr>
          <w:p>
            <w:pPr>
              <w:pBdr>
                <w:left w:val="single" w:color="C8962E" w:sz="24" w:space="10"/>
              </w:pBdr>
              <w:spacing w:after="0"/>
              <w:ind w:left="140"/>
            </w:pPr>
            <w:r>
              <w:rPr>
                <w:rFonts w:ascii="Cambria" w:cs="Cambria" w:eastAsia="Cambria" w:hAnsi="Cambria"/>
                <w:b/>
                <w:bCs/>
                <w:i w:val="false"/>
                <w:iCs w:val="false"/>
                <w:color w:val="0B3A33"/>
                <w:sz w:val="26"/>
                <w:szCs w:val="26"/>
              </w:rPr>
              <w:t xml:space="preserve">Run It on Almost Nothing</w:t>
            </w:r>
          </w:p>
        </w:tc>
        <w:tc>
          <w:tcPr>
            <w:tcW w:type="dxa" w:w="4320"/>
            <w:tcMar>
              <w:top w:type="dxa" w:w="60"/>
              <w:left w:type="dxa" w:w="120"/>
              <w:bottom w:type="dxa" w:w="40"/>
              <w:right w:type="dxa" w:w="0"/>
            </w:tcMar>
            <w:vAlign w:val="center"/>
          </w:tcPr>
          <w:p>
            <w:pPr>
              <w:bidi/>
              <w:spacing w:after="0" w:line="306"/>
              <w:jc w:val="right"/>
            </w:pPr>
            <w:r>
              <w:rPr>
                <w:rFonts w:ascii="Cairo" w:cs="Cairo" w:eastAsia="Cairo" w:hAnsi="Cairo"/>
                <w:b/>
                <w:bCs/>
                <w:i w:val="false"/>
                <w:iCs w:val="false"/>
                <w:color w:val="0B3A33"/>
                <w:sz w:val="28"/>
                <w:szCs w:val="28"/>
                <w:rtl/>
              </w:rPr>
              <w:t xml:space="preserve">نُنفّذها بأقل التكاليف</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44"/>
              <w:left w:type="dxa" w:w="0"/>
              <w:bottom w:type="dxa" w:w="44"/>
              <w:right w:type="dxa" w:w="170"/>
            </w:tcMar>
          </w:tcPr>
          <w:p>
            <w:pPr>
              <w:spacing w:after="0" w:line="288"/>
              <w:jc w:val="left"/>
            </w:pPr>
            <w:r>
              <w:rPr>
                <w:rFonts w:ascii="Cambria" w:cs="Cambria" w:eastAsia="Cambria" w:hAnsi="Cambria"/>
                <w:b w:val="false"/>
                <w:bCs w:val="false"/>
                <w:i w:val="false"/>
                <w:iCs w:val="false"/>
                <w:color w:val="222222"/>
                <w:sz w:val="20"/>
                <w:szCs w:val="20"/>
              </w:rPr>
              <w:t xml:space="preserve">The launch is built to cost almost nothing. WhatsApp and Google Business carry conversion; Facebook and Instagram carry reach and the visual story; LinkedIn carries credibility to partners, donors, and the diaspora; Telegram reaches Yemenis abroad. The founder’s own voice is the most powerful and cheapest media there is. The one real expense is the opening gathering — kept modest and warm, with the Café doing the hosting. Earned local press and word of mouth do the rest. Spend on substance, not noise.</w:t>
            </w:r>
          </w:p>
        </w:tc>
        <w:tc>
          <w:tcPr>
            <w:tcW w:type="dxa" w:w="4380"/>
            <w:tcMar>
              <w:top w:type="dxa" w:w="44"/>
              <w:left w:type="dxa" w:w="170"/>
              <w:bottom w:type="dxa" w:w="44"/>
              <w:right w:type="dxa" w:w="0"/>
            </w:tcMar>
          </w:tcPr>
          <w:p>
            <w:pPr>
              <w:bidi/>
              <w:spacing w:after="0" w:line="306"/>
              <w:jc w:val="right"/>
            </w:pPr>
            <w:r>
              <w:rPr>
                <w:rFonts w:ascii="Cairo" w:cs="Cairo" w:eastAsia="Cairo" w:hAnsi="Cairo"/>
                <w:b w:val="false"/>
                <w:bCs w:val="false"/>
                <w:i w:val="false"/>
                <w:iCs w:val="false"/>
                <w:color w:val="222222"/>
                <w:sz w:val="22"/>
                <w:szCs w:val="22"/>
                <w:rtl/>
              </w:rPr>
              <w:t xml:space="preserve">صُمّم الإطلاق ليكلف القليل جداً. واتساب وجوجل بزنس يحملان التحويل؛ وفيسبوك وانستغرام يحملان الوصول والقصّة البصرية؛ ولينكدإن يحمل المصداقية للشركاء والمانحين والمغتربين؛ وتيليغرام يصل إلى اليمنيين في الخارج. صوت المؤسّس نفسه أقوى إعلام وأرخصه. النفقة الوحيدة الحقيقية هي لقاء الافتتاح — يُبقى بسيطاً دافئاً، والكافيه هو المضيف. وتقوم الصحافة المحلية والكلام المتناقل بالباقي. أنفق على الجوهر، لا على الضجيج.</w:t>
            </w:r>
          </w:p>
        </w:tc>
      </w:tr>
    </w:tbl>
    <w:p>
      <w:pPr>
        <w:spacing w:after="60" w:before="520"/>
      </w:pPr>
      <w:r>
        <w:rPr>
          <w:rFonts w:ascii="Arial" w:cs="Arial" w:eastAsia="Arial" w:hAnsi="Arial"/>
          <w:b/>
          <w:bCs/>
          <w:i w:val="false"/>
          <w:iCs w:val="false"/>
          <w:color w:val="C8962E"/>
          <w:spacing w:val="120"/>
          <w:sz w:val="17"/>
          <w:szCs w:val="17"/>
        </w:rPr>
        <w:t xml:space="preserve">09      </w:t>
      </w:r>
      <w:r>
        <w:rPr>
          <w:rFonts w:ascii="Arial" w:cs="Arial" w:eastAsia="Arial" w:hAnsi="Arial"/>
          <w:b/>
          <w:bCs/>
          <w:i w:val="false"/>
          <w:iCs w:val="false"/>
          <w:color w:val="6B6B6B"/>
          <w:spacing w:val="120"/>
          <w:sz w:val="17"/>
          <w:szCs w:val="17"/>
        </w:rPr>
        <w:t xml:space="preserve">MEASURE &amp; RISK · القياس والمخاطر</w:t>
      </w:r>
    </w:p>
    <w:tbl>
      <w:tblPr>
        <w:tblW w:type="dxa" w:w="8640"/>
        <w:tblBorders>
          <w:top w:val="none"/>
          <w:left w:val="none"/>
          <w:bottom w:val="none"/>
          <w:right w:val="none"/>
          <w:insideH w:val="none"/>
          <w:insideV w:val="none"/>
        </w:tblBorders>
      </w:tblPr>
      <w:tblGrid>
        <w:gridCol w:w="4320"/>
        <w:gridCol w:w="4320"/>
      </w:tblGrid>
      <w:tr>
        <w:tc>
          <w:tcPr>
            <w:tcW w:type="dxa" w:w="4320"/>
            <w:tcMar>
              <w:top w:type="dxa" w:w="60"/>
              <w:left w:type="dxa" w:w="0"/>
              <w:bottom w:type="dxa" w:w="40"/>
              <w:right w:type="dxa" w:w="120"/>
            </w:tcMar>
            <w:vAlign w:val="center"/>
          </w:tcPr>
          <w:p>
            <w:pPr>
              <w:pBdr>
                <w:left w:val="single" w:color="C8962E" w:sz="24" w:space="10"/>
              </w:pBdr>
              <w:spacing w:after="0"/>
              <w:ind w:left="140"/>
            </w:pPr>
            <w:r>
              <w:rPr>
                <w:rFonts w:ascii="Cambria" w:cs="Cambria" w:eastAsia="Cambria" w:hAnsi="Cambria"/>
                <w:b/>
                <w:bCs/>
                <w:i w:val="false"/>
                <w:iCs w:val="false"/>
                <w:color w:val="0B3A33"/>
                <w:sz w:val="26"/>
                <w:szCs w:val="26"/>
              </w:rPr>
              <w:t xml:space="preserve">Success, and What Could Go Wrong</w:t>
            </w:r>
          </w:p>
        </w:tc>
        <w:tc>
          <w:tcPr>
            <w:tcW w:type="dxa" w:w="4320"/>
            <w:tcMar>
              <w:top w:type="dxa" w:w="60"/>
              <w:left w:type="dxa" w:w="120"/>
              <w:bottom w:type="dxa" w:w="40"/>
              <w:right w:type="dxa" w:w="0"/>
            </w:tcMar>
            <w:vAlign w:val="center"/>
          </w:tcPr>
          <w:p>
            <w:pPr>
              <w:bidi/>
              <w:spacing w:after="0" w:line="306"/>
              <w:jc w:val="right"/>
            </w:pPr>
            <w:r>
              <w:rPr>
                <w:rFonts w:ascii="Cairo" w:cs="Cairo" w:eastAsia="Cairo" w:hAnsi="Cairo"/>
                <w:b/>
                <w:bCs/>
                <w:i w:val="false"/>
                <w:iCs w:val="false"/>
                <w:color w:val="0B3A33"/>
                <w:sz w:val="28"/>
                <w:szCs w:val="28"/>
                <w:rtl/>
              </w:rPr>
              <w:t xml:space="preserve">النجاح، وما قد يعترضه</w:t>
            </w:r>
          </w:p>
        </w:tc>
      </w:tr>
    </w:tbl>
    <w:tbl>
      <w:tblPr>
        <w:tblW w:type="dxa" w:w="8640"/>
        <w:tblBorders>
          <w:top w:val="none"/>
          <w:left w:val="none"/>
          <w:bottom w:val="none"/>
          <w:right w:val="none"/>
          <w:insideH w:val="none"/>
          <w:insideV w:val="single" w:color="DCD6C8" w:sz="6"/>
        </w:tblBorders>
      </w:tblPr>
      <w:tblGrid>
        <w:gridCol w:w="4260"/>
        <w:gridCol w:w="4380"/>
      </w:tblGrid>
      <w:tr>
        <w:tc>
          <w:tcPr>
            <w:tcW w:type="dxa" w:w="4260"/>
            <w:tcMar>
              <w:top w:type="dxa" w:w="44"/>
              <w:left w:type="dxa" w:w="0"/>
              <w:bottom w:type="dxa" w:w="44"/>
              <w:right w:type="dxa" w:w="170"/>
            </w:tcMar>
          </w:tcPr>
          <w:p>
            <w:pPr>
              <w:spacing w:after="0" w:line="288"/>
              <w:jc w:val="left"/>
            </w:pPr>
            <w:r>
              <w:rPr>
                <w:rFonts w:ascii="Cambria" w:cs="Cambria" w:eastAsia="Cambria" w:hAnsi="Cambria"/>
                <w:b w:val="false"/>
                <w:bCs w:val="false"/>
                <w:i w:val="false"/>
                <w:iCs w:val="false"/>
                <w:color w:val="222222"/>
                <w:sz w:val="20"/>
                <w:szCs w:val="20"/>
              </w:rPr>
              <w:t xml:space="preserve">Judge the launch by six numbers: people reached, WhatsApp conversations started, Founding 100 filled, first enquiries and first signed engagements, founding members and Café footfall, and partner/press conversations opened. And plan for Aden’s realities: prepare for power and internet interruptions (have the content pre-made and offline-ready, a generator and backup connectivity for the event); keep the gathering secure and well-managed; and if turnout is uncertain, anchor the day around a confident core of invited guests rather than relying on a crowd. Whatever happens, the proof is captured and the story is told.</w:t>
            </w:r>
          </w:p>
        </w:tc>
        <w:tc>
          <w:tcPr>
            <w:tcW w:type="dxa" w:w="4380"/>
            <w:tcMar>
              <w:top w:type="dxa" w:w="44"/>
              <w:left w:type="dxa" w:w="170"/>
              <w:bottom w:type="dxa" w:w="44"/>
              <w:right w:type="dxa" w:w="0"/>
            </w:tcMar>
          </w:tcPr>
          <w:p>
            <w:pPr>
              <w:bidi/>
              <w:spacing w:after="0" w:line="306"/>
              <w:jc w:val="right"/>
            </w:pPr>
            <w:r>
              <w:rPr>
                <w:rFonts w:ascii="Cairo" w:cs="Cairo" w:eastAsia="Cairo" w:hAnsi="Cairo"/>
                <w:b w:val="false"/>
                <w:bCs w:val="false"/>
                <w:i w:val="false"/>
                <w:iCs w:val="false"/>
                <w:color w:val="222222"/>
                <w:sz w:val="22"/>
                <w:szCs w:val="22"/>
                <w:rtl/>
              </w:rPr>
              <w:t xml:space="preserve">احكم على الإطلاق بستّة أرقام: عدد الموصولين، محادثات واتساب المبدوءة، اكتمال المئة المؤسّسين، أولى الاستفسارات وأولى التعاقدات، الأعضاء المؤسّسون وروّاد الكافيه، ومحادثات الشركاء والصحافة. وخطّط لواقع عدن: استعدّ لانقطاع الكهرباء والإنترنت (جهّز المحتوى مسبقاً، ووفّر مولّداً واتّصالاً احتياطياً للحدث)؛ وحافِظ على أمن اللقاء وحسن تنظيمه؛ وإن كان الحضور غير مؤكّد، فاجعل اليوم حول نواة واثقة من المدعوين لا على حشد. ومهما حدث، يُلتقط البرهان وتُروى القصّة.</w:t>
            </w:r>
          </w:p>
        </w:tc>
      </w:tr>
    </w:tbl>
    <w:p>
      <w:pPr>
        <w:spacing w:after="80" w:before="240"/>
      </w:pPr>
      <w:r>
        <w:rPr>
          <w:rFonts w:ascii="Georgia" w:cs="Georgia" w:eastAsia="Georgia" w:hAnsi="Georgia"/>
          <w:b/>
          <w:bCs/>
          <w:i w:val="false"/>
          <w:iCs w:val="false"/>
          <w:color w:val="0B3A33"/>
          <w:sz w:val="21"/>
          <w:szCs w:val="21"/>
        </w:rPr>
        <w:t xml:space="preserve">Connected Systems &amp; Instruments</w:t>
      </w:r>
    </w:p>
    <w:p>
      <w:pPr>
        <w:spacing w:after="200" w:line="324"/>
        <w:jc w:val="left"/>
      </w:pPr>
      <w:r>
        <w:rPr>
          <w:rFonts w:ascii="Cambria" w:cs="Cambria" w:eastAsia="Cambria" w:hAnsi="Cambria"/>
          <w:b w:val="false"/>
          <w:bCs w:val="false"/>
          <w:i w:val="false"/>
          <w:iCs w:val="false"/>
          <w:color w:val="222222"/>
          <w:sz w:val="22"/>
          <w:szCs w:val="22"/>
        </w:rPr>
        <w:t xml:space="preserve">Marketing &amp; Growth Engine (the strategy) ◆ WhatsApp-First Conversion Kit (the channel) ◆ Product Sell-Sheets (what to send) ◆ Brand Asset Kit (the look) ◆ Per-Stakeholder Narratives (partners &amp; donors) ◆ Kayan Pulse library (the daily voice) ◆ the Hub, Café, Forge &amp; Managed Delivery standards ◆ the Operating-System Master Map (canonical facts).</w:t>
      </w:r>
    </w:p>
    <w:sectPr>
      <w:headerReference w:type="default" r:id="rId7"/>
      <w:headerReference w:type="first" r:id="rId8"/>
      <w:footerReference w:type="default" r:id="rId9"/>
      <w:footerReference w:type="first" r:id="rId10"/>
      <w:pgSz w:w="12240" w:h="15840" w:orient="portrait"/>
      <w:pgMar w:top="1840" w:right="1840" w:bottom="1840" w:left="18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6B6B6B"/>
        <w:sz w:val="16"/>
        <w:szCs w:val="16"/>
      </w:rPr>
      <w:t xml:space="preserve">— </w:t>
    </w:r>
    <w:r>
      <w:rPr>
        <w:rFonts w:ascii="Arial" w:cs="Arial" w:eastAsia="Arial" w:hAnsi="Arial"/>
        <w:color w:val="6B6B6B"/>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6B6B6B"/>
        <w:sz w:val="16"/>
        <w:szCs w:val="16"/>
      </w:rPr>
      <w:t xml:space="preserve"> —</w:t>
    </w:r>
  </w:p>
  <w:p>
    <w:pPr>
      <w:spacing w:before="26"/>
      <w:jc w:val="center"/>
    </w:pPr>
    <w:r>
      <w:rPr>
        <w:rFonts w:ascii="Arial" w:cs="Arial" w:eastAsia="Arial" w:hAnsi="Arial"/>
        <w:b w:val="false"/>
        <w:bCs w:val="false"/>
        <w:i w:val="false"/>
        <w:iCs w:val="false"/>
        <w:color w:val="DCD6C8"/>
        <w:spacing w:val="30"/>
        <w:sz w:val="13"/>
        <w:szCs w:val="13"/>
      </w:rPr>
      <w:t xml:space="preserve">KAY-MKT-LAUNCH-001      ◆      INTERNAL — MARKETING &amp; SALES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6C8" w:sz="3"/>
      </w:pBdr>
      <w:jc w:val="right"/>
    </w:pPr>
    <w:r>
      <w:rPr>
        <w:rFonts w:ascii="Arial" w:cs="Arial" w:eastAsia="Arial" w:hAnsi="Arial"/>
        <w:b/>
        <w:bCs/>
        <w:i w:val="false"/>
        <w:iCs w:val="false"/>
        <w:color w:val="0D4F4F"/>
        <w:spacing w:val="60"/>
        <w:sz w:val="14"/>
        <w:szCs w:val="14"/>
      </w:rPr>
      <w:t xml:space="preserve">KAYAN</w:t>
    </w:r>
    <w:r>
      <w:rPr>
        <w:rFonts w:ascii="Arial" w:cs="Arial" w:eastAsia="Arial" w:hAnsi="Arial"/>
        <w:b w:val="false"/>
        <w:bCs w:val="false"/>
        <w:i w:val="false"/>
        <w:iCs w:val="false"/>
        <w:color w:val="C8962E"/>
        <w:sz w:val="14"/>
        <w:szCs w:val="14"/>
      </w:rPr>
      <w:t xml:space="preserve">      ◆      </w:t>
    </w:r>
    <w:r>
      <w:rPr>
        <w:rFonts w:ascii="Arial" w:cs="Arial" w:eastAsia="Arial" w:hAnsi="Arial"/>
        <w:b w:val="false"/>
        <w:bCs w:val="false"/>
        <w:i w:val="false"/>
        <w:iCs w:val="false"/>
        <w:color w:val="6B6B6B"/>
        <w:spacing w:val="60"/>
        <w:sz w:val="14"/>
        <w:szCs w:val="14"/>
      </w:rPr>
      <w:t xml:space="preserve">MARKETING &amp; SALES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f20278f222fb0f3dce1fe04634b7bdf271e5937.png"/><Relationship Id="rId12" Type="http://schemas.openxmlformats.org/officeDocument/2006/relationships/image" Target="media/30cc480b59d61b6fbe6050737edca30d7042464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2026-05-27T09:15:36.632Z</dcterms:created>
  <dcterms:modified xsi:type="dcterms:W3CDTF">2026-05-27T09:15:36.632Z</dcterms:modified>
</cp:coreProperties>
</file>

<file path=docProps/custom.xml><?xml version="1.0" encoding="utf-8"?>
<Properties xmlns="http://schemas.openxmlformats.org/officeDocument/2006/custom-properties" xmlns:vt="http://schemas.openxmlformats.org/officeDocument/2006/docPropsVTypes"/>
</file>