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to</w:t>
      </w:r>
      <w:r>
        <w:t xml:space="preserve"> </w:t>
      </w: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bookmarkStart w:id="20" w:name="overview"/>
    <w:p>
      <w:pPr>
        <w:pStyle w:val="Heading1"/>
      </w:pPr>
      <w:r>
        <w:t xml:space="preserve">1. Overview</w:t>
      </w:r>
    </w:p>
    <w:p>
      <w:pPr>
        <w:pStyle w:val="FirstParagraph"/>
      </w:pPr>
      <w:r>
        <w:t xml:space="preserve">This supplementary material provides additional details, analyses, and outputs supporting the findings presented in the main manuscript. It includes extended methodological explanations, reproducibility instructions, and results from exploratory data analysis. Key supplementary tables and figures include variable summaries, survival modeling outputs, and machine learning performance metrics. Detailed results from Cox regression, Random Forest, and LASSO Cox models are presented along with confusion matrices, AUC values, and variable importance rankings. The structure and content of the project directory are outlined to facilitate full reproducibility. Together, these materials offer a comprehensive view of the analytical workflow and support the robustness of the study’s conclusions.</w:t>
      </w:r>
    </w:p>
    <w:bookmarkEnd w:id="20"/>
    <w:bookmarkStart w:id="21" w:name="code-and-file-information"/>
    <w:p>
      <w:pPr>
        <w:pStyle w:val="Heading1"/>
      </w:pPr>
      <w:r>
        <w:t xml:space="preserve">2. Code and file information</w:t>
      </w:r>
    </w:p>
    <w:p>
      <w:pPr>
        <w:pStyle w:val="FirstParagraph"/>
      </w:pPr>
      <w:r>
        <w:t xml:space="preserve">This project is organized in a modular and reproducible structure, separating raw data, processing scripts, analysis outputs, and final products. Below is a guide to the directory structure and instructions to reproduce all results.</w:t>
      </w:r>
    </w:p>
    <w:bookmarkEnd w:id="21"/>
    <w:bookmarkStart w:id="23" w:name="directory-structure-overview"/>
    <w:p>
      <w:pPr>
        <w:pStyle w:val="Heading1"/>
      </w:pPr>
      <w:r>
        <w:t xml:space="preserve">3. Directory Structure Overview</w:t>
      </w:r>
    </w:p>
    <w:bookmarkStart w:id="22" w:name="directory-structure-overview-1"/>
    <w:p>
      <w:pPr>
        <w:pStyle w:val="Heading3"/>
      </w:pPr>
      <w:r>
        <w:t xml:space="preserve">3.0.1 📁 Directory Structure Overview</w:t>
      </w:r>
    </w:p>
    <w:p>
      <w:pPr>
        <w:pStyle w:val="SourceCode"/>
      </w:pPr>
      <w:r>
        <w:rPr>
          <w:rStyle w:val="VerbatimChar"/>
        </w:rPr>
        <w:t xml:space="preserve">ZUBER-MADA-project/</w:t>
      </w:r>
      <w:r>
        <w:br/>
      </w:r>
      <w:r>
        <w:rPr>
          <w:rStyle w:val="VerbatimChar"/>
        </w:rPr>
        <w:t xml:space="preserve">├── data/</w:t>
      </w:r>
      <w:r>
        <w:br/>
      </w:r>
      <w:r>
        <w:rPr>
          <w:rStyle w:val="VerbatimChar"/>
        </w:rPr>
        <w:t xml:space="preserve">│   ├── raw-data/           # Original input datasets (raw files)</w:t>
      </w:r>
      <w:r>
        <w:br/>
      </w:r>
      <w:r>
        <w:rPr>
          <w:rStyle w:val="VerbatimChar"/>
        </w:rPr>
        <w:t xml:space="preserve">│   └── processed-data/     # Cleaned and transformed datasets</w:t>
      </w:r>
      <w:r>
        <w:br/>
      </w:r>
      <w:r>
        <w:rPr>
          <w:rStyle w:val="VerbatimChar"/>
        </w:rPr>
        <w:t xml:space="preserve">│</w:t>
      </w:r>
      <w:r>
        <w:br/>
      </w:r>
      <w:r>
        <w:rPr>
          <w:rStyle w:val="VerbatimChar"/>
        </w:rPr>
        <w:t xml:space="preserve">├── code/</w:t>
      </w:r>
      <w:r>
        <w:br/>
      </w:r>
      <w:r>
        <w:rPr>
          <w:rStyle w:val="VerbatimChar"/>
        </w:rPr>
        <w:t xml:space="preserve">│   ├── processing-code/    # Data cleaning scripts</w:t>
      </w:r>
      <w:r>
        <w:br/>
      </w:r>
      <w:r>
        <w:rPr>
          <w:rStyle w:val="VerbatimChar"/>
        </w:rPr>
        <w:t xml:space="preserve">│   ├── eda-code/           # Exploratory data analysis scripts</w:t>
      </w:r>
      <w:r>
        <w:br/>
      </w:r>
      <w:r>
        <w:rPr>
          <w:rStyle w:val="VerbatimChar"/>
        </w:rPr>
        <w:t xml:space="preserve">│   └── analysis-code/      # Statistical modeling and prediction</w:t>
      </w:r>
      <w:r>
        <w:br/>
      </w:r>
      <w:r>
        <w:rPr>
          <w:rStyle w:val="VerbatimChar"/>
        </w:rPr>
        <w:t xml:space="preserve">│</w:t>
      </w:r>
      <w:r>
        <w:br/>
      </w:r>
      <w:r>
        <w:rPr>
          <w:rStyle w:val="VerbatimChar"/>
        </w:rPr>
        <w:t xml:space="preserve">├── results/</w:t>
      </w:r>
      <w:r>
        <w:br/>
      </w:r>
      <w:r>
        <w:rPr>
          <w:rStyle w:val="VerbatimChar"/>
        </w:rPr>
        <w:t xml:space="preserve">│   ├── edatables/          # Exploratory summary tables</w:t>
      </w:r>
      <w:r>
        <w:br/>
      </w:r>
      <w:r>
        <w:rPr>
          <w:rStyle w:val="VerbatimChar"/>
        </w:rPr>
        <w:t xml:space="preserve">│   ├── edafigures/         # Exploratory plots</w:t>
      </w:r>
      <w:r>
        <w:br/>
      </w:r>
      <w:r>
        <w:rPr>
          <w:rStyle w:val="VerbatimChar"/>
        </w:rPr>
        <w:t xml:space="preserve">│   ├── tables/             # Model results tables</w:t>
      </w:r>
      <w:r>
        <w:br/>
      </w:r>
      <w:r>
        <w:rPr>
          <w:rStyle w:val="VerbatimChar"/>
        </w:rPr>
        <w:t xml:space="preserve">│   ├── figures/            # Model-related figures</w:t>
      </w:r>
      <w:r>
        <w:br/>
      </w:r>
      <w:r>
        <w:rPr>
          <w:rStyle w:val="VerbatimChar"/>
        </w:rPr>
        <w:t xml:space="preserve">│   └── output/             # Rendered final outputs (PDF/HTML)</w:t>
      </w:r>
      <w:r>
        <w:br/>
      </w:r>
      <w:r>
        <w:rPr>
          <w:rStyle w:val="VerbatimChar"/>
        </w:rPr>
        <w:t xml:space="preserve">│</w:t>
      </w:r>
      <w:r>
        <w:br/>
      </w:r>
      <w:r>
        <w:rPr>
          <w:rStyle w:val="VerbatimChar"/>
        </w:rPr>
        <w:t xml:space="preserve">├── products/</w:t>
      </w:r>
      <w:r>
        <w:br/>
      </w:r>
      <w:r>
        <w:rPr>
          <w:rStyle w:val="VerbatimChar"/>
        </w:rPr>
        <w:t xml:space="preserve">│   ├── manuscript/         # Manuscript and supplementary files</w:t>
      </w:r>
      <w:r>
        <w:br/>
      </w:r>
      <w:r>
        <w:rPr>
          <w:rStyle w:val="VerbatimChar"/>
        </w:rPr>
        <w:t xml:space="preserve">│   ├── poster/             # Poster material (if applicable)</w:t>
      </w:r>
      <w:r>
        <w:br/>
      </w:r>
      <w:r>
        <w:rPr>
          <w:rStyle w:val="VerbatimChar"/>
        </w:rPr>
        <w:t xml:space="preserve">│   └── slides/             # Presentation slides (if applicable)</w:t>
      </w:r>
      <w:r>
        <w:br/>
      </w:r>
      <w:r>
        <w:rPr>
          <w:rStyle w:val="VerbatimChar"/>
        </w:rPr>
        <w:t xml:space="preserve">│</w:t>
      </w:r>
      <w:r>
        <w:br/>
      </w:r>
      <w:r>
        <w:rPr>
          <w:rStyle w:val="VerbatimChar"/>
        </w:rPr>
        <w:t xml:space="preserve">├── assets/                 # Bibliography and citation style files</w:t>
      </w:r>
      <w:r>
        <w:br/>
      </w:r>
      <w:r>
        <w:rPr>
          <w:rStyle w:val="VerbatimChar"/>
        </w:rPr>
        <w:t xml:space="preserve">└── README.md               # Project overview and general usage instructions</w:t>
      </w:r>
    </w:p>
    <w:p>
      <w:r>
        <w:br w:type="page"/>
      </w:r>
    </w:p>
    <w:bookmarkEnd w:id="22"/>
    <w:bookmarkEnd w:id="23"/>
    <w:bookmarkStart w:id="45" w:name="additional-result"/>
    <w:p>
      <w:pPr>
        <w:pStyle w:val="Heading1"/>
      </w:pPr>
      <w:r>
        <w:t xml:space="preserve">4. Additional result</w:t>
      </w:r>
    </w:p>
    <w:bookmarkStart w:id="25" w:name="exploratory-analysisrace-distribution"/>
    <w:p>
      <w:pPr>
        <w:pStyle w:val="Heading2"/>
      </w:pPr>
      <w:r>
        <w:t xml:space="preserve">4.1 Exploratory Analysis:Race Distribution</w:t>
      </w:r>
    </w:p>
    <w:p>
      <w:pPr>
        <w:pStyle w:val="FirstParagraph"/>
      </w:pPr>
      <w:r>
        <w:t xml:space="preserve">As part of the descriptive exploration of the dataset, we examined the distribution of patients by race. The majority of patients in the cohort identified as White, followed by Black, Asian or Pacific Islander, American Indian/Alaska Native, and a small proportion with unknown race information.</w:t>
      </w:r>
      <w:r>
        <w:t xml:space="preserve"> </w:t>
      </w:r>
      <w:hyperlink w:anchor="tbl-race-summary">
        <w:r>
          <w:rPr>
            <w:rStyle w:val="Hyperlink"/>
          </w:rPr>
          <w:t xml:space="preserve">Table 1</w:t>
        </w:r>
      </w:hyperlink>
      <w:r>
        <w:t xml:space="preserve">. Frequency distribution of patients across racial categories.</w:t>
      </w:r>
    </w:p>
    <w:tbl>
      <w:tblPr>
        <w:tblStyle w:val="Table"/>
        <w:tblW w:type="pct" w:w="5000"/>
        <w:tblLayout w:type="fixed"/>
        <w:tblLook w:firstRow="0" w:lastRow="0" w:firstColumn="0" w:lastColumn="0" w:noHBand="0" w:noVBand="0" w:val="0000"/>
      </w:tblPr>
      <w:tblGrid>
        <w:gridCol w:w="7920"/>
      </w:tblGrid>
      <w:tr>
        <w:tc>
          <w:tcPr/>
          <w:bookmarkStart w:id="24" w:name="tbl-race-summary"/>
          <w:p>
            <w:pPr>
              <w:jc w:val="center"/>
            </w:pPr>
            <w:pPr>
              <w:jc w:val="start"/>
              <w:spacing w:before="200"/>
              <w:pStyle w:val="ImageCaption"/>
            </w:pPr>
            <w:r>
              <w:t xml:space="preserve">Table 1: Distribution of patients by race in the analytic cohort.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race</w:t>
                  </w:r>
                </w:p>
              </w:tc>
              <w:tc>
                <w:tcPr/>
                <w:p>
                  <w:pPr>
                    <w:pStyle w:val="Compact"/>
                    <w:jc w:val="right"/>
                    <w:jc w:val="center"/>
                  </w:pPr>
                  <w:r>
                    <w:t xml:space="preserve">Count</w:t>
                  </w:r>
                </w:p>
              </w:tc>
            </w:tr>
            <w:tr>
              <w:tc>
                <w:tcPr/>
                <w:p>
                  <w:pPr>
                    <w:pStyle w:val="Compact"/>
                    <w:jc w:val="left"/>
                    <w:jc w:val="center"/>
                  </w:pPr>
                  <w:r>
                    <w:t xml:space="preserve">American Indian/Alaska Native</w:t>
                  </w:r>
                </w:p>
              </w:tc>
              <w:tc>
                <w:tcPr/>
                <w:p>
                  <w:pPr>
                    <w:pStyle w:val="Compact"/>
                    <w:jc w:val="right"/>
                    <w:jc w:val="center"/>
                  </w:pPr>
                  <w:r>
                    <w:t xml:space="preserve">38</w:t>
                  </w:r>
                </w:p>
              </w:tc>
            </w:tr>
            <w:tr>
              <w:tc>
                <w:tcPr/>
                <w:p>
                  <w:pPr>
                    <w:pStyle w:val="Compact"/>
                    <w:jc w:val="left"/>
                    <w:jc w:val="center"/>
                  </w:pPr>
                  <w:r>
                    <w:t xml:space="preserve">Asian or Pacific Islander</w:t>
                  </w:r>
                </w:p>
              </w:tc>
              <w:tc>
                <w:tcPr/>
                <w:p>
                  <w:pPr>
                    <w:pStyle w:val="Compact"/>
                    <w:jc w:val="right"/>
                    <w:jc w:val="center"/>
                  </w:pPr>
                  <w:r>
                    <w:t xml:space="preserve">506</w:t>
                  </w:r>
                </w:p>
              </w:tc>
            </w:tr>
            <w:tr>
              <w:tc>
                <w:tcPr/>
                <w:p>
                  <w:pPr>
                    <w:pStyle w:val="Compact"/>
                    <w:jc w:val="left"/>
                    <w:jc w:val="center"/>
                  </w:pPr>
                  <w:r>
                    <w:t xml:space="preserve">Black</w:t>
                  </w:r>
                </w:p>
              </w:tc>
              <w:tc>
                <w:tcPr/>
                <w:p>
                  <w:pPr>
                    <w:pStyle w:val="Compact"/>
                    <w:jc w:val="right"/>
                    <w:jc w:val="center"/>
                  </w:pPr>
                  <w:r>
                    <w:t xml:space="preserve">1028</w:t>
                  </w:r>
                </w:p>
              </w:tc>
            </w:tr>
            <w:tr>
              <w:tc>
                <w:tcPr/>
                <w:p>
                  <w:pPr>
                    <w:pStyle w:val="Compact"/>
                    <w:jc w:val="left"/>
                    <w:jc w:val="center"/>
                  </w:pPr>
                  <w:r>
                    <w:t xml:space="preserve">Unknown</w:t>
                  </w:r>
                </w:p>
              </w:tc>
              <w:tc>
                <w:tcPr/>
                <w:p>
                  <w:pPr>
                    <w:pStyle w:val="Compact"/>
                    <w:jc w:val="right"/>
                    <w:jc w:val="center"/>
                  </w:pPr>
                  <w:r>
                    <w:t xml:space="preserve">12</w:t>
                  </w:r>
                </w:p>
              </w:tc>
            </w:tr>
            <w:tr>
              <w:tc>
                <w:tcPr/>
                <w:p>
                  <w:pPr>
                    <w:pStyle w:val="Compact"/>
                    <w:jc w:val="left"/>
                    <w:jc w:val="center"/>
                  </w:pPr>
                  <w:r>
                    <w:t xml:space="preserve">White</w:t>
                  </w:r>
                </w:p>
              </w:tc>
              <w:tc>
                <w:tcPr/>
                <w:p>
                  <w:pPr>
                    <w:pStyle w:val="Compact"/>
                    <w:jc w:val="right"/>
                    <w:jc w:val="center"/>
                  </w:pPr>
                  <w:r>
                    <w:t xml:space="preserve">4124</w:t>
                  </w:r>
                </w:p>
              </w:tc>
            </w:tr>
          </w:tbl>
          <w:bookmarkEnd w:id="24"/>
          <w:p/>
        </w:tc>
      </w:tr>
    </w:tbl>
    <w:bookmarkEnd w:id="25"/>
    <w:bookmarkStart w:id="31" w:name="exploratory-summary-year-of-diagnosis"/>
    <w:p>
      <w:pPr>
        <w:pStyle w:val="Heading2"/>
      </w:pPr>
      <w:r>
        <w:t xml:space="preserve">4.2 Exploratory Summary: Year of Diagnosis</w:t>
      </w:r>
    </w:p>
    <w:p>
      <w:pPr>
        <w:pStyle w:val="FirstParagraph"/>
      </w:pPr>
      <w:r>
        <w:t xml:space="preserve">We also summarized the distribution of patients by year of cancer diagnosis to understand the temporal spread of the study cohort. This information helps contextualize potential changes in treatment patterns, diagnostic advancements, or survival outcomes over time.</w:t>
      </w:r>
      <w:r>
        <w:t xml:space="preserve"> </w:t>
      </w:r>
      <w:hyperlink w:anchor="tbl-year-summary">
        <w:r>
          <w:rPr>
            <w:rStyle w:val="Hyperlink"/>
          </w:rPr>
          <w:t xml:space="preserve">Table 2</w:t>
        </w:r>
      </w:hyperlink>
      <w:r>
        <w:t xml:space="preserve">. Frequency distribution of patients by year of diagnosis.</w:t>
      </w:r>
    </w:p>
    <w:tbl>
      <w:tblPr>
        <w:tblStyle w:val="Table"/>
        <w:tblW w:type="pct" w:w="5000"/>
        <w:tblLayout w:type="fixed"/>
        <w:tblLook w:firstRow="0" w:lastRow="0" w:firstColumn="0" w:lastColumn="0" w:noHBand="0" w:noVBand="0" w:val="0000"/>
      </w:tblPr>
      <w:tblGrid>
        <w:gridCol w:w="7920"/>
      </w:tblGrid>
      <w:tr>
        <w:tc>
          <w:tcPr/>
          <w:bookmarkStart w:id="26" w:name="tbl-year-summary"/>
          <w:p>
            <w:pPr>
              <w:jc w:val="center"/>
            </w:pPr>
            <w:pPr>
              <w:jc w:val="start"/>
              <w:spacing w:before="200"/>
              <w:pStyle w:val="ImageCaption"/>
            </w:pPr>
            <w:r>
              <w:t xml:space="preserve">Table 2: Distribution of patients by year of diagnosis.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diagnosis_year</w:t>
                  </w:r>
                </w:p>
              </w:tc>
              <w:tc>
                <w:tcPr/>
                <w:p>
                  <w:pPr>
                    <w:pStyle w:val="Compact"/>
                    <w:jc w:val="right"/>
                    <w:jc w:val="center"/>
                  </w:pPr>
                  <w:r>
                    <w:t xml:space="preserve">Count</w:t>
                  </w:r>
                </w:p>
              </w:tc>
            </w:tr>
            <w:tr>
              <w:tc>
                <w:tcPr/>
                <w:p>
                  <w:pPr>
                    <w:pStyle w:val="Compact"/>
                    <w:jc w:val="left"/>
                    <w:jc w:val="center"/>
                  </w:pPr>
                  <w:r>
                    <w:t xml:space="preserve">2010</w:t>
                  </w:r>
                </w:p>
              </w:tc>
              <w:tc>
                <w:tcPr/>
                <w:p>
                  <w:pPr>
                    <w:pStyle w:val="Compact"/>
                    <w:jc w:val="right"/>
                    <w:jc w:val="center"/>
                  </w:pPr>
                  <w:r>
                    <w:t xml:space="preserve">821</w:t>
                  </w:r>
                </w:p>
              </w:tc>
            </w:tr>
            <w:tr>
              <w:tc>
                <w:tcPr/>
                <w:p>
                  <w:pPr>
                    <w:pStyle w:val="Compact"/>
                    <w:jc w:val="left"/>
                    <w:jc w:val="center"/>
                  </w:pPr>
                  <w:r>
                    <w:t xml:space="preserve">2011</w:t>
                  </w:r>
                </w:p>
              </w:tc>
              <w:tc>
                <w:tcPr/>
                <w:p>
                  <w:pPr>
                    <w:pStyle w:val="Compact"/>
                    <w:jc w:val="right"/>
                    <w:jc w:val="center"/>
                  </w:pPr>
                  <w:r>
                    <w:t xml:space="preserve">889</w:t>
                  </w:r>
                </w:p>
              </w:tc>
            </w:tr>
            <w:tr>
              <w:tc>
                <w:tcPr/>
                <w:p>
                  <w:pPr>
                    <w:pStyle w:val="Compact"/>
                    <w:jc w:val="left"/>
                    <w:jc w:val="center"/>
                  </w:pPr>
                  <w:r>
                    <w:t xml:space="preserve">2012</w:t>
                  </w:r>
                </w:p>
              </w:tc>
              <w:tc>
                <w:tcPr/>
                <w:p>
                  <w:pPr>
                    <w:pStyle w:val="Compact"/>
                    <w:jc w:val="right"/>
                    <w:jc w:val="center"/>
                  </w:pPr>
                  <w:r>
                    <w:t xml:space="preserve">960</w:t>
                  </w:r>
                </w:p>
              </w:tc>
            </w:tr>
            <w:tr>
              <w:tc>
                <w:tcPr/>
                <w:p>
                  <w:pPr>
                    <w:pStyle w:val="Compact"/>
                    <w:jc w:val="left"/>
                    <w:jc w:val="center"/>
                  </w:pPr>
                  <w:r>
                    <w:t xml:space="preserve">2013</w:t>
                  </w:r>
                </w:p>
              </w:tc>
              <w:tc>
                <w:tcPr/>
                <w:p>
                  <w:pPr>
                    <w:pStyle w:val="Compact"/>
                    <w:jc w:val="right"/>
                    <w:jc w:val="center"/>
                  </w:pPr>
                  <w:r>
                    <w:t xml:space="preserve">972</w:t>
                  </w:r>
                </w:p>
              </w:tc>
            </w:tr>
            <w:tr>
              <w:tc>
                <w:tcPr/>
                <w:p>
                  <w:pPr>
                    <w:pStyle w:val="Compact"/>
                    <w:jc w:val="left"/>
                    <w:jc w:val="center"/>
                  </w:pPr>
                  <w:r>
                    <w:t xml:space="preserve">2014</w:t>
                  </w:r>
                </w:p>
              </w:tc>
              <w:tc>
                <w:tcPr/>
                <w:p>
                  <w:pPr>
                    <w:pStyle w:val="Compact"/>
                    <w:jc w:val="right"/>
                    <w:jc w:val="center"/>
                  </w:pPr>
                  <w:r>
                    <w:t xml:space="preserve">962</w:t>
                  </w:r>
                </w:p>
              </w:tc>
            </w:tr>
            <w:tr>
              <w:tc>
                <w:tcPr/>
                <w:p>
                  <w:pPr>
                    <w:pStyle w:val="Compact"/>
                    <w:jc w:val="left"/>
                    <w:jc w:val="center"/>
                  </w:pPr>
                  <w:r>
                    <w:t xml:space="preserve">2015</w:t>
                  </w:r>
                </w:p>
              </w:tc>
              <w:tc>
                <w:tcPr/>
                <w:p>
                  <w:pPr>
                    <w:pStyle w:val="Compact"/>
                    <w:jc w:val="right"/>
                    <w:jc w:val="center"/>
                  </w:pPr>
                  <w:r>
                    <w:t xml:space="preserve">1104</w:t>
                  </w:r>
                </w:p>
              </w:tc>
            </w:tr>
          </w:tbl>
          <w:bookmarkEnd w:id="26"/>
          <w:p/>
        </w:tc>
      </w:tr>
    </w:tbl>
    <w:p>
      <w:pPr>
        <w:pStyle w:val="Compact"/>
        <w:numPr>
          <w:ilvl w:val="0"/>
          <w:numId w:val="1001"/>
        </w:numPr>
      </w:pPr>
      <w:r>
        <w:t xml:space="preserve">Bar plot displaying the distribution of patients by year of diagnosis. The figure shows a relatively even spread across the years, with some fluctuations that may reflect data entry trends or cohort recruitment variability.</w:t>
      </w:r>
    </w:p>
    <w:tbl>
      <w:tblPr>
        <w:tblStyle w:val="Table"/>
        <w:tblW w:type="pct" w:w="5000"/>
        <w:tblLayout w:type="fixed"/>
        <w:tblLook w:firstRow="0" w:lastRow="0" w:firstColumn="0" w:lastColumn="0" w:noHBand="0" w:noVBand="0" w:val="0000"/>
      </w:tblPr>
      <w:tblGrid>
        <w:gridCol w:w="7920"/>
      </w:tblGrid>
      <w:tr>
        <w:tc>
          <w:tcPr/>
          <w:bookmarkStart w:id="30" w:name="fig-year-diagnosis"/>
          <w:p>
            <w:pPr>
              <w:pStyle w:val="Compact"/>
              <w:jc w:val="center"/>
            </w:pPr>
            <w:r>
              <w:drawing>
                <wp:inline>
                  <wp:extent cx="5334000" cy="3292592"/>
                  <wp:effectExtent b="0" l="0" r="0" t="0"/>
                  <wp:docPr descr="" title="" id="28" name="Picture"/>
                  <a:graphic>
                    <a:graphicData uri="http://schemas.openxmlformats.org/drawingml/2006/picture">
                      <pic:pic>
                        <pic:nvPicPr>
                          <pic:cNvPr descr="../../../results/edafigures/edayear.png" id="29" name="Picture"/>
                          <pic:cNvPicPr>
                            <a:picLocks noChangeArrowheads="1" noChangeAspect="1"/>
                          </pic:cNvPicPr>
                        </pic:nvPicPr>
                        <pic:blipFill>
                          <a:blip r:embed="rId27"/>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Bar plot showing the distribution of patients by year of diagnosis.</w:t>
            </w:r>
          </w:p>
          <w:bookmarkEnd w:id="30"/>
        </w:tc>
      </w:tr>
    </w:tbl>
    <w:bookmarkEnd w:id="31"/>
    <w:bookmarkStart w:id="33" w:name="X58aadd228c7d2894519859ba2448a9e57b1b1ef"/>
    <w:p>
      <w:pPr>
        <w:pStyle w:val="Heading2"/>
      </w:pPr>
      <w:r>
        <w:t xml:space="preserve">4.3 Exploratory Summary: Cause-Specific Death Classification</w:t>
      </w:r>
    </w:p>
    <w:p>
      <w:pPr>
        <w:pStyle w:val="FirstParagraph"/>
      </w:pPr>
      <w:r>
        <w:t xml:space="preserve">We summarized the distribution of outcomes according to the SEER cause-specific death classification. The majority of patients in the dataset (77.5%) were classified as having died due to the primary cancer diagnosis, while 22.5% were either alive or had died from other causes. This outcome classification was used as the primary event definition in survival models throughout the analysis.</w:t>
      </w:r>
    </w:p>
    <w:p>
      <w:pPr>
        <w:pStyle w:val="Compact"/>
        <w:numPr>
          <w:ilvl w:val="0"/>
          <w:numId w:val="1001"/>
        </w:numPr>
      </w:pPr>
      <w:r>
        <w:t xml:space="preserve">Distribution of patients by cause-specific death classification.</w:t>
      </w:r>
    </w:p>
    <w:tbl>
      <w:tblPr>
        <w:tblStyle w:val="Table"/>
        <w:tblW w:type="pct" w:w="5000"/>
        <w:tblLayout w:type="fixed"/>
        <w:tblLook w:firstRow="0" w:lastRow="0" w:firstColumn="0" w:lastColumn="0" w:noHBand="0" w:noVBand="0" w:val="0000"/>
      </w:tblPr>
      <w:tblGrid>
        <w:gridCol w:w="7920"/>
      </w:tblGrid>
      <w:tr>
        <w:tc>
          <w:tcPr/>
          <w:bookmarkStart w:id="32" w:name="tbl-cause-death"/>
          <w:p>
            <w:pPr>
              <w:jc w:val="center"/>
            </w:pPr>
            <w:pPr>
              <w:jc w:val="start"/>
              <w:spacing w:before="200"/>
              <w:pStyle w:val="ImageCaption"/>
            </w:pPr>
            <w:r>
              <w:t xml:space="preserve">Table 3: Cause-specific death classification among patients in the cohort.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cause_specific_death</w:t>
                  </w:r>
                </w:p>
              </w:tc>
              <w:tc>
                <w:tcPr/>
                <w:p>
                  <w:pPr>
                    <w:pStyle w:val="Compact"/>
                    <w:jc w:val="right"/>
                    <w:jc w:val="center"/>
                  </w:pPr>
                  <w:r>
                    <w:t xml:space="preserve">Count</w:t>
                  </w:r>
                </w:p>
              </w:tc>
              <w:tc>
                <w:tcPr/>
                <w:p>
                  <w:pPr>
                    <w:pStyle w:val="Compact"/>
                    <w:jc w:val="right"/>
                    <w:jc w:val="center"/>
                  </w:pPr>
                  <w:r>
                    <w:t xml:space="preserve">Percentage</w:t>
                  </w:r>
                </w:p>
              </w:tc>
            </w:tr>
            <w:tr>
              <w:tc>
                <w:tcPr/>
                <w:p>
                  <w:pPr>
                    <w:pStyle w:val="Compact"/>
                    <w:jc w:val="left"/>
                    <w:jc w:val="center"/>
                  </w:pPr>
                  <w:r>
                    <w:t xml:space="preserve">Alive or dead of other cause</w:t>
                  </w:r>
                </w:p>
              </w:tc>
              <w:tc>
                <w:tcPr/>
                <w:p>
                  <w:pPr>
                    <w:pStyle w:val="Compact"/>
                    <w:jc w:val="right"/>
                    <w:jc w:val="center"/>
                  </w:pPr>
                  <w:r>
                    <w:t xml:space="preserve">1287</w:t>
                  </w:r>
                </w:p>
              </w:tc>
              <w:tc>
                <w:tcPr/>
                <w:p>
                  <w:pPr>
                    <w:pStyle w:val="Compact"/>
                    <w:jc w:val="right"/>
                    <w:jc w:val="center"/>
                  </w:pPr>
                  <w:r>
                    <w:t xml:space="preserve">22.5</w:t>
                  </w:r>
                </w:p>
              </w:tc>
            </w:tr>
            <w:tr>
              <w:tc>
                <w:tcPr/>
                <w:p>
                  <w:pPr>
                    <w:pStyle w:val="Compact"/>
                    <w:jc w:val="left"/>
                    <w:jc w:val="center"/>
                  </w:pPr>
                  <w:r>
                    <w:t xml:space="preserve">Dead (attributable to this cancer dx)</w:t>
                  </w:r>
                </w:p>
              </w:tc>
              <w:tc>
                <w:tcPr/>
                <w:p>
                  <w:pPr>
                    <w:pStyle w:val="Compact"/>
                    <w:jc w:val="right"/>
                    <w:jc w:val="center"/>
                  </w:pPr>
                  <w:r>
                    <w:t xml:space="preserve">4421</w:t>
                  </w:r>
                </w:p>
              </w:tc>
              <w:tc>
                <w:tcPr/>
                <w:p>
                  <w:pPr>
                    <w:pStyle w:val="Compact"/>
                    <w:jc w:val="right"/>
                    <w:jc w:val="center"/>
                  </w:pPr>
                  <w:r>
                    <w:t xml:space="preserve">77.5</w:t>
                  </w:r>
                </w:p>
              </w:tc>
            </w:tr>
          </w:tbl>
          <w:bookmarkEnd w:id="32"/>
          <w:p/>
        </w:tc>
      </w:tr>
    </w:tbl>
    <w:bookmarkEnd w:id="33"/>
    <w:bookmarkStart w:id="35" w:name="univariate-analysis"/>
    <w:p>
      <w:pPr>
        <w:pStyle w:val="Heading2"/>
      </w:pPr>
      <w:r>
        <w:t xml:space="preserve">4.4 Univariate Analysis</w:t>
      </w:r>
    </w:p>
    <w:p>
      <w:pPr>
        <w:pStyle w:val="FirstParagraph"/>
      </w:pPr>
      <w:r>
        <w:t xml:space="preserve">To evaluate whether survival outcomes varied over time, we conducted a bivariate Cox proportional hazards analysis using year of diagnosis as the predictor. The year 2010 was used as the reference category. Hazard ratios (HRs) for each subsequent year (2011 to 2015) were calculated to assess whether patients diagnosed in later years had different risks of death compared to those diagnosed in 2010. As shown in</w:t>
      </w:r>
      <w:r>
        <w:t xml:space="preserve"> </w:t>
      </w:r>
      <w:hyperlink w:anchor="tbl-year-diagnosis">
        <w:r>
          <w:rPr>
            <w:rStyle w:val="Hyperlink"/>
          </w:rPr>
          <w:t xml:space="preserve">Table 4</w:t>
        </w:r>
      </w:hyperlink>
      <w:r>
        <w:t xml:space="preserve">, all HRs were close to 1, and none of the comparisons reached statistical significance (all p &gt; 0.05), indicating that there was no significant year-to-year variation in survival over the study period. These findings suggest a relative consistency in survival outcomes for patients diagnosed between 2010 and 2015 within this dataset.</w:t>
      </w:r>
    </w:p>
    <w:tbl>
      <w:tblPr>
        <w:tblStyle w:val="Table"/>
        <w:tblW w:type="pct" w:w="5000"/>
        <w:tblLayout w:type="fixed"/>
        <w:tblLook w:firstRow="0" w:lastRow="0" w:firstColumn="0" w:lastColumn="0" w:noHBand="0" w:noVBand="0" w:val="0000"/>
      </w:tblPr>
      <w:tblGrid>
        <w:gridCol w:w="7920"/>
      </w:tblGrid>
      <w:tr>
        <w:tc>
          <w:tcPr/>
          <w:bookmarkStart w:id="34" w:name="tbl-year-diagnosis"/>
          <w:p>
            <w:pPr>
              <w:jc w:val="center"/>
            </w:pPr>
            <w:pPr>
              <w:jc w:val="start"/>
              <w:spacing w:before="200"/>
              <w:pStyle w:val="ImageCaption"/>
            </w:pPr>
            <w:r>
              <w:t xml:space="preserve">Table 4: Hazard ratios from Cox regression evaluating year of diagnosis and survival.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diagnosis_year2011 vs. 2010</w:t>
                  </w:r>
                </w:p>
              </w:tc>
              <w:tc>
                <w:tcPr/>
                <w:p>
                  <w:pPr>
                    <w:pStyle w:val="Compact"/>
                    <w:jc w:val="right"/>
                    <w:jc w:val="center"/>
                  </w:pPr>
                  <w:r>
                    <w:t xml:space="preserve">0.981</w:t>
                  </w:r>
                </w:p>
              </w:tc>
              <w:tc>
                <w:tcPr/>
                <w:p>
                  <w:pPr>
                    <w:pStyle w:val="Compact"/>
                    <w:jc w:val="right"/>
                    <w:jc w:val="center"/>
                  </w:pPr>
                  <w:r>
                    <w:t xml:space="preserve">0.054</w:t>
                  </w:r>
                </w:p>
              </w:tc>
              <w:tc>
                <w:tcPr/>
                <w:p>
                  <w:pPr>
                    <w:pStyle w:val="Compact"/>
                    <w:jc w:val="right"/>
                    <w:jc w:val="center"/>
                  </w:pPr>
                  <w:r>
                    <w:t xml:space="preserve">-0.368</w:t>
                  </w:r>
                </w:p>
              </w:tc>
              <w:tc>
                <w:tcPr/>
                <w:p>
                  <w:pPr>
                    <w:pStyle w:val="Compact"/>
                    <w:jc w:val="right"/>
                    <w:jc w:val="center"/>
                  </w:pPr>
                  <w:r>
                    <w:t xml:space="preserve">0.713</w:t>
                  </w:r>
                </w:p>
              </w:tc>
            </w:tr>
            <w:tr>
              <w:tc>
                <w:tcPr/>
                <w:p>
                  <w:pPr>
                    <w:pStyle w:val="Compact"/>
                    <w:jc w:val="left"/>
                    <w:jc w:val="center"/>
                  </w:pPr>
                  <w:r>
                    <w:t xml:space="preserve">diagnosis_year2012 vs. 2010</w:t>
                  </w:r>
                </w:p>
              </w:tc>
              <w:tc>
                <w:tcPr/>
                <w:p>
                  <w:pPr>
                    <w:pStyle w:val="Compact"/>
                    <w:jc w:val="right"/>
                    <w:jc w:val="center"/>
                  </w:pPr>
                  <w:r>
                    <w:t xml:space="preserve">0.984</w:t>
                  </w:r>
                </w:p>
              </w:tc>
              <w:tc>
                <w:tcPr/>
                <w:p>
                  <w:pPr>
                    <w:pStyle w:val="Compact"/>
                    <w:jc w:val="right"/>
                    <w:jc w:val="center"/>
                  </w:pPr>
                  <w:r>
                    <w:t xml:space="preserve">0.052</w:t>
                  </w:r>
                </w:p>
              </w:tc>
              <w:tc>
                <w:tcPr/>
                <w:p>
                  <w:pPr>
                    <w:pStyle w:val="Compact"/>
                    <w:jc w:val="right"/>
                    <w:jc w:val="center"/>
                  </w:pPr>
                  <w:r>
                    <w:t xml:space="preserve">-0.316</w:t>
                  </w:r>
                </w:p>
              </w:tc>
              <w:tc>
                <w:tcPr/>
                <w:p>
                  <w:pPr>
                    <w:pStyle w:val="Compact"/>
                    <w:jc w:val="right"/>
                    <w:jc w:val="center"/>
                  </w:pPr>
                  <w:r>
                    <w:t xml:space="preserve">0.752</w:t>
                  </w:r>
                </w:p>
              </w:tc>
            </w:tr>
            <w:tr>
              <w:tc>
                <w:tcPr/>
                <w:p>
                  <w:pPr>
                    <w:pStyle w:val="Compact"/>
                    <w:jc w:val="left"/>
                    <w:jc w:val="center"/>
                  </w:pPr>
                  <w:r>
                    <w:t xml:space="preserve">diagnosis_year2013 vs. 2010</w:t>
                  </w:r>
                </w:p>
              </w:tc>
              <w:tc>
                <w:tcPr/>
                <w:p>
                  <w:pPr>
                    <w:pStyle w:val="Compact"/>
                    <w:jc w:val="right"/>
                    <w:jc w:val="center"/>
                  </w:pPr>
                  <w:r>
                    <w:t xml:space="preserve">1.000</w:t>
                  </w:r>
                </w:p>
              </w:tc>
              <w:tc>
                <w:tcPr/>
                <w:p>
                  <w:pPr>
                    <w:pStyle w:val="Compact"/>
                    <w:jc w:val="right"/>
                    <w:jc w:val="center"/>
                  </w:pPr>
                  <w:r>
                    <w:t xml:space="preserve">0.053</w:t>
                  </w:r>
                </w:p>
              </w:tc>
              <w:tc>
                <w:tcPr/>
                <w:p>
                  <w:pPr>
                    <w:pStyle w:val="Compact"/>
                    <w:jc w:val="right"/>
                    <w:jc w:val="center"/>
                  </w:pPr>
                  <w:r>
                    <w:t xml:space="preserve">-0.001</w:t>
                  </w:r>
                </w:p>
              </w:tc>
              <w:tc>
                <w:tcPr/>
                <w:p>
                  <w:pPr>
                    <w:pStyle w:val="Compact"/>
                    <w:jc w:val="right"/>
                    <w:jc w:val="center"/>
                  </w:pPr>
                  <w:r>
                    <w:t xml:space="preserve">1.000</w:t>
                  </w:r>
                </w:p>
              </w:tc>
            </w:tr>
            <w:tr>
              <w:tc>
                <w:tcPr/>
                <w:p>
                  <w:pPr>
                    <w:pStyle w:val="Compact"/>
                    <w:jc w:val="left"/>
                    <w:jc w:val="center"/>
                  </w:pPr>
                  <w:r>
                    <w:t xml:space="preserve">diagnosis_year2014 vs. 2010</w:t>
                  </w:r>
                </w:p>
              </w:tc>
              <w:tc>
                <w:tcPr/>
                <w:p>
                  <w:pPr>
                    <w:pStyle w:val="Compact"/>
                    <w:jc w:val="right"/>
                    <w:jc w:val="center"/>
                  </w:pPr>
                  <w:r>
                    <w:t xml:space="preserve">0.978</w:t>
                  </w:r>
                </w:p>
              </w:tc>
              <w:tc>
                <w:tcPr/>
                <w:p>
                  <w:pPr>
                    <w:pStyle w:val="Compact"/>
                    <w:jc w:val="right"/>
                    <w:jc w:val="center"/>
                  </w:pPr>
                  <w:r>
                    <w:t xml:space="preserve">0.053</w:t>
                  </w:r>
                </w:p>
              </w:tc>
              <w:tc>
                <w:tcPr/>
                <w:p>
                  <w:pPr>
                    <w:pStyle w:val="Compact"/>
                    <w:jc w:val="right"/>
                    <w:jc w:val="center"/>
                  </w:pPr>
                  <w:r>
                    <w:t xml:space="preserve">-0.429</w:t>
                  </w:r>
                </w:p>
              </w:tc>
              <w:tc>
                <w:tcPr/>
                <w:p>
                  <w:pPr>
                    <w:pStyle w:val="Compact"/>
                    <w:jc w:val="right"/>
                    <w:jc w:val="center"/>
                  </w:pPr>
                  <w:r>
                    <w:t xml:space="preserve">0.668</w:t>
                  </w:r>
                </w:p>
              </w:tc>
            </w:tr>
            <w:tr>
              <w:tc>
                <w:tcPr/>
                <w:p>
                  <w:pPr>
                    <w:pStyle w:val="Compact"/>
                    <w:jc w:val="left"/>
                    <w:jc w:val="center"/>
                  </w:pPr>
                  <w:r>
                    <w:t xml:space="preserve">diagnosis_year2015 vs. 2010</w:t>
                  </w:r>
                </w:p>
              </w:tc>
              <w:tc>
                <w:tcPr/>
                <w:p>
                  <w:pPr>
                    <w:pStyle w:val="Compact"/>
                    <w:jc w:val="right"/>
                    <w:jc w:val="center"/>
                  </w:pPr>
                  <w:r>
                    <w:t xml:space="preserve">0.982</w:t>
                  </w:r>
                </w:p>
              </w:tc>
              <w:tc>
                <w:tcPr/>
                <w:p>
                  <w:pPr>
                    <w:pStyle w:val="Compact"/>
                    <w:jc w:val="right"/>
                    <w:jc w:val="center"/>
                  </w:pPr>
                  <w:r>
                    <w:t xml:space="preserve">0.052</w:t>
                  </w:r>
                </w:p>
              </w:tc>
              <w:tc>
                <w:tcPr/>
                <w:p>
                  <w:pPr>
                    <w:pStyle w:val="Compact"/>
                    <w:jc w:val="right"/>
                    <w:jc w:val="center"/>
                  </w:pPr>
                  <w:r>
                    <w:t xml:space="preserve">-0.349</w:t>
                  </w:r>
                </w:p>
              </w:tc>
              <w:tc>
                <w:tcPr/>
                <w:p>
                  <w:pPr>
                    <w:pStyle w:val="Compact"/>
                    <w:jc w:val="right"/>
                    <w:jc w:val="center"/>
                  </w:pPr>
                  <w:r>
                    <w:t xml:space="preserve">0.727</w:t>
                  </w:r>
                </w:p>
              </w:tc>
            </w:tr>
          </w:tbl>
          <w:bookmarkEnd w:id="34"/>
          <w:p/>
        </w:tc>
      </w:tr>
    </w:tbl>
    <w:bookmarkEnd w:id="35"/>
    <w:bookmarkStart w:id="42" w:name="X46dadef23cb82ef57f48b1673bfbe825bc7e5d0"/>
    <w:p>
      <w:pPr>
        <w:pStyle w:val="Heading2"/>
      </w:pPr>
      <w:r>
        <w:t xml:space="preserve">4.5 Random Forest Model: Predicting Cause-Specific Death</w:t>
      </w:r>
    </w:p>
    <w:p>
      <w:pPr>
        <w:pStyle w:val="FirstParagraph"/>
      </w:pPr>
      <w:r>
        <w:t xml:space="preserve">We implemented a random forest classifier to predict whether a patient’s death was attributable to cancer using SEER registry variables. The dataset was preprocessed with downsampling to address class imbalance. We used 5-fold cross-validation to tune hyperparameters and selected the best model based on ROC AUC. The model was trained on 80% of the data and evaluated on a held-out 20% test set.</w:t>
      </w:r>
    </w:p>
    <w:p>
      <w:pPr>
        <w:pStyle w:val="BodyText"/>
      </w:pPr>
      <w:r>
        <w:t xml:space="preserve">The top predictors, based on variable importance, included lung and liver metastases, age group, and year of diagnosis.</w:t>
      </w:r>
    </w:p>
    <w:p>
      <w:pPr>
        <w:pStyle w:val="BodyText"/>
      </w:pPr>
      <w:hyperlink w:anchor="fig-vip-rf">
        <w:r>
          <w:rPr>
            <w:rStyle w:val="Hyperlink"/>
          </w:rPr>
          <w:t xml:space="preserve">Figure 2</w:t>
        </w:r>
      </w:hyperlink>
      <w:r>
        <w:t xml:space="preserve"> </w:t>
      </w:r>
      <w:r>
        <w:t xml:space="preserve">.Variable importance plot from the final tuned random forest model. The top 10 predictors are displayed, with mets_lung and mets_liver being the most influential variables for predicting cause-specific death.</w:t>
      </w:r>
    </w:p>
    <w:tbl>
      <w:tblPr>
        <w:tblStyle w:val="Table"/>
        <w:tblW w:type="pct" w:w="5000"/>
        <w:tblLayout w:type="fixed"/>
        <w:tblLook w:firstRow="0" w:lastRow="0" w:firstColumn="0" w:lastColumn="0" w:noHBand="0" w:noVBand="0" w:val="0000"/>
      </w:tblPr>
      <w:tblGrid>
        <w:gridCol w:w="7920"/>
      </w:tblGrid>
      <w:tr>
        <w:tc>
          <w:tcPr/>
          <w:bookmarkStart w:id="39" w:name="fig-vip-rf"/>
          <w:p>
            <w:pPr>
              <w:pStyle w:val="Compact"/>
              <w:jc w:val="center"/>
            </w:pPr>
            <w:r>
              <w:drawing>
                <wp:inline>
                  <wp:extent cx="5334000" cy="4000499"/>
                  <wp:effectExtent b="0" l="0" r="0" t="0"/>
                  <wp:docPr descr="" title="" id="37" name="Picture"/>
                  <a:graphic>
                    <a:graphicData uri="http://schemas.openxmlformats.org/drawingml/2006/picture">
                      <pic:pic>
                        <pic:nvPicPr>
                          <pic:cNvPr descr="../../../results/figures/vip_plot_rf_balanced.png" id="38"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Top 10 most important variables from the random forest model predicting cause-specific death.</w:t>
            </w:r>
          </w:p>
          <w:bookmarkEnd w:id="39"/>
        </w:tc>
      </w:tr>
    </w:tbl>
    <w:p>
      <w:pPr>
        <w:pStyle w:val="Compact"/>
        <w:numPr>
          <w:ilvl w:val="0"/>
          <w:numId w:val="1001"/>
        </w:numPr>
      </w:pPr>
      <w:r>
        <w:t xml:space="preserve">Confusion matrix summarizing the random forest model’s classification performance on the test set. The model shows better performance in identifying cancer-attributable deaths than non-cancer deaths, although overall accuracy was limited.</w:t>
      </w:r>
    </w:p>
    <w:tbl>
      <w:tblPr>
        <w:tblStyle w:val="Table"/>
        <w:tblW w:type="pct" w:w="5000"/>
        <w:tblLayout w:type="fixed"/>
        <w:tblLook w:firstRow="0" w:lastRow="0" w:firstColumn="0" w:lastColumn="0" w:noHBand="0" w:noVBand="0" w:val="0000"/>
      </w:tblPr>
      <w:tblGrid>
        <w:gridCol w:w="7920"/>
      </w:tblGrid>
      <w:tr>
        <w:tc>
          <w:tcPr/>
          <w:bookmarkStart w:id="40" w:name="tbl-rf-cm"/>
          <w:p>
            <w:pPr>
              <w:jc w:val="center"/>
            </w:pPr>
            <w:pPr>
              <w:jc w:val="start"/>
              <w:spacing w:before="200"/>
              <w:pStyle w:val="ImageCaption"/>
            </w:pPr>
            <w:r>
              <w:t xml:space="preserve">Table 5: Confusion matrix from the random forest model on the test set.</w:t>
            </w:r>
          </w:p>
          <w:p>
            <w:pPr>
              <w:pStyle w:val="SourceCode"/>
              <w:jc w:val="center"/>
            </w:pPr>
            <w:r>
              <w:rPr>
                <w:rStyle w:val="VerbatimChar"/>
              </w:rPr>
              <w:t xml:space="preserve">$table</w:t>
            </w:r>
            <w:r>
              <w:br/>
            </w:r>
            <w:r>
              <w:rPr>
                <w:rStyle w:val="VerbatimChar"/>
              </w:rPr>
              <w:t xml:space="preserve">          Truth</w:t>
            </w:r>
            <w:r>
              <w:br/>
            </w:r>
            <w:r>
              <w:rPr>
                <w:rStyle w:val="VerbatimChar"/>
              </w:rPr>
              <w:t xml:space="preserve">Prediction  No Yes</w:t>
            </w:r>
            <w:r>
              <w:br/>
            </w:r>
            <w:r>
              <w:rPr>
                <w:rStyle w:val="VerbatimChar"/>
              </w:rPr>
              <w:t xml:space="preserve">       No  152 385</w:t>
            </w:r>
            <w:r>
              <w:br/>
            </w:r>
            <w:r>
              <w:rPr>
                <w:rStyle w:val="VerbatimChar"/>
              </w:rPr>
              <w:t xml:space="preserve">       Yes  92 447</w:t>
            </w:r>
            <w:r>
              <w:br/>
            </w:r>
            <w:r>
              <w:br/>
            </w:r>
            <w:r>
              <w:rPr>
                <w:rStyle w:val="VerbatimChar"/>
              </w:rPr>
              <w:t xml:space="preserve">attr(,"class")</w:t>
            </w:r>
            <w:r>
              <w:br/>
            </w:r>
            <w:r>
              <w:rPr>
                <w:rStyle w:val="VerbatimChar"/>
              </w:rPr>
              <w:t xml:space="preserve">[1] "conf_mat"</w:t>
            </w:r>
          </w:p>
          <w:bookmarkEnd w:id="40"/>
        </w:tc>
      </w:tr>
    </w:tbl>
    <w:p>
      <w:pPr>
        <w:pStyle w:val="Compact"/>
        <w:numPr>
          <w:ilvl w:val="0"/>
          <w:numId w:val="1001"/>
        </w:numPr>
      </w:pPr>
      <w:r>
        <w:t xml:space="preserve">Area under the receiver operating characteristic curve (ROC AUC) from the random forest model. The model achieved an AUC of approximately 0.39, indicating limited discriminative performance, possibly due to overlapping features and class imbalance.</w:t>
      </w:r>
    </w:p>
    <w:tbl>
      <w:tblPr>
        <w:tblStyle w:val="Table"/>
        <w:tblW w:type="pct" w:w="5000"/>
        <w:tblLayout w:type="fixed"/>
        <w:tblLook w:firstRow="0" w:lastRow="0" w:firstColumn="0" w:lastColumn="0" w:noHBand="0" w:noVBand="0" w:val="0000"/>
      </w:tblPr>
      <w:tblGrid>
        <w:gridCol w:w="7920"/>
      </w:tblGrid>
      <w:tr>
        <w:tc>
          <w:tcPr/>
          <w:bookmarkStart w:id="41" w:name="tbl-rf-auc"/>
          <w:p>
            <w:pPr>
              <w:jc w:val="center"/>
            </w:pPr>
            <w:pPr>
              <w:jc w:val="start"/>
              <w:spacing w:before="200"/>
              <w:pStyle w:val="ImageCaption"/>
            </w:pPr>
            <w:r>
              <w:t xml:space="preserve">Table 6: ROC AUC score of the final random forest model.</w:t>
            </w:r>
          </w:p>
          <w:p>
            <w:pPr>
              <w:pStyle w:val="SourceCode"/>
              <w:jc w:val="center"/>
            </w:pPr>
            <w:r>
              <w:rPr>
                <w:rStyle w:val="VerbatimChar"/>
              </w:rPr>
              <w:t xml:space="preserve">#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1 roc_auc binary         0.394</w:t>
            </w:r>
          </w:p>
          <w:bookmarkEnd w:id="41"/>
        </w:tc>
      </w:tr>
    </w:tbl>
    <w:bookmarkEnd w:id="42"/>
    <w:bookmarkStart w:id="44" w:name="Xe69e45eb7229038f75d71064f3befa942741e9c"/>
    <w:p>
      <w:pPr>
        <w:pStyle w:val="Heading2"/>
      </w:pPr>
      <w:r>
        <w:t xml:space="preserve">4.6 LASSO Cox Regression for Variable Selection.</w:t>
      </w:r>
    </w:p>
    <w:p>
      <w:pPr>
        <w:pStyle w:val="FirstParagraph"/>
      </w:pPr>
      <w:r>
        <w:t xml:space="preserve">To identify the most influential predictors of cancer-specific survival, we applied LASSO (Least Absolute Shrinkage and Selection Operator) penalized Cox regression using the glmnet package. This approach helps in variable selection by shrinking less informative coefficients to zero while retaining strong predictors. We performed 10-fold cross-validation to select the optimal penalty parameter (λ), minimizing the partial likelihood deviance.</w:t>
      </w:r>
    </w:p>
    <w:p>
      <w:pPr>
        <w:pStyle w:val="Compact"/>
        <w:numPr>
          <w:ilvl w:val="0"/>
          <w:numId w:val="1001"/>
        </w:numPr>
      </w:pPr>
      <w:r>
        <w:t xml:space="preserve">Selected variables from the LASSO model using the optimal penalty parameter (λ.min). These are the predictors that remained in the final model with non-zero coefficients.</w:t>
      </w:r>
    </w:p>
    <w:tbl>
      <w:tblPr>
        <w:tblStyle w:val="Table"/>
        <w:tblW w:type="pct" w:w="5000"/>
        <w:tblLayout w:type="fixed"/>
        <w:tblLook w:firstRow="0" w:lastRow="0" w:firstColumn="0" w:lastColumn="0" w:noHBand="0" w:noVBand="0" w:val="0000"/>
      </w:tblPr>
      <w:tblGrid>
        <w:gridCol w:w="7920"/>
      </w:tblGrid>
      <w:tr>
        <w:tc>
          <w:tcPr/>
          <w:bookmarkStart w:id="43" w:name="tbl-lasso-vars"/>
          <w:p>
            <w:pPr>
              <w:jc w:val="center"/>
            </w:pPr>
            <w:pPr>
              <w:jc w:val="start"/>
              <w:spacing w:before="200"/>
              <w:pStyle w:val="ImageCaption"/>
            </w:pPr>
            <w:r>
              <w:t xml:space="preserve">Table 7: Non-zero coefficients from the LASSO Cox regression model.</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variable</w:t>
                  </w:r>
                </w:p>
              </w:tc>
              <w:tc>
                <w:tcPr/>
                <w:p>
                  <w:pPr>
                    <w:pStyle w:val="Compact"/>
                    <w:jc w:val="right"/>
                    <w:jc w:val="center"/>
                  </w:pPr>
                  <w:r>
                    <w:t xml:space="preserve">coefficient</w:t>
                  </w:r>
                </w:p>
              </w:tc>
            </w:tr>
            <w:tr>
              <w:tc>
                <w:tcPr/>
                <w:p>
                  <w:pPr>
                    <w:pStyle w:val="Compact"/>
                    <w:jc w:val="left"/>
                    <w:jc w:val="center"/>
                  </w:pPr>
                  <w:r>
                    <w:t xml:space="preserve">mets_lungYes</w:t>
                  </w:r>
                </w:p>
              </w:tc>
              <w:tc>
                <w:tcPr/>
                <w:p>
                  <w:pPr>
                    <w:pStyle w:val="Compact"/>
                    <w:jc w:val="right"/>
                    <w:jc w:val="center"/>
                  </w:pPr>
                  <w:r>
                    <w:t xml:space="preserve">0.3323</w:t>
                  </w:r>
                </w:p>
              </w:tc>
            </w:tr>
            <w:tr>
              <w:tc>
                <w:tcPr/>
                <w:p>
                  <w:pPr>
                    <w:pStyle w:val="Compact"/>
                    <w:jc w:val="left"/>
                    <w:jc w:val="center"/>
                  </w:pPr>
                  <w:r>
                    <w:t xml:space="preserve">mets_liverYes</w:t>
                  </w:r>
                </w:p>
              </w:tc>
              <w:tc>
                <w:tcPr/>
                <w:p>
                  <w:pPr>
                    <w:pStyle w:val="Compact"/>
                    <w:jc w:val="right"/>
                    <w:jc w:val="center"/>
                  </w:pPr>
                  <w:r>
                    <w:t xml:space="preserve">0.3862</w:t>
                  </w:r>
                </w:p>
              </w:tc>
            </w:tr>
            <w:tr>
              <w:tc>
                <w:tcPr/>
                <w:p>
                  <w:pPr>
                    <w:pStyle w:val="Compact"/>
                    <w:jc w:val="left"/>
                    <w:jc w:val="center"/>
                  </w:pPr>
                  <w:r>
                    <w:t xml:space="preserve">mets_boneYes</w:t>
                  </w:r>
                </w:p>
              </w:tc>
              <w:tc>
                <w:tcPr/>
                <w:p>
                  <w:pPr>
                    <w:pStyle w:val="Compact"/>
                    <w:jc w:val="right"/>
                    <w:jc w:val="center"/>
                  </w:pPr>
                  <w:r>
                    <w:t xml:space="preserve">0.2833</w:t>
                  </w:r>
                </w:p>
              </w:tc>
            </w:tr>
            <w:tr>
              <w:tc>
                <w:tcPr/>
                <w:p>
                  <w:pPr>
                    <w:pStyle w:val="Compact"/>
                    <w:jc w:val="left"/>
                    <w:jc w:val="center"/>
                  </w:pPr>
                  <w:r>
                    <w:t xml:space="preserve">mets_brainYes</w:t>
                  </w:r>
                </w:p>
              </w:tc>
              <w:tc>
                <w:tcPr/>
                <w:p>
                  <w:pPr>
                    <w:pStyle w:val="Compact"/>
                    <w:jc w:val="right"/>
                    <w:jc w:val="center"/>
                  </w:pPr>
                  <w:r>
                    <w:t xml:space="preserve">0.5570</w:t>
                  </w:r>
                </w:p>
              </w:tc>
            </w:tr>
            <w:tr>
              <w:tc>
                <w:tcPr/>
                <w:p>
                  <w:pPr>
                    <w:pStyle w:val="Compact"/>
                    <w:jc w:val="left"/>
                    <w:jc w:val="center"/>
                  </w:pPr>
                  <w:r>
                    <w:t xml:space="preserve">age_group25-29 years</w:t>
                  </w:r>
                </w:p>
              </w:tc>
              <w:tc>
                <w:tcPr/>
                <w:p>
                  <w:pPr>
                    <w:pStyle w:val="Compact"/>
                    <w:jc w:val="right"/>
                    <w:jc w:val="center"/>
                  </w:pPr>
                  <w:r>
                    <w:t xml:space="preserve">-0.1979</w:t>
                  </w:r>
                </w:p>
              </w:tc>
            </w:tr>
            <w:tr>
              <w:tc>
                <w:tcPr/>
                <w:p>
                  <w:pPr>
                    <w:pStyle w:val="Compact"/>
                    <w:jc w:val="left"/>
                    <w:jc w:val="center"/>
                  </w:pPr>
                  <w:r>
                    <w:t xml:space="preserve">age_group30-34 years</w:t>
                  </w:r>
                </w:p>
              </w:tc>
              <w:tc>
                <w:tcPr/>
                <w:p>
                  <w:pPr>
                    <w:pStyle w:val="Compact"/>
                    <w:jc w:val="right"/>
                    <w:jc w:val="center"/>
                  </w:pPr>
                  <w:r>
                    <w:t xml:space="preserve">-0.1054</w:t>
                  </w:r>
                </w:p>
              </w:tc>
            </w:tr>
            <w:tr>
              <w:tc>
                <w:tcPr/>
                <w:p>
                  <w:pPr>
                    <w:pStyle w:val="Compact"/>
                    <w:jc w:val="left"/>
                    <w:jc w:val="center"/>
                  </w:pPr>
                  <w:r>
                    <w:t xml:space="preserve">age_group35-39 years</w:t>
                  </w:r>
                </w:p>
              </w:tc>
              <w:tc>
                <w:tcPr/>
                <w:p>
                  <w:pPr>
                    <w:pStyle w:val="Compact"/>
                    <w:jc w:val="right"/>
                    <w:jc w:val="center"/>
                  </w:pPr>
                  <w:r>
                    <w:t xml:space="preserve">-0.2170</w:t>
                  </w:r>
                </w:p>
              </w:tc>
            </w:tr>
            <w:tr>
              <w:tc>
                <w:tcPr/>
                <w:p>
                  <w:pPr>
                    <w:pStyle w:val="Compact"/>
                    <w:jc w:val="left"/>
                    <w:jc w:val="center"/>
                  </w:pPr>
                  <w:r>
                    <w:t xml:space="preserve">age_group40-44 years</w:t>
                  </w:r>
                </w:p>
              </w:tc>
              <w:tc>
                <w:tcPr/>
                <w:p>
                  <w:pPr>
                    <w:pStyle w:val="Compact"/>
                    <w:jc w:val="right"/>
                    <w:jc w:val="center"/>
                  </w:pPr>
                  <w:r>
                    <w:t xml:space="preserve">-0.3530</w:t>
                  </w:r>
                </w:p>
              </w:tc>
            </w:tr>
            <w:tr>
              <w:tc>
                <w:tcPr/>
                <w:p>
                  <w:pPr>
                    <w:pStyle w:val="Compact"/>
                    <w:jc w:val="left"/>
                    <w:jc w:val="center"/>
                  </w:pPr>
                  <w:r>
                    <w:t xml:space="preserve">age_group45-49 years</w:t>
                  </w:r>
                </w:p>
              </w:tc>
              <w:tc>
                <w:tcPr/>
                <w:p>
                  <w:pPr>
                    <w:pStyle w:val="Compact"/>
                    <w:jc w:val="right"/>
                    <w:jc w:val="center"/>
                  </w:pPr>
                  <w:r>
                    <w:t xml:space="preserve">-0.1630</w:t>
                  </w:r>
                </w:p>
              </w:tc>
            </w:tr>
            <w:tr>
              <w:tc>
                <w:tcPr/>
                <w:p>
                  <w:pPr>
                    <w:pStyle w:val="Compact"/>
                    <w:jc w:val="left"/>
                    <w:jc w:val="center"/>
                  </w:pPr>
                  <w:r>
                    <w:t xml:space="preserve">age_group50-54 years</w:t>
                  </w:r>
                </w:p>
              </w:tc>
              <w:tc>
                <w:tcPr/>
                <w:p>
                  <w:pPr>
                    <w:pStyle w:val="Compact"/>
                    <w:jc w:val="right"/>
                    <w:jc w:val="center"/>
                  </w:pPr>
                  <w:r>
                    <w:t xml:space="preserve">-0.0678</w:t>
                  </w:r>
                </w:p>
              </w:tc>
            </w:tr>
            <w:tr>
              <w:tc>
                <w:tcPr/>
                <w:p>
                  <w:pPr>
                    <w:pStyle w:val="Compact"/>
                    <w:jc w:val="left"/>
                    <w:jc w:val="center"/>
                  </w:pPr>
                  <w:r>
                    <w:t xml:space="preserve">age_group55-59 years</w:t>
                  </w:r>
                </w:p>
              </w:tc>
              <w:tc>
                <w:tcPr/>
                <w:p>
                  <w:pPr>
                    <w:pStyle w:val="Compact"/>
                    <w:jc w:val="right"/>
                    <w:jc w:val="center"/>
                  </w:pPr>
                  <w:r>
                    <w:t xml:space="preserve">-0.0226</w:t>
                  </w:r>
                </w:p>
              </w:tc>
            </w:tr>
            <w:tr>
              <w:tc>
                <w:tcPr/>
                <w:p>
                  <w:pPr>
                    <w:pStyle w:val="Compact"/>
                    <w:jc w:val="left"/>
                    <w:jc w:val="center"/>
                  </w:pPr>
                  <w:r>
                    <w:t xml:space="preserve">age_group60-64 years</w:t>
                  </w:r>
                </w:p>
              </w:tc>
              <w:tc>
                <w:tcPr/>
                <w:p>
                  <w:pPr>
                    <w:pStyle w:val="Compact"/>
                    <w:jc w:val="right"/>
                    <w:jc w:val="center"/>
                  </w:pPr>
                  <w:r>
                    <w:t xml:space="preserve">0.0159</w:t>
                  </w:r>
                </w:p>
              </w:tc>
            </w:tr>
            <w:tr>
              <w:tc>
                <w:tcPr/>
                <w:p>
                  <w:pPr>
                    <w:pStyle w:val="Compact"/>
                    <w:jc w:val="left"/>
                    <w:jc w:val="center"/>
                  </w:pPr>
                  <w:r>
                    <w:t xml:space="preserve">age_group70-74 years</w:t>
                  </w:r>
                </w:p>
              </w:tc>
              <w:tc>
                <w:tcPr/>
                <w:p>
                  <w:pPr>
                    <w:pStyle w:val="Compact"/>
                    <w:jc w:val="right"/>
                    <w:jc w:val="center"/>
                  </w:pPr>
                  <w:r>
                    <w:t xml:space="preserve">0.2417</w:t>
                  </w:r>
                </w:p>
              </w:tc>
            </w:tr>
            <w:tr>
              <w:tc>
                <w:tcPr/>
                <w:p>
                  <w:pPr>
                    <w:pStyle w:val="Compact"/>
                    <w:jc w:val="left"/>
                    <w:jc w:val="center"/>
                  </w:pPr>
                  <w:r>
                    <w:t xml:space="preserve">age_group75-79 years</w:t>
                  </w:r>
                </w:p>
              </w:tc>
              <w:tc>
                <w:tcPr/>
                <w:p>
                  <w:pPr>
                    <w:pStyle w:val="Compact"/>
                    <w:jc w:val="right"/>
                    <w:jc w:val="center"/>
                  </w:pPr>
                  <w:r>
                    <w:t xml:space="preserve">0.3073</w:t>
                  </w:r>
                </w:p>
              </w:tc>
            </w:tr>
            <w:tr>
              <w:tc>
                <w:tcPr/>
                <w:p>
                  <w:pPr>
                    <w:pStyle w:val="Compact"/>
                    <w:jc w:val="left"/>
                    <w:jc w:val="center"/>
                  </w:pPr>
                  <w:r>
                    <w:t xml:space="preserve">age_group80-84 years</w:t>
                  </w:r>
                </w:p>
              </w:tc>
              <w:tc>
                <w:tcPr/>
                <w:p>
                  <w:pPr>
                    <w:pStyle w:val="Compact"/>
                    <w:jc w:val="right"/>
                    <w:jc w:val="center"/>
                  </w:pPr>
                  <w:r>
                    <w:t xml:space="preserve">0.4241</w:t>
                  </w:r>
                </w:p>
              </w:tc>
            </w:tr>
            <w:tr>
              <w:tc>
                <w:tcPr/>
                <w:p>
                  <w:pPr>
                    <w:pStyle w:val="Compact"/>
                    <w:jc w:val="left"/>
                    <w:jc w:val="center"/>
                  </w:pPr>
                  <w:r>
                    <w:t xml:space="preserve">age_group85+ years</w:t>
                  </w:r>
                </w:p>
              </w:tc>
              <w:tc>
                <w:tcPr/>
                <w:p>
                  <w:pPr>
                    <w:pStyle w:val="Compact"/>
                    <w:jc w:val="right"/>
                    <w:jc w:val="center"/>
                  </w:pPr>
                  <w:r>
                    <w:t xml:space="preserve">0.6496</w:t>
                  </w:r>
                </w:p>
              </w:tc>
            </w:tr>
            <w:tr>
              <w:tc>
                <w:tcPr/>
                <w:p>
                  <w:pPr>
                    <w:pStyle w:val="Compact"/>
                    <w:jc w:val="left"/>
                    <w:jc w:val="center"/>
                  </w:pPr>
                  <w:r>
                    <w:t xml:space="preserve">raceBlack</w:t>
                  </w:r>
                </w:p>
              </w:tc>
              <w:tc>
                <w:tcPr/>
                <w:p>
                  <w:pPr>
                    <w:pStyle w:val="Compact"/>
                    <w:jc w:val="right"/>
                    <w:jc w:val="center"/>
                  </w:pPr>
                  <w:r>
                    <w:t xml:space="preserve">0.3345</w:t>
                  </w:r>
                </w:p>
              </w:tc>
            </w:tr>
            <w:tr>
              <w:tc>
                <w:tcPr/>
                <w:p>
                  <w:pPr>
                    <w:pStyle w:val="Compact"/>
                    <w:jc w:val="left"/>
                    <w:jc w:val="center"/>
                  </w:pPr>
                  <w:r>
                    <w:t xml:space="preserve">raceAsian or Pacific Islander</w:t>
                  </w:r>
                </w:p>
              </w:tc>
              <w:tc>
                <w:tcPr/>
                <w:p>
                  <w:pPr>
                    <w:pStyle w:val="Compact"/>
                    <w:jc w:val="right"/>
                    <w:jc w:val="center"/>
                  </w:pPr>
                  <w:r>
                    <w:t xml:space="preserve">-0.0173</w:t>
                  </w:r>
                </w:p>
              </w:tc>
            </w:tr>
            <w:tr>
              <w:tc>
                <w:tcPr/>
                <w:p>
                  <w:pPr>
                    <w:pStyle w:val="Compact"/>
                    <w:jc w:val="left"/>
                    <w:jc w:val="center"/>
                  </w:pPr>
                  <w:r>
                    <w:t xml:space="preserve">raceAmerican Indian/Alaska Native</w:t>
                  </w:r>
                </w:p>
              </w:tc>
              <w:tc>
                <w:tcPr/>
                <w:p>
                  <w:pPr>
                    <w:pStyle w:val="Compact"/>
                    <w:jc w:val="right"/>
                    <w:jc w:val="center"/>
                  </w:pPr>
                  <w:r>
                    <w:t xml:space="preserve">0.1343</w:t>
                  </w:r>
                </w:p>
              </w:tc>
            </w:tr>
            <w:tr>
              <w:tc>
                <w:tcPr/>
                <w:p>
                  <w:pPr>
                    <w:pStyle w:val="Compact"/>
                    <w:jc w:val="left"/>
                    <w:jc w:val="center"/>
                  </w:pPr>
                  <w:r>
                    <w:t xml:space="preserve">median_income$40,000 - $44,999</w:t>
                  </w:r>
                </w:p>
              </w:tc>
              <w:tc>
                <w:tcPr/>
                <w:p>
                  <w:pPr>
                    <w:pStyle w:val="Compact"/>
                    <w:jc w:val="right"/>
                    <w:jc w:val="center"/>
                  </w:pPr>
                  <w:r>
                    <w:t xml:space="preserve">0.0456</w:t>
                  </w:r>
                </w:p>
              </w:tc>
            </w:tr>
            <w:tr>
              <w:tc>
                <w:tcPr/>
                <w:p>
                  <w:pPr>
                    <w:pStyle w:val="Compact"/>
                    <w:jc w:val="left"/>
                    <w:jc w:val="center"/>
                  </w:pPr>
                  <w:r>
                    <w:t xml:space="preserve">median_income$50,000 - $54,999</w:t>
                  </w:r>
                </w:p>
              </w:tc>
              <w:tc>
                <w:tcPr/>
                <w:p>
                  <w:pPr>
                    <w:pStyle w:val="Compact"/>
                    <w:jc w:val="right"/>
                    <w:jc w:val="center"/>
                  </w:pPr>
                  <w:r>
                    <w:t xml:space="preserve">0.0571</w:t>
                  </w:r>
                </w:p>
              </w:tc>
            </w:tr>
            <w:tr>
              <w:tc>
                <w:tcPr/>
                <w:p>
                  <w:pPr>
                    <w:pStyle w:val="Compact"/>
                    <w:jc w:val="left"/>
                    <w:jc w:val="center"/>
                  </w:pPr>
                  <w:r>
                    <w:t xml:space="preserve">median_income$65,000 - $69,999</w:t>
                  </w:r>
                </w:p>
              </w:tc>
              <w:tc>
                <w:tcPr/>
                <w:p>
                  <w:pPr>
                    <w:pStyle w:val="Compact"/>
                    <w:jc w:val="right"/>
                    <w:jc w:val="center"/>
                  </w:pPr>
                  <w:r>
                    <w:t xml:space="preserve">0.0468</w:t>
                  </w:r>
                </w:p>
              </w:tc>
            </w:tr>
            <w:tr>
              <w:tc>
                <w:tcPr/>
                <w:p>
                  <w:pPr>
                    <w:pStyle w:val="Compact"/>
                    <w:jc w:val="left"/>
                    <w:jc w:val="center"/>
                  </w:pPr>
                  <w:r>
                    <w:t xml:space="preserve">median_income$70,000 - $74,999</w:t>
                  </w:r>
                </w:p>
              </w:tc>
              <w:tc>
                <w:tcPr/>
                <w:p>
                  <w:pPr>
                    <w:pStyle w:val="Compact"/>
                    <w:jc w:val="right"/>
                    <w:jc w:val="center"/>
                  </w:pPr>
                  <w:r>
                    <w:t xml:space="preserve">0.0038</w:t>
                  </w:r>
                </w:p>
              </w:tc>
            </w:tr>
            <w:tr>
              <w:tc>
                <w:tcPr/>
                <w:p>
                  <w:pPr>
                    <w:pStyle w:val="Compact"/>
                    <w:jc w:val="left"/>
                    <w:jc w:val="center"/>
                  </w:pPr>
                  <w:r>
                    <w:t xml:space="preserve">diagnosis_year2013</w:t>
                  </w:r>
                </w:p>
              </w:tc>
              <w:tc>
                <w:tcPr/>
                <w:p>
                  <w:pPr>
                    <w:pStyle w:val="Compact"/>
                    <w:jc w:val="right"/>
                    <w:jc w:val="center"/>
                  </w:pPr>
                  <w:r>
                    <w:t xml:space="preserve">0.0283</w:t>
                  </w:r>
                </w:p>
              </w:tc>
            </w:tr>
            <w:tr>
              <w:tc>
                <w:tcPr/>
                <w:p>
                  <w:pPr>
                    <w:pStyle w:val="Compact"/>
                    <w:jc w:val="left"/>
                    <w:jc w:val="center"/>
                  </w:pPr>
                  <w:r>
                    <w:t xml:space="preserve">diagnosis_year2014</w:t>
                  </w:r>
                </w:p>
              </w:tc>
              <w:tc>
                <w:tcPr/>
                <w:p>
                  <w:pPr>
                    <w:pStyle w:val="Compact"/>
                    <w:jc w:val="right"/>
                    <w:jc w:val="center"/>
                  </w:pPr>
                  <w:r>
                    <w:t xml:space="preserve">-0.0097</w:t>
                  </w:r>
                </w:p>
              </w:tc>
            </w:tr>
          </w:tbl>
          <w:bookmarkEnd w:id="43"/>
          <w:p/>
        </w:tc>
      </w:tr>
    </w:tbl>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311">
    <w:nsid w:val="00A993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Example Manuscript Template for a Data Analysis Project</dc:title>
  <dc:creator/>
  <cp:keywords/>
  <dcterms:created xsi:type="dcterms:W3CDTF">2025-04-18T21:27:50Z</dcterms:created>
  <dcterms:modified xsi:type="dcterms:W3CDTF">2025-04-18T21:27:50Z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