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0" w:after="20"/>
            </w:pPr>
            <w:r>
              <w:rPr>
                <w:rFonts w:ascii="Arial" w:cs="Arial" w:eastAsia="Arial" w:hAnsi="Arial"/>
                <w:b/>
                <w:bCs/>
                <w:color w:val="A7D7DA"/>
                <w:sz w:val="20"/>
                <w:szCs w:val="20"/>
              </w:rPr>
              <w:t xml:space="preserve">THE ANESTHESIA COLLECTIVE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Am I Ready for 1099?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color w:val="D9E4E7"/>
                <w:sz w:val="18"/>
                <w:szCs w:val="18"/>
              </w:rPr>
              <w:t xml:space="preserve">Self-Assessment Checklist  |  Course 01: The Mindset Shift</w:t>
            </w:r>
          </w:p>
        </w:tc>
        <w:tc>
          <w:tcPr>
            <w:tcW w:type="dxa" w:w="2160"/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40"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EFB023"/>
                <w:sz w:val="36"/>
                <w:szCs w:val="36"/>
              </w:rPr>
              <w:t xml:space="preserve">TAC</w:t>
            </w:r>
          </w:p>
        </w:tc>
      </w:tr>
    </w:tbl>
    <w:p>
      <w:pPr>
        <w:pBdr>
          <w:bottom w:val="single" w:color="EFB023" w:sz="8" w:space="1"/>
        </w:pBdr>
        <w:spacing w:before="60" w:after="60"/>
      </w:pPr>
      <w: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26262"/>
          <w:sz w:val="21"/>
          <w:szCs w:val="21"/>
        </w:rPr>
        <w:t xml:space="preserve">This checklist is not about enthusiasm. It is about readiness. Go through each item honestly. If you cannot check it, that is the information you need — and there is a clear path for every gap.</w:t>
      </w:r>
    </w:p>
    <w:p>
      <w:pPr>
        <w:spacing w:before="0" w:after="160"/>
      </w:pPr>
      <w:r>
        <w:rPr>
          <w:rFonts w:ascii="Arial" w:cs="Arial" w:eastAsia="Arial" w:hAnsi="Arial"/>
          <w:sz w:val="21"/>
          <w:szCs w:val="21"/>
        </w:rPr>
        <w:t xml:space="preserve">Items marked </w:t>
      </w:r>
      <w:r>
        <w:rPr>
          <w:rFonts w:ascii="Arial" w:cs="Arial" w:eastAsia="Arial" w:hAnsi="Arial"/>
          <w:b/>
          <w:bCs/>
          <w:color w:val="C93A3A"/>
          <w:sz w:val="21"/>
          <w:szCs w:val="21"/>
        </w:rPr>
        <w:t xml:space="preserve">MUST-HAVE</w:t>
      </w:r>
      <w:r>
        <w:rPr>
          <w:rFonts w:ascii="Arial" w:cs="Arial" w:eastAsia="Arial" w:hAnsi="Arial"/>
          <w:sz w:val="21"/>
          <w:szCs w:val="21"/>
        </w:rPr>
        <w:t xml:space="preserve"> are non-negotiable. Missing even one means you need more runway before you make the move.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B023" w:sz="10"/>
              <w:right w:val="none" w:color="FFFFFF" w:sz="0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  01  —  FINANCIAL READINESS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A7D7DA"/>
                <w:sz w:val="19"/>
                <w:szCs w:val="19"/>
              </w:rPr>
              <w:t xml:space="preserve">If the money is not structured right, nothing else matters.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3A3A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3-6 months of living expenses in liquid savings.</w:t>
            </w:r>
            <w:r>
              <w:rPr>
                <w:rFonts w:ascii="Arial" w:cs="Arial" w:eastAsia="Arial" w:hAnsi="Arial"/>
                <w:b/>
                <w:bCs/>
                <w:color w:val="C93A3A"/>
                <w:sz w:val="17"/>
                <w:szCs w:val="17"/>
              </w:rPr>
              <w:t xml:space="preserve">   MUST-HAVE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This is your gap insurance. Assignments can be delayed. Credentialing takes time. You need a buffer.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3A3A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know my current W-2 effective hourly rate including all benefits.</w:t>
            </w:r>
            <w:r>
              <w:rPr>
                <w:rFonts w:ascii="Arial" w:cs="Arial" w:eastAsia="Arial" w:hAnsi="Arial"/>
                <w:b/>
                <w:bCs/>
                <w:color w:val="C93A3A"/>
                <w:sz w:val="17"/>
                <w:szCs w:val="17"/>
              </w:rPr>
              <w:t xml:space="preserve">   MUST-HAVE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Run the W-2 Tax calculator before you negotiate any 1099 rate. Know your actual number.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3A3A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researched market rates for my specialty, region, and case type.</w:t>
            </w:r>
            <w:r>
              <w:rPr>
                <w:rFonts w:ascii="Arial" w:cs="Arial" w:eastAsia="Arial" w:hAnsi="Arial"/>
                <w:b/>
                <w:bCs/>
                <w:color w:val="C93A3A"/>
                <w:sz w:val="17"/>
                <w:szCs w:val="17"/>
              </w:rPr>
              <w:t xml:space="preserve">   MUST-HAVE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Do not accept the first number an agency gives you. Know what the market pays.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3A3A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identified a CPA who works with 1099 healthcare providers.</w:t>
            </w:r>
            <w:r>
              <w:rPr>
                <w:rFonts w:ascii="Arial" w:cs="Arial" w:eastAsia="Arial" w:hAnsi="Arial"/>
                <w:b/>
                <w:bCs/>
                <w:color w:val="C93A3A"/>
                <w:sz w:val="17"/>
                <w:szCs w:val="17"/>
              </w:rPr>
              <w:t xml:space="preserve">   MUST-HAVE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Not just any CPA — one who understands S-Corp elections, Solo 401(k)s, and business deductions for clinical providers.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understand the basics of S-Corp vs. LLC and why it matters at my income level.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a plan for health insurance: private marketplace, spouse's plan, or HDHP with HSA.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accounted for self-employment tax and quarterly estimated tax payments in my budget.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identified any sign-on bonus repayment obligations and have a plan to address them.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3A3A" w:sz="16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C93A3A"/>
                <w:sz w:val="22"/>
                <w:szCs w:val="22"/>
              </w:rPr>
              <w:t xml:space="preserve">!! </w:t>
            </w:r>
            <w:r>
              <w:rPr>
                <w:rFonts w:ascii="Arial" w:cs="Arial" w:eastAsia="Arial" w:hAnsi="Arial"/>
                <w:color w:val="044C60"/>
                <w:sz w:val="21"/>
                <w:szCs w:val="21"/>
              </w:rPr>
              <w:t xml:space="preserve">Fewer than 4 of 8 checked in this section — stay W-2, build the financial foundation, and revisit in 3-6 months. Going 1099 without a financial buffer means taking bad contracts out of desperation.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B023" w:sz="10"/>
              <w:right w:val="none" w:color="FFFFFF" w:sz="0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+  02  —  CLINICAL READINESS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A7D7DA"/>
                <w:sz w:val="19"/>
                <w:szCs w:val="19"/>
              </w:rPr>
              <w:t xml:space="preserve">You will be in unfamiliar rooms, alone, from day one.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3A3A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at least 1-2 years of hands-on independent CRNA practice post-graduation.</w:t>
            </w:r>
            <w:r>
              <w:rPr>
                <w:rFonts w:ascii="Arial" w:cs="Arial" w:eastAsia="Arial" w:hAnsi="Arial"/>
                <w:b/>
                <w:bCs/>
                <w:color w:val="C93A3A"/>
                <w:sz w:val="17"/>
                <w:szCs w:val="17"/>
              </w:rPr>
              <w:t xml:space="preserve">   MUST-HAVE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Nijma's hard floor. You need enough independent experience to function confidently in a new environment without an established team around you.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3A3A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comfortable handling the full range of general anesthesia cases independently.</w:t>
            </w:r>
            <w:r>
              <w:rPr>
                <w:rFonts w:ascii="Arial" w:cs="Arial" w:eastAsia="Arial" w:hAnsi="Arial"/>
                <w:b/>
                <w:bCs/>
                <w:color w:val="C93A3A"/>
                <w:sz w:val="17"/>
                <w:szCs w:val="17"/>
              </w:rPr>
              <w:t xml:space="preserve">   MUST-HAVE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Locum facilities will not adjust their caseload for your learning curve.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can adapt to different EHR systems, anesthesia machines, and institutional protocols.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experience managing at least one high-acuity case type without direct attending supervision.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not been in a preceptor-heavy role so long that my hands-on skills have atrophied.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Honest answer only. A provider who has been sitting on a stool running maintenance cases gets found out fast.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comfortable speaking up in an unfamiliar environment when I have a clinical concern.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hold or am actively pursuing multi-state licensure (IMLCC compact or individual state licenses).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My DEA registration, ACLS/PALS, and professional certifications are current for 12+ months.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3A3A" w:sz="16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C93A3A"/>
                <w:sz w:val="22"/>
                <w:szCs w:val="22"/>
              </w:rPr>
              <w:t xml:space="preserve">!! </w:t>
            </w:r>
            <w:r>
              <w:rPr>
                <w:rFonts w:ascii="Arial" w:cs="Arial" w:eastAsia="Arial" w:hAnsi="Arial"/>
                <w:color w:val="044C60"/>
                <w:sz w:val="21"/>
                <w:szCs w:val="21"/>
              </w:rPr>
              <w:t xml:space="preserve">If you have been in one room, one machine, one case type for years — spend 6 more months diversifying your clinical exposure before you go independent.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B023" w:sz="10"/>
              <w:right w:val="none" w:color="FFFFFF" w:sz="0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*  03  —  LIFESTYLE AND MINDSET READINESS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A7D7DA"/>
                <w:sz w:val="19"/>
                <w:szCs w:val="19"/>
              </w:rPr>
              <w:t xml:space="preserve">The practical and psychological requirements are real.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thought through housing logistics for travel assignments: per diem, extended-stay, family impact.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had an honest conversation with my partner or family about what this lifestyle change means.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Assignment gaps, travel weeks, income variability — these affect your household, not just you.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comfortable with income variability and have a plan for slower periods.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can operate without the social and institutional structure of a permanent employer.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No built-in colleagues. No department culture. No HR to call. Some people miss this more than they expect. Know yourself.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willing to manage the administrative work the W-2 model handled: credentialing, invoicing, tax filings.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3A3A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have mentally shifted from thinking of myself as an employee to thinking of myself as a business entity.</w:t>
            </w:r>
            <w:r>
              <w:rPr>
                <w:rFonts w:ascii="Arial" w:cs="Arial" w:eastAsia="Arial" w:hAnsi="Arial"/>
                <w:b/>
                <w:bCs/>
                <w:color w:val="C93A3A"/>
                <w:sz w:val="17"/>
                <w:szCs w:val="17"/>
              </w:rPr>
              <w:t xml:space="preserve">   MUST-HAVE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You do not need to be fully there yet. But you need to be moving in that direction.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understand that my reliability, flexibility, and behavior affect my rate and contract longevity.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8787F"/>
                <w:sz w:val="22"/>
                <w:szCs w:val="22"/>
              </w:rPr>
              <w:t xml:space="preserve">[ ]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AEAEA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 am moving toward something, not running away from a bad job.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26262"/>
                <w:sz w:val="18"/>
                <w:szCs w:val="18"/>
              </w:rPr>
              <w:t xml:space="preserve">Locums does not fix a toxic culture you are escaping. It replaces structure with self-direction. Be ready for that.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Bdr>
          <w:bottom w:val="single" w:color="D9E4E7" w:sz="6" w:space="2"/>
        </w:pBdr>
        <w:spacing w:before="0" w:after="100"/>
      </w:pPr>
      <w:r>
        <w:rPr>
          <w:rFonts w:ascii="Arial" w:cs="Arial" w:eastAsia="Arial" w:hAnsi="Arial"/>
          <w:b/>
          <w:bCs/>
          <w:color w:val="044C60"/>
          <w:sz w:val="24"/>
          <w:szCs w:val="24"/>
        </w:rPr>
        <w:t xml:space="preserve">SCORING GUIDE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A7D7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44C60"/>
                <w:sz w:val="28"/>
                <w:szCs w:val="28"/>
              </w:rPr>
              <w:t xml:space="preserve">22-24</w:t>
            </w:r>
          </w:p>
        </w:tc>
        <w:tc>
          <w:tcPr>
            <w:tcW w:type="dxa" w:w="77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Ready to move.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Your foundation is solid. Start talking to agencies this month.</w:t>
            </w:r>
          </w:p>
        </w:tc>
      </w:tr>
      <w:tr>
        <w:tc>
          <w:tcPr>
            <w:tcW w:type="dxa" w:w="16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7DBA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44C60"/>
                <w:sz w:val="28"/>
                <w:szCs w:val="28"/>
              </w:rPr>
              <w:t xml:space="preserve">16-21</w:t>
            </w:r>
          </w:p>
        </w:tc>
        <w:tc>
          <w:tcPr>
            <w:tcW w:type="dxa" w:w="77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Ready in 3-6 months.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Identify the gaps, build a plan, put a date on it.</w:t>
            </w:r>
          </w:p>
        </w:tc>
      </w:tr>
      <w:tr>
        <w:tc>
          <w:tcPr>
            <w:tcW w:type="dxa" w:w="16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44C60"/>
                <w:sz w:val="28"/>
                <w:szCs w:val="28"/>
              </w:rPr>
              <w:t xml:space="preserve">Any MUST-HAVE unchecked</w:t>
            </w:r>
          </w:p>
        </w:tc>
        <w:tc>
          <w:tcPr>
            <w:tcW w:type="dxa" w:w="776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044C60"/>
                <w:sz w:val="21"/>
                <w:szCs w:val="21"/>
              </w:rPr>
              <w:t xml:space="preserve">Not yet.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That is the work. The checklist just gave you your roadmap.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Bdr>
          <w:bottom w:val="single" w:color="EAEAEA" w:sz="2" w:space="1"/>
        </w:pBdr>
        <w:spacing w:before="60" w:after="6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26262"/>
          <w:sz w:val="18"/>
          <w:szCs w:val="18"/>
        </w:rPr>
        <w:t xml:space="preserve">The Anesthesia Collective  |  Course 01: The Mindset Shift  |  theanesthesiacollective.com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044C6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2026-03-16T19:41:22.239Z</dcterms:created>
  <dcterms:modified xsi:type="dcterms:W3CDTF">2026-03-16T19:41:22.239Z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