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3F635" w14:textId="50352940" w:rsidR="002D65F7" w:rsidRDefault="00161AFF" w:rsidP="00161AFF">
      <w:pPr>
        <w:pStyle w:val="Title"/>
        <w:rPr>
          <w:rFonts w:ascii="Lemon/Milk" w:hAnsi="Lemon/Milk"/>
          <w:sz w:val="72"/>
          <w:szCs w:val="72"/>
        </w:rPr>
      </w:pPr>
      <w:r w:rsidRPr="00161AFF">
        <w:rPr>
          <w:rFonts w:ascii="Lemon/Milk" w:hAnsi="Lemon/Milk"/>
          <w:sz w:val="72"/>
          <w:szCs w:val="72"/>
        </w:rPr>
        <w:t>CSS</w:t>
      </w:r>
    </w:p>
    <w:p w14:paraId="227C67A0" w14:textId="19A023C5" w:rsidR="00161AFF" w:rsidRDefault="00161AFF" w:rsidP="00161AFF"/>
    <w:p w14:paraId="2F88EA59" w14:textId="582A67D0" w:rsidR="00161AFF" w:rsidRDefault="00161AFF" w:rsidP="00161AFF">
      <w:pPr>
        <w:rPr>
          <w:rFonts w:ascii="Arial" w:hAnsi="Arial" w:cs="Arial"/>
          <w:sz w:val="32"/>
          <w:szCs w:val="32"/>
        </w:rPr>
      </w:pPr>
    </w:p>
    <w:p w14:paraId="3EE8C14D" w14:textId="61DE0C8E" w:rsidR="00161AFF" w:rsidRDefault="00161AFF" w:rsidP="00161AFF">
      <w:pPr>
        <w:pStyle w:val="Heading1"/>
      </w:pPr>
      <w:r>
        <w:t xml:space="preserve">CSS units: </w:t>
      </w:r>
    </w:p>
    <w:p w14:paraId="0F0C6057" w14:textId="5B462FD3" w:rsidR="00161AFF" w:rsidRPr="00161AFF" w:rsidRDefault="00161AFF" w:rsidP="00161AFF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161AFF">
        <w:rPr>
          <w:sz w:val="32"/>
          <w:szCs w:val="32"/>
        </w:rPr>
        <w:t>Px unit</w:t>
      </w:r>
      <w:r>
        <w:rPr>
          <w:sz w:val="32"/>
          <w:szCs w:val="32"/>
        </w:rPr>
        <w:t xml:space="preserve"> – it is of fixed size  </w:t>
      </w:r>
    </w:p>
    <w:p w14:paraId="4D908209" w14:textId="7045BF7D" w:rsidR="00161AFF" w:rsidRPr="00161AFF" w:rsidRDefault="00161AFF" w:rsidP="00161AFF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161AFF">
        <w:rPr>
          <w:sz w:val="32"/>
          <w:szCs w:val="32"/>
        </w:rPr>
        <w:t xml:space="preserve">% unit </w:t>
      </w:r>
      <w:r>
        <w:rPr>
          <w:sz w:val="32"/>
          <w:szCs w:val="32"/>
        </w:rPr>
        <w:t xml:space="preserve">– it is responsive, we will use of the time. </w:t>
      </w:r>
    </w:p>
    <w:p w14:paraId="1391A275" w14:textId="79247779" w:rsidR="00161AFF" w:rsidRPr="00161AFF" w:rsidRDefault="00161AFF" w:rsidP="00161AFF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 w:rsidRPr="00161AFF">
        <w:rPr>
          <w:sz w:val="32"/>
          <w:szCs w:val="32"/>
        </w:rPr>
        <w:t>Em</w:t>
      </w:r>
      <w:proofErr w:type="spellEnd"/>
      <w:r w:rsidRPr="00161AFF">
        <w:rPr>
          <w:sz w:val="32"/>
          <w:szCs w:val="32"/>
        </w:rPr>
        <w:t xml:space="preserve"> unit</w:t>
      </w:r>
      <w:r>
        <w:rPr>
          <w:sz w:val="32"/>
          <w:szCs w:val="32"/>
        </w:rPr>
        <w:t xml:space="preserve"> – it is relative to its parent element, if the parent element has not specified any font size then, it will look after the root element and change accordingly. </w:t>
      </w:r>
    </w:p>
    <w:p w14:paraId="0CD346C6" w14:textId="23D57828" w:rsidR="00161AFF" w:rsidRDefault="00161AFF" w:rsidP="00161AFF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Rem unit – it is always relative to its parents. </w:t>
      </w:r>
    </w:p>
    <w:p w14:paraId="6234F6DC" w14:textId="66C063C5" w:rsidR="00161AFF" w:rsidRDefault="00161AFF" w:rsidP="00161AFF">
      <w:pPr>
        <w:rPr>
          <w:sz w:val="32"/>
          <w:szCs w:val="32"/>
        </w:rPr>
      </w:pPr>
    </w:p>
    <w:p w14:paraId="7DC063E4" w14:textId="1047F201" w:rsidR="0092074E" w:rsidRPr="0092074E" w:rsidRDefault="0092074E" w:rsidP="00161AFF">
      <w:pPr>
        <w:rPr>
          <w:b/>
          <w:bCs/>
          <w:sz w:val="32"/>
          <w:szCs w:val="32"/>
        </w:rPr>
      </w:pPr>
      <w:r w:rsidRPr="0092074E">
        <w:rPr>
          <w:b/>
          <w:bCs/>
          <w:sz w:val="32"/>
          <w:szCs w:val="32"/>
        </w:rPr>
        <w:t xml:space="preserve">Which unit to use when? </w:t>
      </w:r>
    </w:p>
    <w:p w14:paraId="331BD96B" w14:textId="381236A0" w:rsidR="0092074E" w:rsidRPr="0092074E" w:rsidRDefault="0092074E" w:rsidP="0092074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2074E">
        <w:rPr>
          <w:sz w:val="32"/>
          <w:szCs w:val="32"/>
        </w:rPr>
        <w:t>Font-size: rem</w:t>
      </w:r>
    </w:p>
    <w:p w14:paraId="320F4C2E" w14:textId="0FEA469F" w:rsidR="0092074E" w:rsidRPr="0092074E" w:rsidRDefault="0092074E" w:rsidP="0092074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2074E">
        <w:rPr>
          <w:sz w:val="32"/>
          <w:szCs w:val="32"/>
        </w:rPr>
        <w:t xml:space="preserve">Padding and margin: </w:t>
      </w:r>
      <w:proofErr w:type="spellStart"/>
      <w:r w:rsidRPr="0092074E">
        <w:rPr>
          <w:sz w:val="32"/>
          <w:szCs w:val="32"/>
        </w:rPr>
        <w:t>em</w:t>
      </w:r>
      <w:proofErr w:type="spellEnd"/>
      <w:r w:rsidRPr="0092074E">
        <w:rPr>
          <w:sz w:val="32"/>
          <w:szCs w:val="32"/>
        </w:rPr>
        <w:t xml:space="preserve"> </w:t>
      </w:r>
    </w:p>
    <w:p w14:paraId="6DB7B69B" w14:textId="4AB135C2" w:rsidR="0092074E" w:rsidRPr="0092074E" w:rsidRDefault="0092074E" w:rsidP="0092074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2074E">
        <w:rPr>
          <w:sz w:val="32"/>
          <w:szCs w:val="32"/>
        </w:rPr>
        <w:t xml:space="preserve">Width: </w:t>
      </w:r>
      <w:proofErr w:type="spellStart"/>
      <w:r w:rsidRPr="0092074E">
        <w:rPr>
          <w:sz w:val="32"/>
          <w:szCs w:val="32"/>
        </w:rPr>
        <w:t>em</w:t>
      </w:r>
      <w:proofErr w:type="spellEnd"/>
      <w:r w:rsidRPr="0092074E">
        <w:rPr>
          <w:sz w:val="32"/>
          <w:szCs w:val="32"/>
        </w:rPr>
        <w:t xml:space="preserve"> or percentage</w:t>
      </w:r>
    </w:p>
    <w:p w14:paraId="52AAE5E8" w14:textId="0A906538" w:rsidR="0092074E" w:rsidRPr="001D266A" w:rsidRDefault="001D266A" w:rsidP="0092074E">
      <w:pPr>
        <w:rPr>
          <w:color w:val="FF0000"/>
          <w:sz w:val="32"/>
          <w:szCs w:val="32"/>
        </w:rPr>
      </w:pPr>
      <w:r w:rsidRPr="001D266A">
        <w:rPr>
          <w:color w:val="FF0000"/>
          <w:sz w:val="32"/>
          <w:szCs w:val="32"/>
        </w:rPr>
        <w:t xml:space="preserve">Note* not a </w:t>
      </w:r>
      <w:proofErr w:type="spellStart"/>
      <w:r w:rsidRPr="001D266A">
        <w:rPr>
          <w:color w:val="FF0000"/>
          <w:sz w:val="32"/>
          <w:szCs w:val="32"/>
        </w:rPr>
        <w:t>cumpolsory</w:t>
      </w:r>
      <w:proofErr w:type="spellEnd"/>
    </w:p>
    <w:p w14:paraId="0394F80B" w14:textId="77777777" w:rsidR="00161AFF" w:rsidRPr="00161AFF" w:rsidRDefault="00161AFF" w:rsidP="00161AFF">
      <w:pPr>
        <w:rPr>
          <w:rFonts w:ascii="Arial" w:hAnsi="Arial" w:cs="Arial"/>
          <w:sz w:val="32"/>
          <w:szCs w:val="32"/>
        </w:rPr>
      </w:pPr>
    </w:p>
    <w:sectPr w:rsidR="00161AFF" w:rsidRPr="00161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mon/Milk">
    <w:panose1 w:val="020B0603050302020204"/>
    <w:charset w:val="00"/>
    <w:family w:val="swiss"/>
    <w:notTrueType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5805"/>
    <w:multiLevelType w:val="hybridMultilevel"/>
    <w:tmpl w:val="1AF0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83623"/>
    <w:multiLevelType w:val="hybridMultilevel"/>
    <w:tmpl w:val="255E1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B654D"/>
    <w:multiLevelType w:val="hybridMultilevel"/>
    <w:tmpl w:val="2F5C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FF"/>
    <w:rsid w:val="00161AFF"/>
    <w:rsid w:val="001D266A"/>
    <w:rsid w:val="002D65F7"/>
    <w:rsid w:val="0068769C"/>
    <w:rsid w:val="0092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C478"/>
  <w15:chartTrackingRefBased/>
  <w15:docId w15:val="{7FF721D7-188A-4050-8A8F-16BA126D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1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1AFF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1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1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rawat</dc:creator>
  <cp:keywords/>
  <dc:description/>
  <cp:lastModifiedBy>mohan rawat</cp:lastModifiedBy>
  <cp:revision>3</cp:revision>
  <dcterms:created xsi:type="dcterms:W3CDTF">2021-04-08T10:11:00Z</dcterms:created>
  <dcterms:modified xsi:type="dcterms:W3CDTF">2021-04-08T18:03:00Z</dcterms:modified>
</cp:coreProperties>
</file>