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C3216C">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7247EE">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EB52AE">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5A501C" w:rsidRPr="005A501C">
        <w:rPr>
          <w:rFonts w:ascii="Times New Roman" w:hAnsi="Times New Roman" w:cs="Times New Roman"/>
          <w:sz w:val="24"/>
          <w:szCs w:val="24"/>
          <w:vertAlign w:val="superscript"/>
        </w:rPr>
        <w:t>4-6</w:t>
      </w:r>
      <w:r w:rsidRPr="005A501C">
        <w:rPr>
          <w:rFonts w:ascii="Times New Roman" w:hAnsi="Times New Roman" w:cs="Times New Roman"/>
          <w:sz w:val="24"/>
          <w:szCs w:val="24"/>
        </w:rPr>
        <w:t>.</w:t>
      </w:r>
      <w:r w:rsidRPr="003E7A04">
        <w:rPr>
          <w:rFonts w:ascii="Times New Roman" w:hAnsi="Times New Roman" w:cs="Times New Roman"/>
          <w:sz w:val="24"/>
          <w:szCs w:val="24"/>
        </w:rPr>
        <w:t xml:space="preserve"> </w:t>
      </w:r>
    </w:p>
    <w:p w:rsidR="00481C96" w:rsidRDefault="00BD4534" w:rsidP="00BD45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C3216C">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and substituted N-(1-</w:t>
      </w:r>
      <w:r w:rsidR="00481C96" w:rsidRPr="007247EE">
        <w:rPr>
          <w:rFonts w:ascii="Times New Roman" w:hAnsi="Times New Roman" w:cs="Times New Roman"/>
          <w:noProof/>
          <w:sz w:val="24"/>
          <w:szCs w:val="24"/>
        </w:rPr>
        <w:t>piperidinobenzyl</w:t>
      </w:r>
      <w:r w:rsidR="00481C96">
        <w:rPr>
          <w:rFonts w:ascii="Times New Roman" w:hAnsi="Times New Roman" w:cs="Times New Roman"/>
          <w:sz w:val="24"/>
          <w:szCs w:val="24"/>
        </w:rPr>
        <w:t>)acetamide and substituted 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 xml:space="preserve">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A34F54">
        <w:rPr>
          <w:rFonts w:ascii="Times New Roman" w:hAnsi="Times New Roman"/>
          <w:bCs/>
          <w:i/>
          <w:iCs/>
          <w:noProof/>
          <w:sz w:val="24"/>
          <w:szCs w:val="24"/>
        </w:rPr>
        <w:t>para</w:t>
      </w:r>
      <w:r w:rsidRPr="00A34F54">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5A501C" w:rsidRPr="005A501C">
        <w:rPr>
          <w:rFonts w:ascii="Times New Roman" w:hAnsi="Times New Roman"/>
          <w:bCs/>
          <w:sz w:val="24"/>
          <w:szCs w:val="24"/>
          <w:vertAlign w:val="superscript"/>
        </w:rPr>
        <w:t>9</w:t>
      </w:r>
      <w:r w:rsidRPr="005A501C">
        <w:rPr>
          <w:rFonts w:ascii="Times New Roman" w:hAnsi="Times New Roman"/>
          <w:bCs/>
          <w:sz w:val="24"/>
          <w:szCs w:val="24"/>
        </w:rPr>
        <w:t>.</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A34F54">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5A501C" w:rsidRPr="005A501C">
        <w:rPr>
          <w:rFonts w:ascii="Times New Roman" w:hAnsi="Times New Roman"/>
          <w:bCs/>
          <w:sz w:val="24"/>
          <w:szCs w:val="24"/>
          <w:vertAlign w:val="superscript"/>
        </w:rPr>
        <w:t>12,13</w:t>
      </w:r>
      <w:r w:rsidR="00EB52AE">
        <w:rPr>
          <w:rFonts w:ascii="Times New Roman" w:hAnsi="Times New Roman"/>
          <w:bCs/>
          <w:sz w:val="24"/>
          <w:szCs w:val="24"/>
        </w:rPr>
        <w:t>.</w:t>
      </w:r>
      <w:r w:rsidRPr="003B167D">
        <w:rPr>
          <w:rFonts w:ascii="Times New Roman" w:hAnsi="Times New Roman"/>
          <w:bCs/>
          <w:sz w:val="24"/>
          <w:szCs w:val="24"/>
        </w:rPr>
        <w:t xml:space="preserve"> They also have a broad range of biological activities</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5A501C" w:rsidRPr="005A501C">
        <w:rPr>
          <w:rFonts w:ascii="Times New Roman" w:hAnsi="Times New Roman"/>
          <w:bCs/>
          <w:sz w:val="24"/>
          <w:szCs w:val="24"/>
          <w:vertAlign w:val="superscript"/>
        </w:rPr>
        <w:t>17</w:t>
      </w:r>
      <w:r>
        <w:rPr>
          <w:rFonts w:ascii="Times New Roman" w:hAnsi="Times New Roman"/>
          <w:bCs/>
          <w:sz w:val="24"/>
          <w:szCs w:val="24"/>
        </w:rPr>
        <w:t>.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A34F54">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302DE0">
        <w:rPr>
          <w:rFonts w:ascii="Times New Roman" w:hAnsi="Times New Roman" w:cs="Times New Roman"/>
          <w:noProof/>
          <w:sz w:val="24"/>
          <w:szCs w:val="24"/>
        </w:rPr>
        <w:t xml:space="preserve">antibacterial </w:t>
      </w:r>
      <w:r w:rsidR="00ED5A31" w:rsidRPr="00302DE0">
        <w:rPr>
          <w:rFonts w:ascii="Times New Roman" w:hAnsi="Times New Roman" w:cs="Times New Roman"/>
          <w:noProof/>
          <w:sz w:val="24"/>
          <w:szCs w:val="24"/>
        </w:rPr>
        <w:t xml:space="preserve"> </w:t>
      </w:r>
      <w:r w:rsidRPr="00302DE0">
        <w:rPr>
          <w:rFonts w:ascii="Times New Roman" w:hAnsi="Times New Roman" w:cs="Times New Roman"/>
          <w:noProof/>
          <w:sz w:val="24"/>
          <w:szCs w:val="24"/>
        </w:rPr>
        <w:t>activity</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302DE0">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 xml:space="preserve">able (3.1).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 xml:space="preserve">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302DE0">
        <w:rPr>
          <w:rFonts w:ascii="Times New Roman" w:hAnsi="Times New Roman" w:cs="Times New Roman"/>
          <w:noProof/>
          <w:sz w:val="24"/>
          <w:szCs w:val="24"/>
        </w:rPr>
        <w:t xml:space="preserve">of  </w:t>
      </w:r>
      <w:r w:rsidR="00DE23EC" w:rsidRPr="00302DE0">
        <w:rPr>
          <w:rFonts w:ascii="Times New Roman" w:hAnsi="Times New Roman" w:cs="Times New Roman"/>
          <w:i/>
          <w:iCs/>
          <w:noProof/>
          <w:sz w:val="28"/>
          <w:szCs w:val="28"/>
        </w:rPr>
        <w:t>σ</w:t>
      </w:r>
      <w:r w:rsidR="00DE23EC" w:rsidRPr="00302DE0">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0364FE" w:rsidRPr="000364FE">
        <w:rPr>
          <w:rFonts w:ascii="Times New Roman" w:hAnsi="Times New Roman" w:cs="Times New Roman"/>
          <w:noProof/>
          <w:sz w:val="24"/>
          <w:szCs w:val="24"/>
          <w:vertAlign w:val="superscript"/>
        </w:rPr>
        <w:t>23</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A73792">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 xml:space="preserve">4), is given in </w:t>
      </w:r>
      <w:r w:rsidR="00333EBD">
        <w:rPr>
          <w:rFonts w:ascii="Times New Roman" w:hAnsi="Times New Roman" w:cs="Times New Roman"/>
          <w:sz w:val="24"/>
          <w:szCs w:val="24"/>
        </w:rPr>
        <w:t>T</w:t>
      </w:r>
      <w:r w:rsidR="005B2A07">
        <w:rPr>
          <w:rFonts w:ascii="Times New Roman" w:hAnsi="Times New Roman" w:cs="Times New Roman"/>
          <w:sz w:val="24"/>
          <w:szCs w:val="24"/>
        </w:rPr>
        <w:t>able (3.4) also</w:t>
      </w:r>
      <w:r w:rsidR="00DD79EB">
        <w:rPr>
          <w:rFonts w:ascii="Times New Roman" w:hAnsi="Times New Roman" w:cs="Times New Roman"/>
          <w:sz w:val="24"/>
          <w:szCs w:val="24"/>
        </w:rPr>
        <w:t xml:space="preserve"> indicate</w:t>
      </w:r>
      <w:r w:rsidR="00AA212A">
        <w:rPr>
          <w:rFonts w:ascii="Times New Roman" w:hAnsi="Times New Roman" w:cs="Times New Roman"/>
          <w:sz w:val="24"/>
          <w:szCs w:val="24"/>
        </w:rPr>
        <w:t>s</w:t>
      </w:r>
      <w:r w:rsidR="00DD79EB">
        <w:rPr>
          <w:rFonts w:ascii="Times New Roman" w:hAnsi="Times New Roman" w:cs="Times New Roman"/>
          <w:sz w:val="24"/>
          <w:szCs w:val="24"/>
        </w:rPr>
        <w:t xml:space="preserv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E13987">
        <w:rPr>
          <w:rFonts w:ascii="Times New Roman" w:eastAsia="Times New Roman" w:hAnsi="Times New Roman" w:cs="Times New Roman"/>
          <w:color w:val="000000"/>
          <w:sz w:val="24"/>
          <w:szCs w:val="24"/>
        </w:rPr>
        <w:t>3.1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3.5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a-Tsuno equation (3.12)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 xml:space="preserve">Proteus </w:t>
      </w:r>
      <w:r w:rsidRPr="00CA34D9">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CA34D9">
        <w:rPr>
          <w:rFonts w:ascii="Times New Roman" w:hAnsi="Times New Roman" w:cs="Times New Roman"/>
          <w:sz w:val="24"/>
          <w:szCs w:val="24"/>
        </w:rPr>
        <w:t>T</w:t>
      </w:r>
      <w:r w:rsidR="006C3B51">
        <w:rPr>
          <w:rFonts w:ascii="Times New Roman" w:hAnsi="Times New Roman" w:cs="Times New Roman"/>
          <w:sz w:val="24"/>
          <w:szCs w:val="24"/>
        </w:rPr>
        <w: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067A64">
        <w:rPr>
          <w:rFonts w:ascii="Times New Roman" w:hAnsi="Times New Roman" w:cs="Times New Roman"/>
          <w:b/>
          <w:bCs/>
          <w:i/>
          <w:iCs/>
          <w:noProof/>
          <w:sz w:val="24"/>
          <w:szCs w:val="24"/>
        </w:rPr>
        <w:t>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067A64">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(3.16) and (3.17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BE26B5">
        <w:rPr>
          <w:rFonts w:ascii="Times New Roman" w:hAnsi="Times New Roman" w:cs="Times New Roman"/>
          <w:sz w:val="24"/>
          <w:szCs w:val="24"/>
        </w:rPr>
        <w:t>3.3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Pr>
          <w:rFonts w:ascii="Times New Roman" w:hAnsi="Times New Roman" w:cs="Times New Roman"/>
          <w:sz w:val="24"/>
          <w:szCs w:val="24"/>
        </w:rPr>
        <w:t>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F236DA">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72165E">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920AF5">
        <w:rPr>
          <w:rStyle w:val="fontstyle21"/>
        </w:rPr>
        <w:t>3.7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906A7">
        <w:rPr>
          <w:rStyle w:val="fontstyle21"/>
        </w:rPr>
        <w:t>3.5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2748D4" w:rsidP="00186E48">
      <w:pPr>
        <w:tabs>
          <w:tab w:val="left" w:pos="3795"/>
        </w:tabs>
        <w:spacing w:after="0"/>
        <w:rPr>
          <w:rFonts w:ascii="Times New Roman" w:hAnsi="Times New Roman" w:cs="Times New Roman"/>
          <w:b/>
          <w:bCs/>
          <w:noProof/>
          <w:sz w:val="28"/>
          <w:szCs w:val="28"/>
        </w:rPr>
      </w:pPr>
      <w:r w:rsidRPr="006B767C">
        <w:rPr>
          <w:rFonts w:ascii="Times New Roman" w:hAnsi="Times New Roman" w:cs="Times New Roman"/>
          <w:b/>
          <w:bCs/>
          <w:sz w:val="28"/>
          <w:szCs w:val="28"/>
        </w:rPr>
        <w:t xml:space="preserve">3.3.2 </w:t>
      </w:r>
      <w:r w:rsidR="007C568E">
        <w:rPr>
          <w:rFonts w:ascii="Times New Roman" w:hAnsi="Times New Roman" w:cs="Times New Roman"/>
          <w:b/>
          <w:bCs/>
          <w:sz w:val="28"/>
          <w:szCs w:val="28"/>
        </w:rPr>
        <w:t xml:space="preserve"> </w:t>
      </w:r>
      <w:r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 xml:space="preserve">given in Eqs. (3.24) and (3.25)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2F09C5">
        <w:rPr>
          <w:rFonts w:ascii="Times New Roman" w:hAnsi="Times New Roman" w:cs="Times New Roman"/>
          <w:i/>
          <w:iCs/>
          <w:noProof/>
          <w:color w:val="000000"/>
          <w:sz w:val="24"/>
          <w:szCs w:val="24"/>
        </w:rPr>
        <w:t>ρ</w:t>
      </w:r>
      <w:r w:rsidRPr="002F09C5">
        <w:rPr>
          <w:rFonts w:ascii="Times New Roman" w:hAnsi="Times New Roman" w:cs="Times New Roman"/>
          <w:i/>
          <w:iCs/>
          <w:noProof/>
          <w:color w:val="000000"/>
          <w:sz w:val="24"/>
          <w:szCs w:val="24"/>
          <w:vertAlign w:val="subscript"/>
        </w:rPr>
        <w:t xml:space="preserve">R </w:t>
      </w:r>
      <w:r w:rsidRPr="002F09C5">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2F09C5">
        <w:rPr>
          <w:rFonts w:ascii="Times New Roman" w:hAnsi="Times New Roman" w:cs="Times New Roman"/>
          <w:i/>
          <w:iCs/>
          <w:noProof/>
          <w:color w:val="000000"/>
          <w:sz w:val="24"/>
          <w:szCs w:val="24"/>
        </w:rPr>
        <w:t>ρ</w:t>
      </w:r>
      <w:r w:rsidRPr="002F09C5">
        <w:rPr>
          <w:rFonts w:ascii="Times New Roman" w:hAnsi="Times New Roman" w:cs="Times New Roman"/>
          <w:i/>
          <w:iCs/>
          <w:noProof/>
          <w:color w:val="000000"/>
          <w:sz w:val="24"/>
          <w:szCs w:val="24"/>
          <w:vertAlign w:val="subscript"/>
        </w:rPr>
        <w:t xml:space="preserve">R </w:t>
      </w:r>
      <w:r w:rsidRPr="002F09C5">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A45A85">
        <w:rPr>
          <w:rFonts w:ascii="Times New Roman" w:hAnsi="Times New Roman" w:cs="Times New Roman"/>
          <w:noProof/>
          <w:color w:val="000000"/>
          <w:sz w:val="24"/>
          <w:szCs w:val="24"/>
        </w:rPr>
        <w:t>indicate</w:t>
      </w:r>
      <w:r w:rsidR="00271D7D" w:rsidRPr="00A45A85">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result of Yukawa – Tsuno equation (3.26)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E25F6" w:rsidRPr="00663758" w:rsidRDefault="001E25F6"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1E25F6" w:rsidRPr="00663758" w:rsidRDefault="001E25F6"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2F09C5">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bookmarkStart w:id="3" w:name="_GoBack"/>
            <w:bookmarkEnd w:id="3"/>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2F09C5">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b/>
          <w:bCs/>
          <w:color w:val="000000"/>
          <w:sz w:val="24"/>
          <w:szCs w:val="24"/>
        </w:rPr>
        <w:t xml:space="preserve">.7 </w:t>
      </w:r>
      <w:r>
        <w:rPr>
          <w:rFonts w:ascii="Times New Roman" w:hAnsi="Times New Roman" w:cs="Times New Roman"/>
          <w:color w:val="000000"/>
          <w:sz w:val="24"/>
          <w:szCs w:val="24"/>
        </w:rPr>
        <w:t>: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 xml:space="preserve">Klebsiella </w:t>
            </w:r>
            <w:r w:rsidRPr="002F09C5">
              <w:rPr>
                <w:rFonts w:ascii="Times New Roman" w:hAnsi="Times New Roman" w:cs="Times New Roman"/>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xml:space="preserve">Shigella </w:t>
            </w:r>
            <w:r w:rsidRPr="002F09C5">
              <w:rPr>
                <w:rFonts w:ascii="Times New Roman" w:eastAsia="Times New Roman" w:hAnsi="Times New Roman" w:cs="Times New Roman"/>
                <w:i/>
                <w:noProof/>
                <w:color w:val="000000"/>
                <w:lang w:bidi="ta-IN"/>
              </w:rPr>
              <w:t>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2F09C5">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2F09C5">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4"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2F09C5">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4"/>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5"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CC5A17">
        <w:rPr>
          <w:rFonts w:ascii="Times New Roman" w:eastAsia="Times New Roman" w:hAnsi="Times New Roman" w:cs="Times New Roman"/>
          <w:i/>
          <w:noProof/>
          <w:sz w:val="24"/>
          <w:szCs w:val="24"/>
          <w:lang w:bidi="ta-IN"/>
        </w:rPr>
        <w:t>σ</w:t>
      </w:r>
      <w:r w:rsidR="00FB26B9" w:rsidRPr="00CC5A17">
        <w:rPr>
          <w:rFonts w:ascii="Times New Roman" w:eastAsia="Times New Roman" w:hAnsi="Times New Roman" w:cs="Times New Roman"/>
          <w:i/>
          <w:noProof/>
          <w:sz w:val="24"/>
          <w:szCs w:val="24"/>
          <w:vertAlign w:val="subscript"/>
          <w:lang w:bidi="ta-IN"/>
        </w:rPr>
        <w:t>p</w:t>
      </w:r>
      <w:r w:rsidR="00FB26B9" w:rsidRPr="00CC5A17">
        <w:rPr>
          <w:rFonts w:ascii="Times New Roman" w:eastAsia="Times New Roman" w:hAnsi="Times New Roman" w:cs="Times New Roman"/>
          <w:iCs/>
          <w:noProof/>
          <w:sz w:val="24"/>
          <w:szCs w:val="24"/>
          <w:lang w:bidi="ta-IN"/>
        </w:rPr>
        <w:t xml:space="preserve">   </w:t>
      </w:r>
      <w:bookmarkEnd w:id="5"/>
      <w:r w:rsidR="00FB26B9" w:rsidRPr="00CC5A17">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CC5A17">
        <w:rPr>
          <w:rFonts w:ascii="Times New Roman" w:eastAsia="Times New Roman" w:hAnsi="Times New Roman" w:cs="Times New Roman"/>
          <w:i/>
          <w:noProof/>
          <w:sz w:val="24"/>
          <w:szCs w:val="24"/>
          <w:lang w:bidi="ta-IN"/>
        </w:rPr>
        <w:t>σ</w:t>
      </w:r>
      <w:r w:rsidR="00FB26B9" w:rsidRPr="00CC5A17">
        <w:rPr>
          <w:rFonts w:ascii="Times New Roman" w:eastAsia="Times New Roman" w:hAnsi="Times New Roman" w:cs="Times New Roman"/>
          <w:i/>
          <w:noProof/>
          <w:sz w:val="24"/>
          <w:szCs w:val="24"/>
          <w:vertAlign w:val="subscript"/>
          <w:lang w:bidi="ta-IN"/>
        </w:rPr>
        <w:t>p</w:t>
      </w:r>
      <w:r w:rsidR="00FB26B9" w:rsidRPr="00CC5A17">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CC5A17">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coefficient  and least standard error  of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972538">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2F09C5">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F09C5">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CC5A17">
        <w:rPr>
          <w:rFonts w:ascii="Times New Roman" w:eastAsia="Times New Roman" w:hAnsi="Times New Roman" w:cs="Times New Roman"/>
          <w:i/>
          <w:noProof/>
          <w:sz w:val="24"/>
          <w:szCs w:val="24"/>
          <w:lang w:bidi="ta-IN"/>
        </w:rPr>
        <w:t>σ</w:t>
      </w:r>
      <w:r w:rsidRPr="00CC5A17">
        <w:rPr>
          <w:rFonts w:ascii="Times New Roman" w:eastAsia="Times New Roman" w:hAnsi="Times New Roman" w:cs="Times New Roman"/>
          <w:i/>
          <w:noProof/>
          <w:sz w:val="24"/>
          <w:szCs w:val="24"/>
          <w:vertAlign w:val="subscript"/>
          <w:lang w:bidi="ta-IN"/>
        </w:rPr>
        <w:t>p</w:t>
      </w:r>
      <w:r w:rsidRPr="00CC5A17">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(3.31)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coefficient  and least standard error  of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(3.32) and (3.33) are given in Table </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3.3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872FA5"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CC5A17">
        <w:rPr>
          <w:rFonts w:ascii="Times New Roman" w:hAnsi="Times New Roman" w:cs="Times New Roman"/>
          <w:i/>
          <w:iCs/>
          <w:noProof/>
          <w:sz w:val="24"/>
          <w:szCs w:val="24"/>
        </w:rPr>
        <w:t>p</w:t>
      </w:r>
      <w:r w:rsidRPr="00CC5A17">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 xml:space="preserve">able (3.6) </w:t>
      </w:r>
      <w:r w:rsidR="00766384">
        <w:rPr>
          <w:rFonts w:ascii="Times New Roman" w:hAnsi="Times New Roman" w:cs="Times New Roman"/>
          <w:sz w:val="24"/>
          <w:szCs w:val="24"/>
        </w:rPr>
        <w:t xml:space="preserve">and this gives a satisfactory correlation with Hammett </w:t>
      </w:r>
      <w:r w:rsidR="00766384" w:rsidRPr="002F09C5">
        <w:rPr>
          <w:rFonts w:ascii="Times New Roman" w:hAnsi="Times New Roman" w:cs="Times New Roman"/>
          <w:noProof/>
          <w:sz w:val="24"/>
          <w:szCs w:val="24"/>
        </w:rPr>
        <w:t xml:space="preserve">constant </w:t>
      </w:r>
      <w:r w:rsidRPr="002F09C5">
        <w:rPr>
          <w:rFonts w:ascii="Times New Roman" w:hAnsi="Times New Roman" w:cs="Times New Roman"/>
          <w:noProof/>
          <w:sz w:val="24"/>
          <w:szCs w:val="24"/>
        </w:rPr>
        <w:t xml:space="preserve"> </w:t>
      </w:r>
      <w:r w:rsidR="00766384" w:rsidRPr="002F09C5">
        <w:rPr>
          <w:rFonts w:ascii="Times New Roman" w:hAnsi="Times New Roman" w:cs="Times New Roman"/>
          <w:noProof/>
          <w:sz w:val="24"/>
          <w:szCs w:val="24"/>
        </w:rPr>
        <w:t>σ</w:t>
      </w:r>
      <w:r w:rsidR="00766384" w:rsidRPr="002F09C5">
        <w:rPr>
          <w:rFonts w:ascii="Times New Roman" w:hAnsi="Times New Roman" w:cs="Times New Roman"/>
          <w:noProof/>
          <w:sz w:val="24"/>
          <w:szCs w:val="24"/>
          <w:vertAlign w:val="subscript"/>
        </w:rPr>
        <w:t xml:space="preserve">p </w:t>
      </w:r>
      <w:r w:rsidR="00766384" w:rsidRPr="002F09C5">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766384">
        <w:rPr>
          <w:rFonts w:ascii="Times New Roman" w:hAnsi="Times New Roman" w:cs="Times New Roman"/>
          <w:sz w:val="24"/>
          <w:szCs w:val="24"/>
        </w:rPr>
        <w:t>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18408B">
      <w:pPr>
        <w:tabs>
          <w:tab w:val="left" w:pos="1080"/>
        </w:tabs>
        <w:spacing w:after="0" w:line="48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18408B">
        <w:rPr>
          <w:rFonts w:ascii="Times New Roman" w:eastAsia="Times New Roman" w:hAnsi="Times New Roman" w:cs="Times New Roman"/>
          <w:iCs/>
          <w:sz w:val="24"/>
          <w:szCs w:val="24"/>
          <w:lang w:bidi="ta-IN"/>
        </w:rPr>
        <w:t xml:space="preserve">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532ACC">
      <w:pPr>
        <w:spacing w:after="0"/>
        <w:jc w:val="center"/>
        <w:rPr>
          <w:rFonts w:ascii="Times New Roman" w:hAnsi="Times New Roman" w:cs="Times New Roman"/>
          <w:color w:val="000000"/>
          <w:sz w:val="24"/>
          <w:szCs w:val="24"/>
        </w:rPr>
      </w:pPr>
      <w:r>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18408B" w:rsidP="00532ACC">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sidR="00532ACC">
        <w:rPr>
          <w:rFonts w:ascii="Times New Roman" w:hAnsi="Times New Roman" w:cs="Times New Roman"/>
          <w:b/>
          <w:bCs/>
          <w:sz w:val="24"/>
          <w:szCs w:val="24"/>
        </w:rPr>
        <w:t xml:space="preserve">Fig.3.11    Hammett plot of log IZR vs  </w:t>
      </w:r>
      <w:r w:rsidR="00532ACC" w:rsidRPr="00A41604">
        <w:rPr>
          <w:rFonts w:ascii="Times New Roman" w:hAnsi="Times New Roman" w:cs="Times New Roman"/>
          <w:b/>
          <w:bCs/>
          <w:sz w:val="24"/>
          <w:szCs w:val="24"/>
        </w:rPr>
        <w:t>σ</w:t>
      </w:r>
      <w:r w:rsidR="00532ACC"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Pr="003C207F" w:rsidRDefault="00A17745" w:rsidP="003C207F">
      <w:pPr>
        <w:tabs>
          <w:tab w:val="left" w:pos="810"/>
        </w:tabs>
        <w:spacing w:after="0" w:line="480" w:lineRule="auto"/>
        <w:jc w:val="both"/>
        <w:rPr>
          <w:rFonts w:ascii="Times New Roman" w:hAnsi="Times New Roman" w:cs="Times New Roman"/>
          <w:sz w:val="24"/>
          <w:szCs w:val="24"/>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 xml:space="preserve">Shigella </w:t>
      </w:r>
      <w:r w:rsidRPr="002F09C5">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F09C5">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 xml:space="preserve">(3.6) and a good correlation was given by </w:t>
      </w:r>
      <w:r>
        <w:rPr>
          <w:rFonts w:ascii="Times New Roman" w:hAnsi="Times New Roman" w:cs="Times New Roman"/>
          <w:sz w:val="24"/>
          <w:szCs w:val="24"/>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(3.40) and (3.41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3.3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Pr="00A212B3" w:rsidRDefault="007F5ECD" w:rsidP="007F5ECD">
      <w:pPr>
        <w:tabs>
          <w:tab w:val="left" w:pos="810"/>
        </w:tabs>
        <w:spacing w:after="0" w:line="480" w:lineRule="auto"/>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(3.42) and Table (3.</w:t>
      </w:r>
      <w:r w:rsidR="009D3CD8">
        <w:rPr>
          <w:rFonts w:ascii="Times New Roman" w:hAnsi="Times New Roman" w:cs="Times New Roman"/>
          <w:sz w:val="24"/>
          <w:szCs w:val="24"/>
        </w:rPr>
        <w:t>8</w:t>
      </w:r>
      <w:r>
        <w:rPr>
          <w:rFonts w:ascii="Times New Roman" w:hAnsi="Times New Roman" w:cs="Times New Roman"/>
          <w:sz w:val="24"/>
          <w:szCs w:val="24"/>
        </w:rPr>
        <w:t xml:space="preserve">)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290E36">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2F09C5">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F09C5">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Pr="003A7E68" w:rsidRDefault="00BE7CED" w:rsidP="006634A4">
      <w:pPr>
        <w:spacing w:after="0" w:line="480" w:lineRule="auto"/>
        <w:jc w:val="both"/>
        <w:rPr>
          <w:rFonts w:ascii="Times New Roman" w:hAnsi="Times New Roman" w:cs="Times New Roman"/>
          <w:color w:val="000000"/>
          <w:sz w:val="24"/>
          <w:szCs w:val="24"/>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 xml:space="preserve">3.3.9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1F40DD">
        <w:rPr>
          <w:rFonts w:ascii="Times New Roman" w:eastAsia="Times New Roman" w:hAnsi="Times New Roman" w:cs="Times New Roman"/>
          <w:noProof/>
          <w:sz w:val="24"/>
          <w:szCs w:val="24"/>
        </w:rPr>
        <w:t>,</w:t>
      </w:r>
      <w:r w:rsidR="00EA5097" w:rsidRPr="001F40D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and  Delgado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lvam,B.Asish,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Abdel-A</w:t>
      </w:r>
      <w:r w:rsidR="00EA5097">
        <w:rPr>
          <w:rFonts w:ascii="Times New Roman" w:eastAsia="Times New Roman" w:hAnsi="Times New Roman" w:cs="Times New Roman"/>
          <w:sz w:val="24"/>
          <w:szCs w:val="24"/>
        </w:rPr>
        <w:t>ziz,  Abdel-Gawad,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EA5097" w:rsidRPr="003B4CA6">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r w:rsidR="00EA5097">
        <w:rPr>
          <w:rFonts w:ascii="Times New Roman" w:eastAsia="Times New Roman" w:hAnsi="Times New Roman" w:cs="Times New Roman"/>
          <w:b/>
          <w:sz w:val="24"/>
          <w:szCs w:val="24"/>
        </w:rPr>
        <w:t xml:space="preserve">  </w:t>
      </w:r>
      <w:r w:rsidR="00EA5097" w:rsidRPr="00E31EA1">
        <w:rPr>
          <w:rFonts w:ascii="Times New Roman" w:eastAsia="Times New Roman" w:hAnsi="Times New Roman" w:cs="Times New Roman"/>
          <w:b/>
          <w:bCs/>
          <w:sz w:val="24"/>
          <w:szCs w:val="24"/>
        </w:rPr>
        <w:t>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,E.C.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7E6" w:rsidRDefault="006257E6" w:rsidP="00DE3FEE">
      <w:pPr>
        <w:spacing w:after="0" w:line="240" w:lineRule="auto"/>
      </w:pPr>
      <w:r>
        <w:separator/>
      </w:r>
    </w:p>
  </w:endnote>
  <w:endnote w:type="continuationSeparator" w:id="0">
    <w:p w:rsidR="006257E6" w:rsidRDefault="006257E6"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7E6" w:rsidRDefault="006257E6" w:rsidP="00DE3FEE">
      <w:pPr>
        <w:spacing w:after="0" w:line="240" w:lineRule="auto"/>
      </w:pPr>
      <w:r>
        <w:separator/>
      </w:r>
    </w:p>
  </w:footnote>
  <w:footnote w:type="continuationSeparator" w:id="0">
    <w:p w:rsidR="006257E6" w:rsidRDefault="006257E6"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wFAPBqnJMtAAAA"/>
  </w:docVars>
  <w:rsids>
    <w:rsidRoot w:val="00C47884"/>
    <w:rsid w:val="00002EDE"/>
    <w:rsid w:val="0003583C"/>
    <w:rsid w:val="000364FE"/>
    <w:rsid w:val="0006016C"/>
    <w:rsid w:val="000659FE"/>
    <w:rsid w:val="00067A64"/>
    <w:rsid w:val="0007411D"/>
    <w:rsid w:val="000772CE"/>
    <w:rsid w:val="00081027"/>
    <w:rsid w:val="00082106"/>
    <w:rsid w:val="000B02B3"/>
    <w:rsid w:val="000D1840"/>
    <w:rsid w:val="000D1FB3"/>
    <w:rsid w:val="000D5CD5"/>
    <w:rsid w:val="000E2CB4"/>
    <w:rsid w:val="000F4F02"/>
    <w:rsid w:val="000F63D2"/>
    <w:rsid w:val="0011297F"/>
    <w:rsid w:val="001134E2"/>
    <w:rsid w:val="00123E4F"/>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C1EE6"/>
    <w:rsid w:val="001C2613"/>
    <w:rsid w:val="001D3337"/>
    <w:rsid w:val="001D483A"/>
    <w:rsid w:val="001E25F6"/>
    <w:rsid w:val="001E3EB7"/>
    <w:rsid w:val="001F0627"/>
    <w:rsid w:val="001F072F"/>
    <w:rsid w:val="001F40DD"/>
    <w:rsid w:val="001F4C72"/>
    <w:rsid w:val="00226DD4"/>
    <w:rsid w:val="00235CA6"/>
    <w:rsid w:val="00254F03"/>
    <w:rsid w:val="002635F4"/>
    <w:rsid w:val="00271A92"/>
    <w:rsid w:val="00271D7D"/>
    <w:rsid w:val="00273FCC"/>
    <w:rsid w:val="002748D4"/>
    <w:rsid w:val="00276600"/>
    <w:rsid w:val="00290E36"/>
    <w:rsid w:val="00291DBB"/>
    <w:rsid w:val="002A33EA"/>
    <w:rsid w:val="002B682F"/>
    <w:rsid w:val="002D2879"/>
    <w:rsid w:val="002D513D"/>
    <w:rsid w:val="002E4208"/>
    <w:rsid w:val="002E5A20"/>
    <w:rsid w:val="002E6662"/>
    <w:rsid w:val="002F09C5"/>
    <w:rsid w:val="002F379A"/>
    <w:rsid w:val="002F747D"/>
    <w:rsid w:val="00302DE0"/>
    <w:rsid w:val="0030720E"/>
    <w:rsid w:val="00324C72"/>
    <w:rsid w:val="00325464"/>
    <w:rsid w:val="00333E2C"/>
    <w:rsid w:val="00333EBD"/>
    <w:rsid w:val="00372C1A"/>
    <w:rsid w:val="003A359C"/>
    <w:rsid w:val="003C207F"/>
    <w:rsid w:val="003C3B5B"/>
    <w:rsid w:val="003D1EBA"/>
    <w:rsid w:val="003E4572"/>
    <w:rsid w:val="003E4EC6"/>
    <w:rsid w:val="003F7307"/>
    <w:rsid w:val="00402174"/>
    <w:rsid w:val="00406810"/>
    <w:rsid w:val="00411ABF"/>
    <w:rsid w:val="00413E80"/>
    <w:rsid w:val="00417C9C"/>
    <w:rsid w:val="00446AC9"/>
    <w:rsid w:val="004761DF"/>
    <w:rsid w:val="00477D48"/>
    <w:rsid w:val="00480303"/>
    <w:rsid w:val="00481C96"/>
    <w:rsid w:val="0049039E"/>
    <w:rsid w:val="0049340A"/>
    <w:rsid w:val="0049714B"/>
    <w:rsid w:val="004A5B2C"/>
    <w:rsid w:val="004A5F7E"/>
    <w:rsid w:val="004A7347"/>
    <w:rsid w:val="004C4938"/>
    <w:rsid w:val="004E1F8C"/>
    <w:rsid w:val="004E24E4"/>
    <w:rsid w:val="004F25F6"/>
    <w:rsid w:val="00521564"/>
    <w:rsid w:val="00532ACC"/>
    <w:rsid w:val="005351DA"/>
    <w:rsid w:val="0053796A"/>
    <w:rsid w:val="0054317D"/>
    <w:rsid w:val="00547BDC"/>
    <w:rsid w:val="00563949"/>
    <w:rsid w:val="00580CDB"/>
    <w:rsid w:val="005938CA"/>
    <w:rsid w:val="005A501C"/>
    <w:rsid w:val="005A55DA"/>
    <w:rsid w:val="005A74C9"/>
    <w:rsid w:val="005B2A07"/>
    <w:rsid w:val="005B3F47"/>
    <w:rsid w:val="005B51B3"/>
    <w:rsid w:val="005F068A"/>
    <w:rsid w:val="005F3AE7"/>
    <w:rsid w:val="0060046A"/>
    <w:rsid w:val="00603E16"/>
    <w:rsid w:val="006213EE"/>
    <w:rsid w:val="006257E6"/>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6216"/>
    <w:rsid w:val="00706EB4"/>
    <w:rsid w:val="00717557"/>
    <w:rsid w:val="0072165E"/>
    <w:rsid w:val="007247EE"/>
    <w:rsid w:val="00740949"/>
    <w:rsid w:val="00743291"/>
    <w:rsid w:val="0075629B"/>
    <w:rsid w:val="00764055"/>
    <w:rsid w:val="00766384"/>
    <w:rsid w:val="0077260C"/>
    <w:rsid w:val="00780CA0"/>
    <w:rsid w:val="00785147"/>
    <w:rsid w:val="00792643"/>
    <w:rsid w:val="007A2EA7"/>
    <w:rsid w:val="007B60BA"/>
    <w:rsid w:val="007C53BB"/>
    <w:rsid w:val="007C568E"/>
    <w:rsid w:val="007C63AA"/>
    <w:rsid w:val="007C79C8"/>
    <w:rsid w:val="007E1712"/>
    <w:rsid w:val="007E4B29"/>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6AED"/>
    <w:rsid w:val="00955E50"/>
    <w:rsid w:val="00967489"/>
    <w:rsid w:val="00972538"/>
    <w:rsid w:val="00974AE1"/>
    <w:rsid w:val="00980A3D"/>
    <w:rsid w:val="009915C4"/>
    <w:rsid w:val="00994EEF"/>
    <w:rsid w:val="009A5507"/>
    <w:rsid w:val="009A69EA"/>
    <w:rsid w:val="009B76C4"/>
    <w:rsid w:val="009B7E52"/>
    <w:rsid w:val="009C1EDF"/>
    <w:rsid w:val="009C2212"/>
    <w:rsid w:val="009C3E36"/>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8609F"/>
    <w:rsid w:val="00A91B85"/>
    <w:rsid w:val="00AA0941"/>
    <w:rsid w:val="00AA1682"/>
    <w:rsid w:val="00AA2118"/>
    <w:rsid w:val="00AA212A"/>
    <w:rsid w:val="00AA5365"/>
    <w:rsid w:val="00AA62E7"/>
    <w:rsid w:val="00AB4A16"/>
    <w:rsid w:val="00AC0176"/>
    <w:rsid w:val="00AC1B90"/>
    <w:rsid w:val="00AD184D"/>
    <w:rsid w:val="00AD50B2"/>
    <w:rsid w:val="00AF2D4F"/>
    <w:rsid w:val="00B02AF7"/>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A017E"/>
    <w:rsid w:val="00BA25AA"/>
    <w:rsid w:val="00BB6BDB"/>
    <w:rsid w:val="00BC0F7C"/>
    <w:rsid w:val="00BC121E"/>
    <w:rsid w:val="00BD010D"/>
    <w:rsid w:val="00BD4534"/>
    <w:rsid w:val="00BE26B5"/>
    <w:rsid w:val="00BE7CED"/>
    <w:rsid w:val="00BF046A"/>
    <w:rsid w:val="00C00489"/>
    <w:rsid w:val="00C03BFE"/>
    <w:rsid w:val="00C0752B"/>
    <w:rsid w:val="00C07EED"/>
    <w:rsid w:val="00C13A49"/>
    <w:rsid w:val="00C22856"/>
    <w:rsid w:val="00C2481B"/>
    <w:rsid w:val="00C25F5D"/>
    <w:rsid w:val="00C274DE"/>
    <w:rsid w:val="00C3216C"/>
    <w:rsid w:val="00C32CCC"/>
    <w:rsid w:val="00C36198"/>
    <w:rsid w:val="00C44F8A"/>
    <w:rsid w:val="00C47884"/>
    <w:rsid w:val="00C537C8"/>
    <w:rsid w:val="00C84338"/>
    <w:rsid w:val="00C858C1"/>
    <w:rsid w:val="00C906A7"/>
    <w:rsid w:val="00CA0DBD"/>
    <w:rsid w:val="00CA11E6"/>
    <w:rsid w:val="00CA34D9"/>
    <w:rsid w:val="00CB63D3"/>
    <w:rsid w:val="00CC5A17"/>
    <w:rsid w:val="00CD35DA"/>
    <w:rsid w:val="00CD4CB1"/>
    <w:rsid w:val="00CE37EF"/>
    <w:rsid w:val="00CE5BB5"/>
    <w:rsid w:val="00D016E7"/>
    <w:rsid w:val="00D13E89"/>
    <w:rsid w:val="00D1765B"/>
    <w:rsid w:val="00D2144D"/>
    <w:rsid w:val="00D23AD6"/>
    <w:rsid w:val="00D359C7"/>
    <w:rsid w:val="00D46446"/>
    <w:rsid w:val="00D50567"/>
    <w:rsid w:val="00D505E7"/>
    <w:rsid w:val="00D578ED"/>
    <w:rsid w:val="00D62350"/>
    <w:rsid w:val="00D64EF9"/>
    <w:rsid w:val="00D661E7"/>
    <w:rsid w:val="00D73987"/>
    <w:rsid w:val="00D75899"/>
    <w:rsid w:val="00D77850"/>
    <w:rsid w:val="00DA1E67"/>
    <w:rsid w:val="00DB0917"/>
    <w:rsid w:val="00DB25F8"/>
    <w:rsid w:val="00DB60DA"/>
    <w:rsid w:val="00DB7DB4"/>
    <w:rsid w:val="00DC065B"/>
    <w:rsid w:val="00DC11A4"/>
    <w:rsid w:val="00DD528E"/>
    <w:rsid w:val="00DD5A4A"/>
    <w:rsid w:val="00DD79EB"/>
    <w:rsid w:val="00DE00FB"/>
    <w:rsid w:val="00DE23EC"/>
    <w:rsid w:val="00DE3FEE"/>
    <w:rsid w:val="00E133CA"/>
    <w:rsid w:val="00E13987"/>
    <w:rsid w:val="00E17623"/>
    <w:rsid w:val="00E2152E"/>
    <w:rsid w:val="00E2791E"/>
    <w:rsid w:val="00E31EA1"/>
    <w:rsid w:val="00E337DF"/>
    <w:rsid w:val="00E351A1"/>
    <w:rsid w:val="00E41B0D"/>
    <w:rsid w:val="00E41FCA"/>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057D9"/>
    <w:rsid w:val="00F114F7"/>
    <w:rsid w:val="00F132E2"/>
    <w:rsid w:val="00F236DA"/>
    <w:rsid w:val="00F347B8"/>
    <w:rsid w:val="00F37A74"/>
    <w:rsid w:val="00F426CB"/>
    <w:rsid w:val="00F432D6"/>
    <w:rsid w:val="00F54337"/>
    <w:rsid w:val="00F649A5"/>
    <w:rsid w:val="00F67F60"/>
    <w:rsid w:val="00F80315"/>
    <w:rsid w:val="00F83106"/>
    <w:rsid w:val="00F92056"/>
    <w:rsid w:val="00F94F79"/>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F3BE"/>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6EAE7-F7CF-43BA-A919-C64FC4F8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6922</Words>
  <Characters>39458</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83</cp:revision>
  <cp:lastPrinted>2017-11-21T16:25:00Z</cp:lastPrinted>
  <dcterms:created xsi:type="dcterms:W3CDTF">2017-11-22T04:56:00Z</dcterms:created>
  <dcterms:modified xsi:type="dcterms:W3CDTF">2017-12-11T04:09:00Z</dcterms:modified>
</cp:coreProperties>
</file>