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16" w:rsidRPr="00A06E16" w:rsidRDefault="00A06E16" w:rsidP="00A06E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E16">
        <w:rPr>
          <w:rFonts w:ascii="Times New Roman" w:hAnsi="Times New Roman" w:cs="Times New Roman"/>
          <w:b/>
          <w:sz w:val="36"/>
          <w:szCs w:val="36"/>
        </w:rPr>
        <w:t>INVESTIGATION OF SUBSTITUENT EFFECTS BY</w:t>
      </w:r>
    </w:p>
    <w:p w:rsidR="00240F38" w:rsidRPr="00A06E16" w:rsidRDefault="00A06E16" w:rsidP="00A06E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E16">
        <w:rPr>
          <w:rFonts w:ascii="Times New Roman" w:hAnsi="Times New Roman" w:cs="Times New Roman"/>
          <w:b/>
          <w:sz w:val="36"/>
          <w:szCs w:val="36"/>
          <w:vertAlign w:val="superscript"/>
        </w:rPr>
        <w:t>13</w:t>
      </w:r>
      <w:r w:rsidRPr="00A06E16">
        <w:rPr>
          <w:rFonts w:ascii="Times New Roman" w:hAnsi="Times New Roman" w:cs="Times New Roman"/>
          <w:b/>
          <w:sz w:val="36"/>
          <w:szCs w:val="36"/>
        </w:rPr>
        <w:t>C NMR SPECTRA</w:t>
      </w:r>
    </w:p>
    <w:p w:rsidR="00A06E16" w:rsidRDefault="00A06E16" w:rsidP="00A06E16"/>
    <w:p w:rsidR="00A06E16" w:rsidRPr="00A06E16" w:rsidRDefault="00A06E16" w:rsidP="00A06E16">
      <w:pPr>
        <w:rPr>
          <w:rStyle w:val="fontstyle01"/>
          <w:sz w:val="32"/>
          <w:szCs w:val="32"/>
        </w:rPr>
      </w:pPr>
      <w:r w:rsidRPr="00A06E16">
        <w:rPr>
          <w:rStyle w:val="fontstyle01"/>
          <w:sz w:val="32"/>
          <w:szCs w:val="32"/>
        </w:rPr>
        <w:t xml:space="preserve">Transmission of the Substituent Effects Studied by </w:t>
      </w:r>
      <w:r w:rsidRPr="008B6462">
        <w:rPr>
          <w:rStyle w:val="fontstyle21"/>
          <w:sz w:val="32"/>
          <w:szCs w:val="32"/>
          <w:vertAlign w:val="superscript"/>
        </w:rPr>
        <w:t>13</w:t>
      </w:r>
      <w:r w:rsidRPr="00A06E16">
        <w:rPr>
          <w:rStyle w:val="fontstyle01"/>
          <w:sz w:val="32"/>
          <w:szCs w:val="32"/>
        </w:rPr>
        <w:t>C-NMR</w:t>
      </w:r>
    </w:p>
    <w:p w:rsidR="00A06E16" w:rsidRPr="00A06E16" w:rsidRDefault="00A06E16" w:rsidP="00A06E16">
      <w:pPr>
        <w:rPr>
          <w:rStyle w:val="fontstyle01"/>
          <w:sz w:val="32"/>
          <w:szCs w:val="32"/>
        </w:rPr>
      </w:pPr>
      <w:r w:rsidRPr="00A06E16">
        <w:rPr>
          <w:rStyle w:val="fontstyle01"/>
          <w:sz w:val="32"/>
          <w:szCs w:val="32"/>
        </w:rPr>
        <w:t>Chemical Shifts</w:t>
      </w:r>
    </w:p>
    <w:p w:rsidR="00A06E16" w:rsidRDefault="00A06E16" w:rsidP="00A06E16">
      <w:pPr>
        <w:spacing w:line="360" w:lineRule="auto"/>
        <w:ind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A06E16">
        <w:rPr>
          <w:rFonts w:ascii="TimesNewRoman" w:hAnsi="TimesNewRoman"/>
          <w:bCs/>
          <w:color w:val="000000"/>
          <w:sz w:val="32"/>
          <w:szCs w:val="32"/>
        </w:rPr>
        <w:t xml:space="preserve">Soon after the first systematic studies of the, </w:t>
      </w:r>
      <w:r w:rsidRPr="00A06E1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 NMR of aromatic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br/>
        <w:t xml:space="preserve">compounds it became evident that </w:t>
      </w:r>
      <w:r w:rsidRPr="00A06E1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 SCS are likely to be useful for the three reasons.</w:t>
      </w:r>
    </w:p>
    <w:p w:rsidR="00A06E16" w:rsidRDefault="00A06E16" w:rsidP="00A06E16">
      <w:pPr>
        <w:spacing w:line="360" w:lineRule="auto"/>
        <w:jc w:val="both"/>
      </w:pPr>
      <w:r>
        <w:rPr>
          <w:rFonts w:ascii="TimesNewRoman" w:hAnsi="TimesNewRoman"/>
          <w:bCs/>
          <w:color w:val="000000"/>
          <w:sz w:val="32"/>
          <w:szCs w:val="32"/>
        </w:rPr>
        <w:tab/>
      </w:r>
      <w:proofErr w:type="spellStart"/>
      <w:r w:rsidRPr="00A06E16">
        <w:rPr>
          <w:rFonts w:ascii="TimesNewRoman" w:hAnsi="TimesNewRoman"/>
          <w:bCs/>
          <w:color w:val="000000"/>
          <w:sz w:val="32"/>
          <w:szCs w:val="32"/>
        </w:rPr>
        <w:t>i</w:t>
      </w:r>
      <w:proofErr w:type="spellEnd"/>
      <w:r w:rsidRPr="00A06E16">
        <w:rPr>
          <w:rFonts w:ascii="TimesNewRoman" w:hAnsi="TimesNewRoman"/>
          <w:bCs/>
          <w:color w:val="000000"/>
          <w:sz w:val="32"/>
          <w:szCs w:val="32"/>
        </w:rPr>
        <w:t xml:space="preserve">) The inherently high dispersion of </w:t>
      </w:r>
      <w:r w:rsidRPr="00A06E1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 SCS means that data would be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obtained with fairly high precision, ii) There appears to be a close relationship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 xml:space="preserve">between the </w:t>
      </w:r>
      <w:r w:rsidRPr="00A06E1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 chemical shift of a nucleus and the calculated charge density at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that atom, thereby reinforcing the supposed parallelism with substituent electronic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perturbations, iii) The ,</w:t>
      </w:r>
      <w:r w:rsidRPr="00A06E1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 probe does not itself introduce any perturbation.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Consequently</w:t>
      </w:r>
      <w:r>
        <w:rPr>
          <w:rFonts w:ascii="TimesNewRoman" w:hAnsi="TimesNewRoman"/>
          <w:bCs/>
          <w:color w:val="000000"/>
          <w:sz w:val="32"/>
          <w:szCs w:val="32"/>
        </w:rPr>
        <w:t>,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 chemical shifts have been used extensively as monitors of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molecular structure and electronic distribution.</w:t>
      </w:r>
      <w:r w:rsidRPr="00A06E16">
        <w:t xml:space="preserve"> </w:t>
      </w:r>
    </w:p>
    <w:p w:rsidR="00A06E16" w:rsidRDefault="00A06E16" w:rsidP="00A17DF9">
      <w:pPr>
        <w:spacing w:line="360" w:lineRule="auto"/>
        <w:ind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A06E1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l3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C NMR chemical shift measurements are increasingly used for the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investigation of the electronic effects of the substituents and their mode of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transmission through aromatic and other unsaturated systems. In benzene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derivatives, a substituent exerts a characteristic substituent effect on the chemical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>shifts of the ring carbon atoms. The carbon shielding and the chemical reactivity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t xml:space="preserve">parameter are reflecting the changes in local </w:t>
      </w:r>
      <w:r w:rsidRPr="00A06E16">
        <w:rPr>
          <w:rFonts w:ascii="TimesNewRoman" w:hAnsi="TimesNewRoman"/>
          <w:bCs/>
          <w:color w:val="000000"/>
          <w:sz w:val="32"/>
          <w:szCs w:val="32"/>
        </w:rPr>
        <w:lastRenderedPageBreak/>
        <w:t>charge density arising from the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A17DF9" w:rsidRPr="00A17DF9">
        <w:rPr>
          <w:rFonts w:ascii="TimesNewRoman" w:hAnsi="TimesNewRoman"/>
          <w:bCs/>
          <w:color w:val="000000"/>
          <w:sz w:val="32"/>
          <w:szCs w:val="32"/>
        </w:rPr>
        <w:t>electronic influence of the substituent and hence these two quantities can be</w:t>
      </w:r>
      <w:r w:rsidR="00A17DF9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A17DF9" w:rsidRPr="00A17DF9">
        <w:rPr>
          <w:rFonts w:ascii="TimesNewRoman" w:hAnsi="TimesNewRoman"/>
          <w:bCs/>
          <w:color w:val="000000"/>
          <w:sz w:val="32"/>
          <w:szCs w:val="32"/>
        </w:rPr>
        <w:t>correlated.</w:t>
      </w:r>
    </w:p>
    <w:p w:rsidR="00A17DF9" w:rsidRDefault="00A17DF9" w:rsidP="00A17DF9">
      <w:pPr>
        <w:spacing w:line="360" w:lineRule="auto"/>
        <w:ind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A17DF9">
        <w:rPr>
          <w:rFonts w:ascii="TimesNewRoman" w:hAnsi="TimesNewRoman"/>
          <w:bCs/>
          <w:color w:val="000000"/>
          <w:sz w:val="32"/>
          <w:szCs w:val="32"/>
        </w:rPr>
        <w:t>The substituents may affect the local charge density of an aromatic carbon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3A20DC">
        <w:rPr>
          <w:rFonts w:ascii="TimesNewRoman" w:hAnsi="TimesNewRoman"/>
          <w:bCs/>
          <w:color w:val="000000"/>
          <w:sz w:val="32"/>
          <w:szCs w:val="32"/>
        </w:rPr>
        <w:t>by various effects (I</w:t>
      </w:r>
      <w:r w:rsidR="003A20DC" w:rsidRPr="003A20DC">
        <w:rPr>
          <w:rFonts w:ascii="Times New Roman" w:hAnsi="Times New Roman" w:cs="Times New Roman"/>
          <w:bCs/>
          <w:color w:val="000000"/>
          <w:sz w:val="32"/>
          <w:szCs w:val="32"/>
          <w:vertAlign w:val="subscript"/>
        </w:rPr>
        <w:t>σ</w:t>
      </w:r>
      <w:r w:rsidR="003A20DC">
        <w:rPr>
          <w:rFonts w:ascii="TimesNewRoman" w:hAnsi="TimesNewRoman"/>
          <w:bCs/>
          <w:color w:val="000000"/>
          <w:sz w:val="32"/>
          <w:szCs w:val="32"/>
        </w:rPr>
        <w:t xml:space="preserve">, </w:t>
      </w:r>
      <w:r w:rsidR="00414AEC">
        <w:rPr>
          <w:rFonts w:ascii="TimesNewRoman" w:hAnsi="TimesNewRoman"/>
          <w:bCs/>
          <w:color w:val="000000"/>
          <w:sz w:val="32"/>
          <w:szCs w:val="32"/>
        </w:rPr>
        <w:t>F,</w:t>
      </w:r>
      <w:r w:rsidR="00414AEC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πσ</w:t>
      </w:r>
      <w:r w:rsidR="00414AEC">
        <w:rPr>
          <w:rFonts w:ascii="TimesNewRoman" w:hAnsi="TimesNewRoman"/>
          <w:bCs/>
          <w:color w:val="000000"/>
          <w:sz w:val="32"/>
          <w:szCs w:val="32"/>
        </w:rPr>
        <w:t>,</w:t>
      </w:r>
      <w:r w:rsidR="00414AEC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π</w:t>
      </w:r>
      <w:r w:rsidR="00414AEC" w:rsidRPr="003A20DC">
        <w:rPr>
          <w:rFonts w:ascii="TimesNewRoman" w:hAnsi="TimesNewRoman"/>
          <w:bCs/>
          <w:color w:val="000000"/>
          <w:sz w:val="32"/>
          <w:szCs w:val="32"/>
          <w:vertAlign w:val="subscript"/>
        </w:rPr>
        <w:t>F</w:t>
      </w:r>
      <w:r w:rsidR="00414AEC">
        <w:rPr>
          <w:rFonts w:ascii="TimesNewRoman" w:hAnsi="TimesNewRoman"/>
          <w:bCs/>
          <w:color w:val="000000"/>
          <w:sz w:val="32"/>
          <w:szCs w:val="32"/>
        </w:rPr>
        <w:t>, R,</w:t>
      </w:r>
      <w:r w:rsidR="00414AEC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π</w:t>
      </w:r>
      <w:r w:rsidR="003A20DC" w:rsidRPr="003A20DC">
        <w:rPr>
          <w:rFonts w:ascii="TimesNewRoman" w:hAnsi="TimesNewRoman"/>
          <w:bCs/>
          <w:color w:val="000000"/>
          <w:sz w:val="32"/>
          <w:szCs w:val="32"/>
          <w:vertAlign w:val="subscript"/>
        </w:rPr>
        <w:t>orbital</w:t>
      </w:r>
      <w:r w:rsidR="003A20DC">
        <w:rPr>
          <w:rFonts w:ascii="TimesNewRoman" w:hAnsi="TimesNewRoman"/>
          <w:bCs/>
          <w:color w:val="000000"/>
          <w:sz w:val="32"/>
          <w:szCs w:val="32"/>
        </w:rPr>
        <w:t xml:space="preserve"> and </w:t>
      </w:r>
      <w:r w:rsidR="00414AEC">
        <w:rPr>
          <w:rFonts w:ascii="Times New Roman" w:hAnsi="Times New Roman" w:cs="Times New Roman"/>
          <w:bCs/>
          <w:color w:val="000000"/>
          <w:sz w:val="32"/>
          <w:szCs w:val="32"/>
        </w:rPr>
        <w:t>σ</w:t>
      </w:r>
      <w:r w:rsidR="00414AEC" w:rsidRPr="003A20DC">
        <w:rPr>
          <w:rFonts w:ascii="Times New Roman" w:hAnsi="Times New Roman" w:cs="Times New Roman"/>
          <w:bCs/>
          <w:color w:val="000000"/>
          <w:sz w:val="32"/>
          <w:szCs w:val="32"/>
          <w:vertAlign w:val="subscript"/>
        </w:rPr>
        <w:t>π</w:t>
      </w:r>
      <w:r w:rsidR="00414AEC"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>)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.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These changes in charge density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at the aromatic carbons affect the </w:t>
      </w:r>
      <w:r>
        <w:rPr>
          <w:rFonts w:ascii="TimesNewRoman" w:hAnsi="TimesNewRoman"/>
          <w:bCs/>
          <w:color w:val="000000"/>
          <w:sz w:val="32"/>
          <w:szCs w:val="32"/>
        </w:rPr>
        <w:t>p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aramagnetic shielding term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30</w:t>
      </w:r>
      <w:r w:rsidR="00414AEC">
        <w:rPr>
          <w:rFonts w:ascii="TimesNewRoman" w:hAnsi="TimesNewRoman"/>
          <w:bCs/>
          <w:color w:val="000000"/>
          <w:sz w:val="32"/>
          <w:szCs w:val="32"/>
        </w:rPr>
        <w:t>. Electron-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releasing substituents delocalize their lone pair of electrons into the </w:t>
      </w:r>
      <w:r w:rsidR="00414AEC">
        <w:rPr>
          <w:rFonts w:ascii="Times New Roman" w:hAnsi="Times New Roman" w:cs="Times New Roman"/>
          <w:bCs/>
          <w:color w:val="000000"/>
          <w:sz w:val="32"/>
          <w:szCs w:val="32"/>
        </w:rPr>
        <w:t>π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-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system and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increase the charge density at the </w:t>
      </w:r>
      <w:r w:rsidR="00414AEC">
        <w:rPr>
          <w:rFonts w:ascii="TimesNewRoman" w:hAnsi="TimesNewRoman"/>
          <w:bCs/>
          <w:i/>
          <w:iCs/>
          <w:color w:val="000000"/>
          <w:sz w:val="32"/>
          <w:szCs w:val="32"/>
        </w:rPr>
        <w:t>o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-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and 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p-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carbons of benzene derivatives.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Electron-attracting substituents can delocalize the </w:t>
      </w:r>
      <w:r w:rsidR="00414AEC">
        <w:rPr>
          <w:rFonts w:ascii="Times New Roman" w:hAnsi="Times New Roman" w:cs="Times New Roman"/>
          <w:bCs/>
          <w:color w:val="000000"/>
          <w:sz w:val="32"/>
          <w:szCs w:val="32"/>
        </w:rPr>
        <w:t>π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>-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electrons of the ring and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thereby reduce the charge density at the 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o-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and 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p-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carbons. Thus, electron releasing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substituents shield the 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o-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and 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p-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carbons while electron attracting substituents have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deshielding influence.</w:t>
      </w:r>
    </w:p>
    <w:p w:rsidR="00A06E16" w:rsidRDefault="00A17DF9" w:rsidP="00A17DF9">
      <w:pPr>
        <w:spacing w:line="360" w:lineRule="auto"/>
        <w:ind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A17DF9">
        <w:rPr>
          <w:rFonts w:ascii="TimesNewRoman" w:hAnsi="TimesNewRoman"/>
          <w:bCs/>
          <w:color w:val="000000"/>
          <w:sz w:val="32"/>
          <w:szCs w:val="32"/>
        </w:rPr>
        <w:t>The effect of substituents in the ring on the chemical shifts of side-chain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carbons is of obvious interest, especially in those cases where the side-chain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carbon is conjugated with the ring. This allows resonance interaction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with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substituents to take place and the effect of distance on the extent of such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interactions can be explored. The chemical shifts of SP</w:t>
      </w:r>
      <w:r w:rsidRPr="00D2155E">
        <w:rPr>
          <w:rFonts w:ascii="TimesNewRoman" w:hAnsi="TimesNewRoman"/>
          <w:bCs/>
          <w:color w:val="000000"/>
          <w:sz w:val="32"/>
          <w:szCs w:val="32"/>
          <w:vertAlign w:val="superscript"/>
        </w:rPr>
        <w:t>2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 and SP carbons directly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bonded to the ring have been observed to show </w:t>
      </w:r>
      <w:r w:rsidR="00B2454C">
        <w:rPr>
          <w:rFonts w:ascii="TimesNewRoman" w:hAnsi="TimesNewRoman"/>
          <w:bCs/>
          <w:color w:val="000000"/>
          <w:sz w:val="32"/>
          <w:szCs w:val="32"/>
        </w:rPr>
        <w:t>‘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reverse</w:t>
      </w:r>
      <w:r w:rsidR="00B2454C">
        <w:rPr>
          <w:rFonts w:ascii="TimesNewRoman" w:hAnsi="TimesNewRoman"/>
          <w:bCs/>
          <w:color w:val="000000"/>
          <w:sz w:val="32"/>
          <w:szCs w:val="32"/>
        </w:rPr>
        <w:t>’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 substituent effects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31,32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,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i.e. electron attracting substituents apparently increase the electron density on the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carbon concerned </w:t>
      </w:r>
      <w:r>
        <w:rPr>
          <w:rFonts w:ascii="TimesNewRoman" w:hAnsi="TimesNewRoman"/>
          <w:bCs/>
          <w:color w:val="000000"/>
          <w:sz w:val="32"/>
          <w:szCs w:val="32"/>
        </w:rPr>
        <w:t>w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hereas electron releasing substituent decrease it. This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phenomenon has been attribu</w:t>
      </w:r>
      <w:r w:rsidR="002F6C9F">
        <w:rPr>
          <w:rFonts w:ascii="TimesNewRoman" w:hAnsi="TimesNewRoman"/>
          <w:bCs/>
          <w:color w:val="000000"/>
          <w:sz w:val="32"/>
          <w:szCs w:val="32"/>
        </w:rPr>
        <w:t xml:space="preserve">ted to the polarization of the </w:t>
      </w:r>
      <w:r w:rsidR="002F6C9F">
        <w:rPr>
          <w:rFonts w:ascii="Times New Roman" w:hAnsi="Times New Roman" w:cs="Times New Roman"/>
          <w:bCs/>
          <w:color w:val="000000"/>
          <w:sz w:val="32"/>
          <w:szCs w:val="32"/>
        </w:rPr>
        <w:t>π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-</w:t>
      </w:r>
      <w:r w:rsidR="002F6C9F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system of the side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chain.</w:t>
      </w:r>
    </w:p>
    <w:p w:rsidR="00A17DF9" w:rsidRDefault="00A17DF9" w:rsidP="00A17DF9">
      <w:pPr>
        <w:spacing w:line="360" w:lineRule="auto"/>
        <w:ind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A17DF9">
        <w:rPr>
          <w:rFonts w:ascii="TimesNewRoman" w:hAnsi="TimesNewRoman"/>
          <w:bCs/>
          <w:color w:val="000000"/>
          <w:sz w:val="32"/>
          <w:szCs w:val="32"/>
        </w:rPr>
        <w:t>Correlation of the chemical shift with substituent constant (e.g. Hammett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σ)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has been widely used to investigate the nature of the effect of the substituent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of the physical properties of compounds. Electron density around the nucleus of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interest (C, H) is mostly affected by the electron-donating and electron</w:t>
      </w:r>
      <w:r w:rsidR="003527FC">
        <w:rPr>
          <w:rFonts w:ascii="TimesNewRoman" w:hAnsi="TimesNewRoman"/>
          <w:bCs/>
          <w:color w:val="000000"/>
          <w:sz w:val="32"/>
          <w:szCs w:val="32"/>
        </w:rPr>
        <w:t>-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withdrawing ability of the substituent. Therefore, a correlation between the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observed chemical shift and any parameter representing such ability seems to be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well-founded, would indicate that the effect of any other rate would be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satisfactorily predicted by simply measuring the chemical shift of a given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derivative, and there are numerous reports on the subject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33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. Correlation of these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parameters, has now been applied, originally proposed to equilibria and reaction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br/>
        <w:t xml:space="preserve">rates, to spectroscopic properties such as 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H and 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 NMR substituent induced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chemical shifts (SCS) in recent years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33- 40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.</w:t>
      </w:r>
    </w:p>
    <w:p w:rsidR="00A17DF9" w:rsidRDefault="00A17DF9" w:rsidP="00A17DF9">
      <w:pPr>
        <w:spacing w:line="360" w:lineRule="auto"/>
        <w:ind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A17DF9">
        <w:rPr>
          <w:rFonts w:ascii="TimesNewRoman" w:hAnsi="TimesNewRoman"/>
          <w:bCs/>
          <w:color w:val="000000"/>
          <w:sz w:val="32"/>
          <w:szCs w:val="32"/>
        </w:rPr>
        <w:t>The proton chemical shifts are influenced by magnetic anisotropies of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neighboring groups and by intermolecular (e.g. solvent) effects. In contrast with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H NMR chemical shifts, 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 chemical shifts are relatively insensitive to the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magnetic anisotropy effects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41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 and to solvent and concentration effects</w:t>
      </w:r>
      <w:r w:rsidRPr="00A17DF9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42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.</w:t>
      </w:r>
    </w:p>
    <w:p w:rsidR="00696C58" w:rsidRDefault="00A17DF9" w:rsidP="00696C58">
      <w:pPr>
        <w:spacing w:line="360" w:lineRule="auto"/>
        <w:ind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Extensive correlations of </w:t>
      </w:r>
      <w:r w:rsidRPr="00696C58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13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C chemical shifts in mono-substituted benzenes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with Hammett </w:t>
      </w:r>
      <w:r w:rsidR="003527FC" w:rsidRPr="003527FC">
        <w:rPr>
          <w:rFonts w:ascii="Times New Roman" w:hAnsi="Times New Roman" w:cs="Times New Roman"/>
          <w:bCs/>
          <w:color w:val="000000"/>
          <w:sz w:val="32"/>
          <w:szCs w:val="32"/>
        </w:rPr>
        <w:t>σ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constants were first reported by </w:t>
      </w:r>
      <w:proofErr w:type="spellStart"/>
      <w:r w:rsidRPr="00A17DF9">
        <w:rPr>
          <w:rFonts w:ascii="TimesNewRoman" w:hAnsi="TimesNewRoman"/>
          <w:bCs/>
          <w:color w:val="000000"/>
          <w:sz w:val="32"/>
          <w:szCs w:val="32"/>
        </w:rPr>
        <w:t>Spieseck</w:t>
      </w:r>
      <w:proofErr w:type="spellEnd"/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 and Schneider</w:t>
      </w:r>
      <w:r w:rsidRPr="00696C58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45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,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following the pioneering studies of Lauterbur</w:t>
      </w:r>
      <w:r w:rsidRPr="00696C58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44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. It was observed that the chemical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shifts measured for the 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>para</w:t>
      </w:r>
      <w:r w:rsidR="003527FC">
        <w:rPr>
          <w:rFonts w:ascii="TimesNewRoman" w:hAnsi="TimesNewRoman"/>
          <w:bCs/>
          <w:color w:val="000000"/>
          <w:sz w:val="32"/>
          <w:szCs w:val="32"/>
        </w:rPr>
        <w:t xml:space="preserve">-ring carbons </w:t>
      </w:r>
      <w:r w:rsidR="003527FC" w:rsidRPr="003527FC">
        <w:rPr>
          <w:rFonts w:ascii="Times New Roman" w:hAnsi="Times New Roman" w:cs="Times New Roman"/>
          <w:bCs/>
          <w:color w:val="000000"/>
          <w:sz w:val="32"/>
          <w:szCs w:val="32"/>
        </w:rPr>
        <w:t>δ</w:t>
      </w:r>
      <w:r w:rsidR="003527FC" w:rsidRPr="00696C58"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 w:rsidRPr="00696C58">
        <w:rPr>
          <w:rFonts w:ascii="TimesNewRoman" w:hAnsi="TimesNewRoman"/>
          <w:bCs/>
          <w:iCs/>
          <w:color w:val="000000"/>
          <w:sz w:val="32"/>
          <w:szCs w:val="32"/>
        </w:rPr>
        <w:t>(</w:t>
      </w:r>
      <w:proofErr w:type="spellStart"/>
      <w:r w:rsidRPr="00696C58">
        <w:rPr>
          <w:rFonts w:ascii="TimesNewRoman" w:hAnsi="TimesNewRoman"/>
          <w:bCs/>
          <w:iCs/>
          <w:color w:val="000000"/>
          <w:sz w:val="32"/>
          <w:szCs w:val="32"/>
        </w:rPr>
        <w:t>C</w:t>
      </w:r>
      <w:r w:rsidRPr="00696C58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p</w:t>
      </w:r>
      <w:proofErr w:type="spellEnd"/>
      <w:r w:rsidRPr="00696C58">
        <w:rPr>
          <w:rFonts w:ascii="TimesNewRoman" w:hAnsi="TimesNewRoman"/>
          <w:bCs/>
          <w:iCs/>
          <w:color w:val="000000"/>
          <w:sz w:val="32"/>
          <w:szCs w:val="32"/>
        </w:rPr>
        <w:t>)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of a series of mono-substituted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benzenes was approximately related to </w:t>
      </w:r>
      <w:r w:rsidR="00696C58" w:rsidRPr="00A17DF9">
        <w:rPr>
          <w:rFonts w:ascii="TimesNewRoman" w:hAnsi="TimesNewRoman"/>
          <w:bCs/>
          <w:color w:val="000000"/>
          <w:sz w:val="32"/>
          <w:szCs w:val="32"/>
        </w:rPr>
        <w:t xml:space="preserve">the </w:t>
      </w:r>
      <w:proofErr w:type="spellStart"/>
      <w:r w:rsidR="00696C58"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>σ</w:t>
      </w:r>
      <w:r w:rsidR="00696C58" w:rsidRPr="00696C58">
        <w:rPr>
          <w:rFonts w:ascii="TimesNewRoman" w:hAnsi="TimesNewRoman"/>
          <w:bCs/>
          <w:i/>
          <w:iCs/>
          <w:color w:val="000000"/>
          <w:sz w:val="32"/>
          <w:szCs w:val="32"/>
          <w:vertAlign w:val="superscript"/>
        </w:rPr>
        <w:t>+</w:t>
      </w:r>
      <w:r w:rsidRPr="00696C58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p</w:t>
      </w:r>
      <w:proofErr w:type="spellEnd"/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values of the substituents</w:t>
      </w:r>
      <w:r w:rsidRPr="00696C58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42</w:t>
      </w:r>
      <w:r w:rsidR="00696C58">
        <w:rPr>
          <w:rFonts w:ascii="TimesNewRoman" w:hAnsi="TimesNewRoman"/>
          <w:bCs/>
          <w:color w:val="000000"/>
          <w:sz w:val="32"/>
          <w:szCs w:val="32"/>
          <w:vertAlign w:val="superscript"/>
        </w:rPr>
        <w:t>,</w:t>
      </w:r>
      <w:r w:rsidRPr="00696C58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45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.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 xml:space="preserve">Attempts to find analogous relationships for </w:t>
      </w:r>
      <w:r w:rsidR="003527FC" w:rsidRPr="003527FC">
        <w:rPr>
          <w:rFonts w:ascii="Times New Roman" w:hAnsi="Times New Roman" w:cs="Times New Roman"/>
          <w:bCs/>
          <w:color w:val="000000"/>
          <w:sz w:val="32"/>
          <w:szCs w:val="32"/>
        </w:rPr>
        <w:t>δ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Pr="00696C58">
        <w:rPr>
          <w:rFonts w:ascii="TimesNewRoman" w:hAnsi="TimesNewRoman"/>
          <w:bCs/>
          <w:iCs/>
          <w:color w:val="000000"/>
          <w:sz w:val="32"/>
          <w:szCs w:val="32"/>
        </w:rPr>
        <w:t>(</w:t>
      </w:r>
      <w:r w:rsidR="00696C58" w:rsidRPr="00696C58">
        <w:rPr>
          <w:rFonts w:ascii="TimesNewRoman" w:hAnsi="TimesNewRoman"/>
          <w:bCs/>
          <w:iCs/>
          <w:color w:val="000000"/>
          <w:sz w:val="32"/>
          <w:szCs w:val="32"/>
        </w:rPr>
        <w:t>C</w:t>
      </w:r>
      <w:r w:rsidR="00696C58" w:rsidRPr="003527FC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m</w:t>
      </w:r>
      <w:r w:rsidR="00696C58" w:rsidRPr="00696C58">
        <w:rPr>
          <w:rFonts w:ascii="TimesNewRoman" w:hAnsi="TimesNewRoman"/>
          <w:bCs/>
          <w:iCs/>
          <w:color w:val="000000"/>
          <w:sz w:val="32"/>
          <w:szCs w:val="32"/>
        </w:rPr>
        <w:t>)</w:t>
      </w:r>
      <w:r w:rsidRPr="00A17DF9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Pr="00A17DF9">
        <w:rPr>
          <w:rFonts w:ascii="TimesNewRoman" w:hAnsi="TimesNewRoman"/>
          <w:bCs/>
          <w:color w:val="000000"/>
          <w:sz w:val="32"/>
          <w:szCs w:val="32"/>
        </w:rPr>
        <w:t>of mono substituted benzenes</w:t>
      </w:r>
      <w:r w:rsidR="00696C58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>have met with varied success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43,45,46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>. Schulman et al.</w:t>
      </w:r>
      <w:r w:rsidR="00696C58" w:rsidRPr="00D601F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45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 xml:space="preserve"> have shown that </w:t>
      </w:r>
      <w:r w:rsidR="003527FC">
        <w:rPr>
          <w:rFonts w:ascii="Times New Roman" w:hAnsi="Times New Roman" w:cs="Times New Roman"/>
          <w:bCs/>
          <w:color w:val="000000"/>
          <w:sz w:val="32"/>
          <w:szCs w:val="32"/>
        </w:rPr>
        <w:t>δ</w:t>
      </w:r>
      <w:r w:rsidR="00D601F6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>(C</w:t>
      </w:r>
      <w:r w:rsidR="00696C58" w:rsidRPr="003527FC">
        <w:rPr>
          <w:rFonts w:ascii="TimesNewRoman" w:hAnsi="TimesNewRoman"/>
          <w:bCs/>
          <w:color w:val="000000"/>
          <w:sz w:val="32"/>
          <w:szCs w:val="32"/>
          <w:vertAlign w:val="subscript"/>
        </w:rPr>
        <w:t>m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>)</w:t>
      </w:r>
      <w:r w:rsidR="00696C58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 xml:space="preserve">values of the substituents with non-bonding electron pairs correlate well with </w:t>
      </w:r>
      <w:r w:rsidR="003527FC">
        <w:rPr>
          <w:rFonts w:ascii="TimesNewRoman" w:hAnsi="TimesNewRoman"/>
          <w:bCs/>
          <w:color w:val="000000"/>
          <w:sz w:val="32"/>
          <w:szCs w:val="32"/>
        </w:rPr>
        <w:t xml:space="preserve">      </w:t>
      </w:r>
      <w:proofErr w:type="spellStart"/>
      <w:r w:rsidR="00D601F6" w:rsidRPr="00D601F6">
        <w:rPr>
          <w:rFonts w:ascii="TimesNewRoman" w:hAnsi="TimesNewRoman"/>
          <w:bCs/>
          <w:color w:val="000000"/>
          <w:sz w:val="32"/>
          <w:szCs w:val="32"/>
        </w:rPr>
        <w:t>σ</w:t>
      </w:r>
      <w:r w:rsidR="00696C58" w:rsidRPr="00D601F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+</w:t>
      </w:r>
      <w:r w:rsidR="00696C58" w:rsidRPr="00D601F6">
        <w:rPr>
          <w:rFonts w:ascii="TimesNewRoman" w:hAnsi="TimesNewRoman"/>
          <w:bCs/>
          <w:color w:val="000000"/>
          <w:sz w:val="32"/>
          <w:szCs w:val="32"/>
          <w:vertAlign w:val="subscript"/>
        </w:rPr>
        <w:t>m</w:t>
      </w:r>
      <w:proofErr w:type="spellEnd"/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>,</w:t>
      </w:r>
      <w:r w:rsidR="00696C58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696C58" w:rsidRPr="00696C58">
        <w:rPr>
          <w:rFonts w:ascii="TimesNewRoman" w:hAnsi="TimesNewRoman"/>
          <w:bCs/>
          <w:color w:val="000000"/>
          <w:sz w:val="32"/>
          <w:szCs w:val="32"/>
        </w:rPr>
        <w:t>but those of the remaining substituents give a less satisfactory correlations.</w:t>
      </w:r>
    </w:p>
    <w:p w:rsidR="00D601F6" w:rsidRPr="00977D1C" w:rsidRDefault="00D601F6" w:rsidP="00D601F6">
      <w:pPr>
        <w:spacing w:line="360" w:lineRule="auto"/>
        <w:ind w:firstLine="720"/>
        <w:rPr>
          <w:rFonts w:ascii="TimesNewRoman" w:hAnsi="TimesNewRoman"/>
          <w:color w:val="000000"/>
          <w:sz w:val="32"/>
          <w:szCs w:val="32"/>
        </w:rPr>
      </w:pPr>
      <w:r w:rsidRPr="00D601F6">
        <w:rPr>
          <w:rFonts w:ascii="TimesNewRoman" w:hAnsi="TimesNewRoman"/>
          <w:bCs/>
          <w:color w:val="000000"/>
          <w:sz w:val="32"/>
          <w:szCs w:val="32"/>
        </w:rPr>
        <w:t>A report on the correlation of NMR chemical shifts with Hammett values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and analogous </w:t>
      </w:r>
      <w:r>
        <w:rPr>
          <w:rFonts w:ascii="TimesNewRoman" w:hAnsi="TimesNewRoman"/>
          <w:bCs/>
          <w:color w:val="000000"/>
          <w:sz w:val="32"/>
          <w:szCs w:val="32"/>
        </w:rPr>
        <w:t>parameters</w:t>
      </w:r>
      <w:r w:rsidRPr="00D601F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29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 has been given as,</w:t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ab/>
      </w:r>
    </w:p>
    <w:p w:rsidR="00D601F6" w:rsidRDefault="00D601F6" w:rsidP="00D601F6">
      <w:pPr>
        <w:spacing w:line="360" w:lineRule="auto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                                 </w:t>
      </w:r>
      <w:r w:rsidR="00977D1C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>=</w:t>
      </w:r>
      <w:r w:rsidRPr="00D601F6">
        <w:t xml:space="preserve">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>+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 w:rsidR="00977D1C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perscript"/>
        </w:rPr>
        <w:t>o</w:t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ab/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ab/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ab/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ab/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ab/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ab/>
      </w:r>
      <w:r>
        <w:rPr>
          <w:rFonts w:ascii="TimesNewRoman" w:hAnsi="TimesNewRoman"/>
          <w:bCs/>
          <w:iCs/>
          <w:color w:val="000000"/>
          <w:sz w:val="32"/>
          <w:szCs w:val="32"/>
        </w:rPr>
        <w:tab/>
      </w:r>
      <w:r w:rsidRPr="00D601F6">
        <w:rPr>
          <w:rFonts w:ascii="TimesNewRoman" w:hAnsi="TimesNewRoman"/>
          <w:bCs/>
          <w:color w:val="000000"/>
          <w:sz w:val="32"/>
          <w:szCs w:val="32"/>
        </w:rPr>
        <w:t>(15)</w:t>
      </w:r>
    </w:p>
    <w:p w:rsidR="00D601F6" w:rsidRDefault="00D601F6" w:rsidP="0029550A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In Eq. (15), </w:t>
      </w:r>
      <w:r w:rsidR="00977D1C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Pr="00D601F6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is the chemical shift; 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D601F6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>is an appropriate reactivity</w:t>
      </w:r>
      <w:r w:rsidR="0029550A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>(Hammett)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parameter such as 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D601F6">
        <w:rPr>
          <w:rFonts w:ascii="TimesNewRoman" w:hAnsi="TimesNewRoman"/>
          <w:bCs/>
          <w:i/>
          <w:iCs/>
          <w:color w:val="000000"/>
          <w:sz w:val="32"/>
          <w:szCs w:val="32"/>
          <w:vertAlign w:val="superscript"/>
        </w:rPr>
        <w:t>+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p</w:t>
      </w:r>
      <w:proofErr w:type="spellEnd"/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,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 xml:space="preserve"> σ</w:t>
      </w:r>
      <w:r>
        <w:rPr>
          <w:rFonts w:ascii="TimesNewRoman" w:hAnsi="TimesNewRoman"/>
          <w:bCs/>
          <w:i/>
          <w:iCs/>
          <w:color w:val="000000"/>
          <w:sz w:val="32"/>
          <w:szCs w:val="32"/>
          <w:vertAlign w:val="superscript"/>
        </w:rPr>
        <w:t>-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p</w:t>
      </w:r>
      <w:r w:rsidRPr="00D601F6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, 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m</w:t>
      </w:r>
      <w:r w:rsidRPr="00D601F6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, 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I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>,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proofErr w:type="spellEnd"/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(BA),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perscript"/>
        </w:rPr>
        <w:t>o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proofErr w:type="spellEnd"/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, 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>
        <w:rPr>
          <w:rFonts w:ascii="TimesNewRoman" w:hAnsi="TimesNewRoman"/>
          <w:bCs/>
          <w:iCs/>
          <w:color w:val="000000"/>
          <w:sz w:val="32"/>
          <w:szCs w:val="32"/>
          <w:vertAlign w:val="superscript"/>
        </w:rPr>
        <w:t>+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proofErr w:type="spellEnd"/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,</w:t>
      </w:r>
      <w:r w:rsidR="0029550A" w:rsidRPr="0029550A"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 w:rsidR="0029550A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perscript"/>
        </w:rPr>
        <w:t>-</w:t>
      </w:r>
      <w:r w:rsidR="0029550A" w:rsidRPr="00D601F6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.</w:t>
      </w:r>
      <w:r w:rsidR="0029550A" w:rsidRPr="0029550A">
        <w:rPr>
          <w:rFonts w:ascii="Cambria Math" w:hAnsi="Cambria Math" w:cs="Cambria Math"/>
          <w:bCs/>
          <w:iCs/>
          <w:color w:val="000000"/>
          <w:sz w:val="32"/>
          <w:szCs w:val="32"/>
        </w:rPr>
        <w:t xml:space="preserve"> </w:t>
      </w:r>
      <w:r w:rsidR="00977D1C">
        <w:rPr>
          <w:rFonts w:ascii="Cambria Math" w:hAnsi="Cambria Math" w:cs="Cambria Math"/>
          <w:bCs/>
          <w:iCs/>
          <w:color w:val="000000"/>
          <w:sz w:val="32"/>
          <w:szCs w:val="32"/>
        </w:rPr>
        <w:t xml:space="preserve">  </w:t>
      </w:r>
      <w:r w:rsidR="0029550A"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>is a proportionality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constant and </w:t>
      </w:r>
      <w:r w:rsidR="00977D1C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9550A" w:rsidRPr="0029550A">
        <w:rPr>
          <w:rFonts w:ascii="TimesNewRoman" w:hAnsi="TimesNewRoman"/>
          <w:bCs/>
          <w:iCs/>
          <w:color w:val="000000"/>
          <w:sz w:val="32"/>
          <w:szCs w:val="32"/>
          <w:vertAlign w:val="superscript"/>
        </w:rPr>
        <w:t>o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 is the intercept. For several chemical structures, single parameter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>relationship does not give satisfactory correlations. Therefore, several dual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>substituent parameter (DSP) extensions of the Hammett approach have been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>developed. Among them the most important are Swain and Lupton</w:t>
      </w:r>
      <w:r w:rsidRPr="00D601F6">
        <w:rPr>
          <w:rFonts w:ascii="TimesNewRoman" w:hAnsi="TimesNewRoman"/>
          <w:bCs/>
          <w:color w:val="000000"/>
          <w:sz w:val="32"/>
          <w:szCs w:val="32"/>
          <w:vertAlign w:val="superscript"/>
        </w:rPr>
        <w:t>22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 (Eq.16) and</w:t>
      </w:r>
      <w:r w:rsidR="0029550A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proofErr w:type="spellStart"/>
      <w:r w:rsidRPr="00D601F6">
        <w:rPr>
          <w:rFonts w:ascii="TimesNewRoman" w:hAnsi="TimesNewRoman"/>
          <w:bCs/>
          <w:color w:val="000000"/>
          <w:sz w:val="32"/>
          <w:szCs w:val="32"/>
        </w:rPr>
        <w:t>Ehrenson</w:t>
      </w:r>
      <w:proofErr w:type="spellEnd"/>
      <w:r w:rsidRPr="00D601F6">
        <w:rPr>
          <w:rFonts w:ascii="TimesNewRoman" w:hAnsi="TimesNewRoman"/>
          <w:bCs/>
          <w:color w:val="000000"/>
          <w:sz w:val="32"/>
          <w:szCs w:val="32"/>
        </w:rPr>
        <w:t xml:space="preserve"> et al.</w:t>
      </w:r>
      <w:r w:rsidRPr="00D601F6">
        <w:rPr>
          <w:rFonts w:ascii="TimesNewRoman" w:hAnsi="TimesNewRoman"/>
          <w:bCs/>
          <w:color w:val="000000"/>
          <w:sz w:val="32"/>
          <w:szCs w:val="32"/>
          <w:vertAlign w:val="superscript"/>
        </w:rPr>
        <w:t xml:space="preserve">6 </w:t>
      </w:r>
      <w:r w:rsidRPr="00D601F6">
        <w:rPr>
          <w:rFonts w:ascii="TimesNewRoman" w:hAnsi="TimesNewRoman"/>
          <w:bCs/>
          <w:color w:val="000000"/>
          <w:sz w:val="32"/>
          <w:szCs w:val="32"/>
        </w:rPr>
        <w:t>(Eq.17).</w:t>
      </w:r>
    </w:p>
    <w:p w:rsidR="0029550A" w:rsidRDefault="004069E5" w:rsidP="0029550A">
      <w:pPr>
        <w:spacing w:line="360" w:lineRule="auto"/>
        <w:ind w:left="2640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/>
          <w:sz w:val="32"/>
          <w:szCs w:val="32"/>
        </w:rPr>
        <w:t xml:space="preserve">δ </w:t>
      </w:r>
      <w:r w:rsidR="0029550A">
        <w:rPr>
          <w:rFonts w:ascii="TimesNewRoman" w:hAnsi="TimesNewRoman"/>
          <w:bCs/>
          <w:iCs/>
          <w:color w:val="000000"/>
          <w:sz w:val="32"/>
          <w:szCs w:val="32"/>
        </w:rPr>
        <w:t>=</w:t>
      </w:r>
      <w:r w:rsidR="0029550A" w:rsidRPr="0029550A">
        <w:rPr>
          <w:rFonts w:ascii="TimesNewRoman" w:hAnsi="TimesNewRoman"/>
          <w:bCs/>
          <w:iCs/>
          <w:color w:val="000000"/>
          <w:sz w:val="32"/>
          <w:szCs w:val="32"/>
        </w:rPr>
        <w:t>ƒ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 w:rsidR="0029550A">
        <w:rPr>
          <w:rFonts w:ascii="TimesNewRoman" w:hAnsi="TimesNewRoman"/>
          <w:bCs/>
          <w:iCs/>
          <w:color w:val="000000"/>
          <w:sz w:val="32"/>
          <w:szCs w:val="32"/>
        </w:rPr>
        <w:t>F+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 w:rsidR="0029550A">
        <w:rPr>
          <w:rFonts w:ascii="TimesNewRoman" w:hAnsi="TimesNewRoman"/>
          <w:bCs/>
          <w:iCs/>
          <w:color w:val="000000"/>
          <w:sz w:val="32"/>
          <w:szCs w:val="32"/>
        </w:rPr>
        <w:t>r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proofErr w:type="spellStart"/>
      <w:r w:rsidR="0029550A">
        <w:rPr>
          <w:rFonts w:ascii="TimesNewRoman" w:hAnsi="TimesNewRoman"/>
          <w:bCs/>
          <w:iCs/>
          <w:color w:val="000000"/>
          <w:sz w:val="32"/>
          <w:szCs w:val="32"/>
        </w:rPr>
        <w:t>R</w:t>
      </w:r>
      <w:proofErr w:type="spellEnd"/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 w:rsidR="0029550A">
        <w:rPr>
          <w:rFonts w:ascii="TimesNewRoman" w:hAnsi="TimesNewRoman"/>
          <w:bCs/>
          <w:iCs/>
          <w:color w:val="000000"/>
          <w:sz w:val="32"/>
          <w:szCs w:val="32"/>
        </w:rPr>
        <w:t>+</w:t>
      </w:r>
      <w:r>
        <w:rPr>
          <w:rFonts w:ascii="TimesNewRoman" w:hAnsi="TimesNewRoman"/>
          <w:bCs/>
          <w:i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9550A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° </w:t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  <w:t xml:space="preserve">  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t>(16)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9550A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= </w:t>
      </w:r>
      <w:r w:rsidR="0029550A"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="0029550A"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I 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proofErr w:type="spellStart"/>
      <w:r w:rsidR="0029550A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="0029550A"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i</w:t>
      </w:r>
      <w:proofErr w:type="spellEnd"/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r w:rsidR="0029550A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>+</w:t>
      </w:r>
      <w:r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="0029550A"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 w:rsidR="0029550A"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r w:rsidR="0029550A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+</w:t>
      </w:r>
      <w:r w:rsidR="0029550A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9550A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>°</w:t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</w:r>
      <w:r w:rsid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ab/>
        <w:t xml:space="preserve"> </w:t>
      </w:r>
      <w:r w:rsidR="0029550A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t>(17)</w:t>
      </w:r>
    </w:p>
    <w:p w:rsidR="0029550A" w:rsidRDefault="0029550A" w:rsidP="0029550A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29550A">
        <w:rPr>
          <w:rFonts w:ascii="TimesNewRoman" w:hAnsi="TimesNewRoman"/>
          <w:bCs/>
          <w:color w:val="000000"/>
          <w:sz w:val="32"/>
          <w:szCs w:val="32"/>
        </w:rPr>
        <w:t>The important difference between the two is that Swain and Lupton apply a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>single set of F and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R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 values whereas </w:t>
      </w:r>
      <w:proofErr w:type="spellStart"/>
      <w:r w:rsidRPr="0029550A">
        <w:rPr>
          <w:rFonts w:ascii="TimesNewRoman" w:hAnsi="TimesNewRoman"/>
          <w:bCs/>
          <w:color w:val="000000"/>
          <w:sz w:val="32"/>
          <w:szCs w:val="32"/>
        </w:rPr>
        <w:t>Ehrenson</w:t>
      </w:r>
      <w:proofErr w:type="spellEnd"/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 et al.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perscript"/>
        </w:rPr>
        <w:t>6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 allow a choice of four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distinct 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bscript"/>
        </w:rPr>
        <w:t>R</w:t>
      </w:r>
      <w:proofErr w:type="spellEnd"/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 scales (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bscript"/>
        </w:rPr>
        <w:t>R</w:t>
      </w:r>
      <w:proofErr w:type="spellEnd"/>
      <w:r w:rsidRPr="0029550A">
        <w:rPr>
          <w:rFonts w:ascii="TimesNewRoman" w:hAnsi="TimesNewRoman"/>
          <w:bCs/>
          <w:color w:val="000000"/>
          <w:sz w:val="32"/>
          <w:szCs w:val="32"/>
          <w:vertAlign w:val="subscript"/>
        </w:rPr>
        <w:t xml:space="preserve"> 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(BA), 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>°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bscript"/>
        </w:rPr>
        <w:t>R</w:t>
      </w:r>
      <w:proofErr w:type="spellEnd"/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, </w:t>
      </w:r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perscript"/>
        </w:rPr>
        <w:t>-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bscript"/>
        </w:rPr>
        <w:t>R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 and </w:t>
      </w:r>
      <w:proofErr w:type="spellStart"/>
      <w:r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perscript"/>
        </w:rPr>
        <w:t>+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bscript"/>
        </w:rPr>
        <w:t>R</w:t>
      </w:r>
      <w:proofErr w:type="spellEnd"/>
      <w:r w:rsidRPr="0029550A">
        <w:rPr>
          <w:rFonts w:ascii="TimesNewRoman" w:hAnsi="TimesNewRoman"/>
          <w:bCs/>
          <w:color w:val="000000"/>
          <w:sz w:val="32"/>
          <w:szCs w:val="32"/>
        </w:rPr>
        <w:t>). Yukawa and Tsuno</w:t>
      </w:r>
      <w:r w:rsidRPr="0029550A">
        <w:rPr>
          <w:rFonts w:ascii="TimesNewRoman" w:hAnsi="TimesNewRoman"/>
          <w:bCs/>
          <w:color w:val="000000"/>
          <w:sz w:val="32"/>
          <w:szCs w:val="32"/>
          <w:vertAlign w:val="superscript"/>
        </w:rPr>
        <w:t>16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 xml:space="preserve"> proposed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>equation (4) for dealing with the enhanced resonance effects and they modified the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9550A">
        <w:rPr>
          <w:rFonts w:ascii="TimesNewRoman" w:hAnsi="TimesNewRoman"/>
          <w:bCs/>
          <w:color w:val="000000"/>
          <w:sz w:val="32"/>
          <w:szCs w:val="32"/>
        </w:rPr>
        <w:t>Hammett equation (Eq. 18) as follows,</w:t>
      </w:r>
    </w:p>
    <w:p w:rsidR="0029550A" w:rsidRDefault="005E3295" w:rsidP="00494E42">
      <w:pPr>
        <w:spacing w:line="360" w:lineRule="auto"/>
        <w:ind w:left="2160" w:firstLine="720"/>
        <w:jc w:val="both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9550A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= </w:t>
      </w:r>
      <w:r w:rsidR="0029550A"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="0029550A"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r w:rsid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r w:rsidR="0029550A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t xml:space="preserve"> + r (</w:t>
      </w:r>
      <w:r w:rsidR="0029550A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  <w:vertAlign w:val="superscript"/>
        </w:rPr>
        <w:t>+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t xml:space="preserve"> - </w:t>
      </w:r>
      <w:r w:rsidR="0029550A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t xml:space="preserve">) + </w:t>
      </w:r>
      <w:r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  <w:vertAlign w:val="superscript"/>
        </w:rPr>
        <w:t>o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494E42">
        <w:rPr>
          <w:rFonts w:ascii="TimesNewRoman" w:hAnsi="TimesNewRoman"/>
          <w:bCs/>
          <w:color w:val="000000"/>
          <w:sz w:val="32"/>
          <w:szCs w:val="32"/>
        </w:rPr>
        <w:tab/>
      </w:r>
      <w:r w:rsidR="00494E42">
        <w:rPr>
          <w:rFonts w:ascii="TimesNewRoman" w:hAnsi="TimesNewRoman"/>
          <w:bCs/>
          <w:color w:val="000000"/>
          <w:sz w:val="32"/>
          <w:szCs w:val="32"/>
        </w:rPr>
        <w:tab/>
      </w:r>
      <w:r w:rsidR="00494E42">
        <w:rPr>
          <w:rFonts w:ascii="TimesNewRoman" w:hAnsi="TimesNewRoman"/>
          <w:bCs/>
          <w:color w:val="000000"/>
          <w:sz w:val="32"/>
          <w:szCs w:val="32"/>
        </w:rPr>
        <w:tab/>
      </w:r>
      <w:r w:rsidR="00832072">
        <w:rPr>
          <w:rFonts w:ascii="TimesNewRoman" w:hAnsi="TimesNewRoman"/>
          <w:bCs/>
          <w:color w:val="000000"/>
          <w:sz w:val="32"/>
          <w:szCs w:val="32"/>
        </w:rPr>
        <w:tab/>
        <w:t xml:space="preserve"> (</w:t>
      </w:r>
      <w:r w:rsidR="0029550A" w:rsidRPr="0029550A">
        <w:rPr>
          <w:rFonts w:ascii="TimesNewRoman" w:hAnsi="TimesNewRoman"/>
          <w:bCs/>
          <w:color w:val="000000"/>
          <w:sz w:val="32"/>
          <w:szCs w:val="32"/>
        </w:rPr>
        <w:t>18)</w:t>
      </w:r>
    </w:p>
    <w:p w:rsidR="0023507F" w:rsidRPr="0023507F" w:rsidRDefault="0023507F" w:rsidP="00784C2C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23507F">
        <w:rPr>
          <w:rFonts w:ascii="TimesNewRoman" w:hAnsi="TimesNewRoman"/>
          <w:bCs/>
          <w:color w:val="000000"/>
          <w:sz w:val="32"/>
          <w:szCs w:val="32"/>
        </w:rPr>
        <w:t>the quantity 'r' is a proportionality constant giving the contribution of the</w:t>
      </w:r>
    </w:p>
    <w:p w:rsidR="0023507F" w:rsidRDefault="0023507F" w:rsidP="00784C2C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 w:rsidRPr="0023507F">
        <w:rPr>
          <w:rFonts w:ascii="TimesNewRoman" w:hAnsi="TimesNewRoman"/>
          <w:bCs/>
          <w:color w:val="000000"/>
          <w:sz w:val="32"/>
          <w:szCs w:val="32"/>
        </w:rPr>
        <w:t>enhanced resonance effects for +M substituents.</w:t>
      </w:r>
    </w:p>
    <w:p w:rsidR="0023507F" w:rsidRPr="0023507F" w:rsidRDefault="0023507F" w:rsidP="00784C2C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NewRoman" w:hAnsi="TimesNewRoman"/>
          <w:bCs/>
          <w:color w:val="000000"/>
          <w:sz w:val="32"/>
          <w:szCs w:val="32"/>
        </w:rPr>
        <w:tab/>
      </w:r>
      <w:r w:rsidRPr="0023507F">
        <w:rPr>
          <w:rFonts w:ascii="TimesNewRoman" w:hAnsi="TimesNewRoman"/>
          <w:bCs/>
          <w:color w:val="000000"/>
          <w:sz w:val="32"/>
          <w:szCs w:val="32"/>
        </w:rPr>
        <w:t>The DSP analysis of sterically congested systems has been improved by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TSP by using Charton’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s steric parameter using Eq. (19).</w:t>
      </w:r>
    </w:p>
    <w:p w:rsidR="0023507F" w:rsidRDefault="005E3295" w:rsidP="0023507F">
      <w:pPr>
        <w:spacing w:line="240" w:lineRule="auto"/>
        <w:ind w:left="2160"/>
        <w:jc w:val="both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δ</w:t>
      </w:r>
      <w:r w:rsidR="0023507F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 xml:space="preserve"> = </w:t>
      </w:r>
      <w:r w:rsidR="0023507F"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="0023507F"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I </w:t>
      </w:r>
      <w:r w:rsidR="0023507F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r w:rsidR="0023507F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I</w:t>
      </w:r>
      <w:r w:rsidR="0023507F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>+</w:t>
      </w:r>
      <w:r w:rsidR="0023507F"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="0023507F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 w:rsidR="0023507F"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 </w:t>
      </w:r>
      <w:r w:rsidR="0023507F" w:rsidRPr="00D601F6">
        <w:rPr>
          <w:rFonts w:ascii="TimesNewRoman" w:hAnsi="TimesNewRoman"/>
          <w:bCs/>
          <w:iCs/>
          <w:color w:val="000000"/>
          <w:sz w:val="32"/>
          <w:szCs w:val="32"/>
        </w:rPr>
        <w:t>σ</w:t>
      </w:r>
      <w:r w:rsidR="0023507F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 xml:space="preserve">r </w:t>
      </w:r>
      <w:r w:rsidR="0023507F">
        <w:rPr>
          <w:rFonts w:ascii="TimesNewRoman" w:hAnsi="TimesNewRoman"/>
          <w:bCs/>
          <w:iCs/>
          <w:color w:val="000000"/>
          <w:sz w:val="32"/>
          <w:szCs w:val="32"/>
        </w:rPr>
        <w:t xml:space="preserve">+ </w:t>
      </w:r>
      <w:r w:rsidR="0023507F" w:rsidRPr="005E3295">
        <w:rPr>
          <w:rFonts w:ascii="TimesNewRoman" w:hAnsi="TimesNewRoman"/>
          <w:iCs/>
          <w:color w:val="000000"/>
          <w:sz w:val="32"/>
          <w:szCs w:val="32"/>
        </w:rPr>
        <w:t>φ</w:t>
      </w:r>
      <w:r w:rsidRPr="005E3295">
        <w:rPr>
          <w:rFonts w:ascii="Cambria Math" w:hAnsi="Cambria Math" w:cs="Cambria Math"/>
          <w:color w:val="000000"/>
          <w:sz w:val="32"/>
          <w:szCs w:val="32"/>
          <w:shd w:val="clear" w:color="auto" w:fill="EAECF0"/>
        </w:rPr>
        <w:t>ν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EAECF0"/>
        </w:rPr>
        <w:t>+</w:t>
      </w:r>
      <w:r w:rsidRPr="005E3295">
        <w:rPr>
          <w:rFonts w:ascii="Times New Roman" w:hAnsi="Times New Roman" w:cs="Times New Roman"/>
          <w:iCs/>
          <w:color w:val="000000"/>
          <w:sz w:val="32"/>
          <w:szCs w:val="32"/>
        </w:rPr>
        <w:t>δ</w:t>
      </w:r>
      <w:r w:rsidR="0023507F" w:rsidRPr="0029550A">
        <w:rPr>
          <w:rFonts w:ascii="TimesNewRoman" w:hAnsi="TimesNewRoman"/>
          <w:bCs/>
          <w:i/>
          <w:iCs/>
          <w:color w:val="000000"/>
          <w:sz w:val="32"/>
          <w:szCs w:val="32"/>
        </w:rPr>
        <w:t>°</w:t>
      </w:r>
      <w:r w:rsidR="0023507F" w:rsidRPr="0023507F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23507F">
        <w:rPr>
          <w:rFonts w:ascii="TimesNewRoman" w:hAnsi="TimesNewRoman"/>
          <w:bCs/>
          <w:color w:val="000000"/>
          <w:sz w:val="32"/>
          <w:szCs w:val="32"/>
        </w:rPr>
        <w:t xml:space="preserve">  </w:t>
      </w:r>
      <w:r w:rsidR="0023507F">
        <w:rPr>
          <w:rFonts w:ascii="TimesNewRoman" w:hAnsi="TimesNewRoman"/>
          <w:bCs/>
          <w:color w:val="000000"/>
          <w:sz w:val="32"/>
          <w:szCs w:val="32"/>
        </w:rPr>
        <w:tab/>
      </w:r>
      <w:r w:rsidR="0023507F">
        <w:rPr>
          <w:rFonts w:ascii="TimesNewRoman" w:hAnsi="TimesNewRoman"/>
          <w:bCs/>
          <w:color w:val="000000"/>
          <w:sz w:val="32"/>
          <w:szCs w:val="32"/>
        </w:rPr>
        <w:tab/>
      </w:r>
      <w:r w:rsidR="0023507F">
        <w:rPr>
          <w:rFonts w:ascii="TimesNewRoman" w:hAnsi="TimesNewRoman"/>
          <w:bCs/>
          <w:color w:val="000000"/>
          <w:sz w:val="32"/>
          <w:szCs w:val="32"/>
        </w:rPr>
        <w:tab/>
      </w:r>
      <w:r w:rsidR="0023507F">
        <w:rPr>
          <w:rFonts w:ascii="TimesNewRoman" w:hAnsi="TimesNewRoman"/>
          <w:bCs/>
          <w:color w:val="000000"/>
          <w:sz w:val="32"/>
          <w:szCs w:val="32"/>
        </w:rPr>
        <w:tab/>
      </w:r>
      <w:r w:rsidR="0023507F">
        <w:rPr>
          <w:rFonts w:ascii="TimesNewRoman" w:hAnsi="TimesNewRoman"/>
          <w:bCs/>
          <w:color w:val="000000"/>
          <w:sz w:val="32"/>
          <w:szCs w:val="32"/>
        </w:rPr>
        <w:tab/>
        <w:t xml:space="preserve"> </w:t>
      </w:r>
      <w:r w:rsidR="0023507F" w:rsidRPr="0023507F">
        <w:rPr>
          <w:rFonts w:ascii="TimesNewRoman" w:hAnsi="TimesNewRoman"/>
          <w:bCs/>
          <w:color w:val="000000"/>
          <w:sz w:val="32"/>
          <w:szCs w:val="32"/>
        </w:rPr>
        <w:t>(19)</w:t>
      </w:r>
    </w:p>
    <w:p w:rsidR="0023507F" w:rsidRDefault="0023507F" w:rsidP="0023507F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NewRoman" w:hAnsi="TimesNewRoman"/>
          <w:bCs/>
          <w:color w:val="000000"/>
          <w:sz w:val="32"/>
          <w:szCs w:val="32"/>
        </w:rPr>
        <w:tab/>
      </w:r>
      <w:r w:rsidRPr="0023507F">
        <w:rPr>
          <w:rFonts w:ascii="TimesNewRoman" w:hAnsi="TimesNewRoman"/>
          <w:bCs/>
          <w:color w:val="000000"/>
          <w:sz w:val="32"/>
          <w:szCs w:val="32"/>
        </w:rPr>
        <w:t>The DSP equation (17) is the most generally useful treatment and is well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suited for the analysis of spectroscopic data. In equation (17), the derived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I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and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 w:rsidRPr="0023507F"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values which are position-dependent, give a direct measure of the relative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transmission of inductive and resonance effects. The DSP method represents a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general approach for the correlation of substituent effects over a large range of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different data sets. </w:t>
      </w:r>
      <w:r>
        <w:rPr>
          <w:rFonts w:ascii="TimesNewRoman" w:hAnsi="TimesNewRoman"/>
          <w:bCs/>
          <w:color w:val="000000"/>
          <w:sz w:val="32"/>
          <w:szCs w:val="32"/>
        </w:rPr>
        <w:t>The g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enerality is due to the independence of the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I</w:t>
      </w:r>
      <w:r w:rsidRPr="0023507F"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and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transmission coefficients. Since inductive and resonance effects are transmitted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by different mechanisms</w:t>
      </w:r>
      <w:r w:rsidRPr="0023507F">
        <w:rPr>
          <w:rFonts w:ascii="TimesNewRoman" w:hAnsi="TimesNewRoman"/>
          <w:bCs/>
          <w:color w:val="000000"/>
          <w:sz w:val="32"/>
          <w:szCs w:val="32"/>
          <w:vertAlign w:val="superscript"/>
        </w:rPr>
        <w:t>7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their relative importance may change from one system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to another. This feature </w:t>
      </w:r>
      <w:r w:rsidR="00C92B7D" w:rsidRPr="0023507F">
        <w:rPr>
          <w:rFonts w:ascii="TimesNewRoman" w:hAnsi="TimesNewRoman"/>
          <w:bCs/>
          <w:color w:val="000000"/>
          <w:sz w:val="32"/>
          <w:szCs w:val="32"/>
        </w:rPr>
        <w:t>cannot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be accommodated</w:t>
      </w:r>
      <w:r w:rsidRPr="0023507F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47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in a single parameter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approach. The answer to the question whether a DSP method or a single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parameter equation will best describe the SCS of the various systems is a subject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of controversy. Last two decades papers may be mentioned to exemplify this.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="00C92B7D">
        <w:rPr>
          <w:rFonts w:ascii="TimesNewRoman" w:hAnsi="TimesNewRoman"/>
          <w:bCs/>
          <w:color w:val="000000"/>
          <w:sz w:val="32"/>
          <w:szCs w:val="32"/>
        </w:rPr>
        <w:t>Corn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elis et al.</w:t>
      </w:r>
      <w:r w:rsidRPr="0023507F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48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and </w:t>
      </w:r>
      <w:proofErr w:type="spellStart"/>
      <w:r w:rsidRPr="0023507F">
        <w:rPr>
          <w:rFonts w:ascii="TimesNewRoman" w:hAnsi="TimesNewRoman"/>
          <w:bCs/>
          <w:color w:val="000000"/>
          <w:sz w:val="32"/>
          <w:szCs w:val="32"/>
        </w:rPr>
        <w:t>Bottino</w:t>
      </w:r>
      <w:proofErr w:type="spellEnd"/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et al.</w:t>
      </w:r>
      <w:r w:rsidRPr="0023507F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49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by an examination of a number of styrene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derivatives reached the conclusion that the DSP treatment in general is not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significantly superior to the simpler sin</w:t>
      </w:r>
      <w:r w:rsidR="00C92B7D">
        <w:rPr>
          <w:rFonts w:ascii="TimesNewRoman" w:hAnsi="TimesNewRoman"/>
          <w:bCs/>
          <w:color w:val="000000"/>
          <w:sz w:val="32"/>
          <w:szCs w:val="32"/>
        </w:rPr>
        <w:t>gle parameter treatment. But Corn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elis data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enabled Craik and Co-workers</w:t>
      </w:r>
      <w:r w:rsidRPr="0023507F">
        <w:rPr>
          <w:rFonts w:ascii="TimesNewRoman" w:hAnsi="TimesNewRoman"/>
          <w:bCs/>
          <w:color w:val="000000"/>
          <w:sz w:val="32"/>
          <w:szCs w:val="32"/>
          <w:vertAlign w:val="superscript"/>
        </w:rPr>
        <w:t>47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to show the power of the DSP method. </w:t>
      </w:r>
      <w:proofErr w:type="spellStart"/>
      <w:r w:rsidRPr="0023507F">
        <w:rPr>
          <w:rFonts w:ascii="TimesNewRoman" w:hAnsi="TimesNewRoman"/>
          <w:bCs/>
          <w:color w:val="000000"/>
          <w:sz w:val="32"/>
          <w:szCs w:val="32"/>
        </w:rPr>
        <w:t>Anu</w:t>
      </w:r>
      <w:proofErr w:type="spellEnd"/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i/>
          <w:iCs/>
          <w:color w:val="000000"/>
          <w:sz w:val="32"/>
          <w:szCs w:val="32"/>
        </w:rPr>
        <w:t>et al</w:t>
      </w:r>
      <w:r w:rsidRPr="0023507F"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>.</w:t>
      </w:r>
      <w:r w:rsidRPr="0023507F">
        <w:rPr>
          <w:rFonts w:ascii="TimesNewRoman" w:hAnsi="TimesNewRoman"/>
          <w:bCs/>
          <w:iCs/>
          <w:color w:val="000000"/>
          <w:sz w:val="32"/>
          <w:szCs w:val="32"/>
          <w:vertAlign w:val="superscript"/>
        </w:rPr>
        <w:t>50</w:t>
      </w:r>
      <w:r w:rsidRPr="0023507F"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also have proved the power of the DSP method. It may be concluded that,</w:t>
      </w:r>
    </w:p>
    <w:p w:rsidR="0023507F" w:rsidRDefault="0023507F" w:rsidP="00C92B7D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NewRoman" w:hAnsi="TimesNewRoman"/>
          <w:bCs/>
          <w:color w:val="000000"/>
          <w:sz w:val="32"/>
          <w:szCs w:val="32"/>
        </w:rPr>
        <w:tab/>
      </w:r>
      <w:proofErr w:type="spellStart"/>
      <w:r w:rsidRPr="0023507F">
        <w:rPr>
          <w:rFonts w:ascii="TimesNewRoman" w:hAnsi="TimesNewRoman"/>
          <w:bCs/>
          <w:color w:val="000000"/>
          <w:sz w:val="32"/>
          <w:szCs w:val="32"/>
        </w:rPr>
        <w:t>i</w:t>
      </w:r>
      <w:proofErr w:type="spellEnd"/>
      <w:r w:rsidRPr="0023507F">
        <w:rPr>
          <w:rFonts w:ascii="TimesNewRoman" w:hAnsi="TimesNewRoman"/>
          <w:bCs/>
          <w:color w:val="000000"/>
          <w:sz w:val="32"/>
          <w:szCs w:val="32"/>
        </w:rPr>
        <w:t>) while in some situations there might be no significant important in fits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obtained by the DSP method compared with single parameter treatment, this is not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so in the general case, and</w:t>
      </w:r>
    </w:p>
    <w:p w:rsidR="0023507F" w:rsidRDefault="0023507F" w:rsidP="00C92B7D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NewRoman" w:hAnsi="TimesNewRoman"/>
          <w:bCs/>
          <w:color w:val="000000"/>
          <w:sz w:val="32"/>
          <w:szCs w:val="32"/>
        </w:rPr>
        <w:tab/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ii) the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I</w:t>
      </w:r>
      <w:r w:rsidRPr="0023507F"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and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values obtained from the DSP analysis are extremely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useful in assigning mechanistic significance to proposed pathways for the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>transmission of substituent effects.</w:t>
      </w:r>
    </w:p>
    <w:p w:rsidR="00621123" w:rsidRPr="00A06E16" w:rsidRDefault="00621123" w:rsidP="00C92B7D">
      <w:pPr>
        <w:spacing w:line="360" w:lineRule="auto"/>
        <w:jc w:val="both"/>
        <w:rPr>
          <w:rFonts w:ascii="TimesNewRoman" w:hAnsi="TimesNewRoman"/>
          <w:bCs/>
          <w:color w:val="000000"/>
          <w:sz w:val="32"/>
          <w:szCs w:val="32"/>
        </w:rPr>
      </w:pPr>
      <w:r>
        <w:rPr>
          <w:rFonts w:ascii="TimesNewRoman" w:hAnsi="TimesNewRoman"/>
          <w:bCs/>
          <w:color w:val="000000"/>
          <w:sz w:val="32"/>
          <w:szCs w:val="32"/>
        </w:rPr>
        <w:tab/>
      </w:r>
      <w:r w:rsidRPr="00621123">
        <w:rPr>
          <w:rFonts w:ascii="TimesNewRoman" w:hAnsi="TimesNewRoman"/>
          <w:bCs/>
          <w:color w:val="000000"/>
          <w:sz w:val="32"/>
          <w:szCs w:val="32"/>
        </w:rPr>
        <w:t>The relative importance of the resonance and inductive effects is expressed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621123">
        <w:rPr>
          <w:rFonts w:ascii="TimesNewRoman" w:hAnsi="TimesNewRoman"/>
          <w:bCs/>
          <w:color w:val="000000"/>
          <w:sz w:val="32"/>
          <w:szCs w:val="32"/>
        </w:rPr>
        <w:t>by blending factor (λ) obtained as the ratio of the coefficients r and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 </w:t>
      </w:r>
      <w:r w:rsidRPr="00621123">
        <w:rPr>
          <w:rFonts w:ascii="TimesNewRoman" w:hAnsi="TimesNewRoman"/>
          <w:bCs/>
          <w:color w:val="000000"/>
          <w:sz w:val="32"/>
          <w:szCs w:val="32"/>
        </w:rPr>
        <w:t xml:space="preserve">ƒ </w:t>
      </w:r>
      <w:r>
        <w:rPr>
          <w:rFonts w:ascii="TimesNewRoman" w:hAnsi="TimesNewRoman"/>
          <w:bCs/>
          <w:color w:val="000000"/>
          <w:sz w:val="32"/>
          <w:szCs w:val="32"/>
        </w:rPr>
        <w:t xml:space="preserve">or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 w:rsidRPr="0029550A"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I</w:t>
      </w:r>
      <w:r w:rsidRPr="0023507F">
        <w:rPr>
          <w:rFonts w:ascii="TimesNewRoman" w:hAnsi="TimesNewRoman"/>
          <w:b/>
          <w:bCs/>
          <w:i/>
          <w:iCs/>
          <w:color w:val="000000"/>
          <w:sz w:val="32"/>
          <w:szCs w:val="32"/>
        </w:rPr>
        <w:t xml:space="preserve"> </w:t>
      </w:r>
      <w:r w:rsidRPr="0023507F">
        <w:rPr>
          <w:rFonts w:ascii="TimesNewRoman" w:hAnsi="TimesNewRoman"/>
          <w:bCs/>
          <w:color w:val="000000"/>
          <w:sz w:val="32"/>
          <w:szCs w:val="32"/>
        </w:rPr>
        <w:t xml:space="preserve">and </w:t>
      </w:r>
      <w:r w:rsidRPr="00D601F6">
        <w:rPr>
          <w:rFonts w:ascii="Cambria Math" w:hAnsi="Cambria Math" w:cs="Cambria Math"/>
          <w:bCs/>
          <w:iCs/>
          <w:color w:val="000000"/>
          <w:sz w:val="32"/>
          <w:szCs w:val="32"/>
        </w:rPr>
        <w:t>⍴</w:t>
      </w:r>
      <w:r>
        <w:rPr>
          <w:rFonts w:ascii="TimesNewRoman" w:hAnsi="TimesNewRoman"/>
          <w:bCs/>
          <w:iCs/>
          <w:color w:val="000000"/>
          <w:sz w:val="32"/>
          <w:szCs w:val="32"/>
          <w:vertAlign w:val="subscript"/>
        </w:rPr>
        <w:t>r</w:t>
      </w:r>
      <w:r w:rsidRPr="00621123">
        <w:rPr>
          <w:rFonts w:ascii="TimesNewRoman" w:hAnsi="TimesNewRoman"/>
          <w:bCs/>
          <w:color w:val="000000"/>
          <w:sz w:val="32"/>
          <w:szCs w:val="32"/>
        </w:rPr>
        <w:t>.</w:t>
      </w:r>
      <w:bookmarkStart w:id="0" w:name="_GoBack"/>
      <w:bookmarkEnd w:id="0"/>
    </w:p>
    <w:sectPr w:rsidR="00621123" w:rsidRPr="00A0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16"/>
    <w:rsid w:val="0023507F"/>
    <w:rsid w:val="00240F38"/>
    <w:rsid w:val="0029550A"/>
    <w:rsid w:val="002F6C9F"/>
    <w:rsid w:val="003527FC"/>
    <w:rsid w:val="003A20DC"/>
    <w:rsid w:val="004069E5"/>
    <w:rsid w:val="00414AEC"/>
    <w:rsid w:val="00494E42"/>
    <w:rsid w:val="00592825"/>
    <w:rsid w:val="005E3295"/>
    <w:rsid w:val="00621123"/>
    <w:rsid w:val="00696C58"/>
    <w:rsid w:val="00784C2C"/>
    <w:rsid w:val="00832072"/>
    <w:rsid w:val="008B6462"/>
    <w:rsid w:val="008F72C3"/>
    <w:rsid w:val="00977D1C"/>
    <w:rsid w:val="00A06E16"/>
    <w:rsid w:val="00A17DF9"/>
    <w:rsid w:val="00B2454C"/>
    <w:rsid w:val="00C92B7D"/>
    <w:rsid w:val="00D2155E"/>
    <w:rsid w:val="00D6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4E1E"/>
  <w15:chartTrackingRefBased/>
  <w15:docId w15:val="{11196FC3-903F-4004-82FB-1D3A28F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6E16"/>
    <w:rPr>
      <w:rFonts w:ascii="TimesNewRoman" w:hAnsi="TimesNewRoman" w:hint="default"/>
      <w:b/>
      <w:bCs/>
      <w:i w:val="0"/>
      <w:iCs w:val="0"/>
      <w:color w:val="000000"/>
      <w:sz w:val="38"/>
      <w:szCs w:val="38"/>
    </w:rPr>
  </w:style>
  <w:style w:type="character" w:customStyle="1" w:styleId="fontstyle21">
    <w:name w:val="fontstyle21"/>
    <w:basedOn w:val="DefaultParagraphFont"/>
    <w:rsid w:val="00A06E16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0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C4D3-53AF-4145-A37D-9170E131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12</cp:revision>
  <dcterms:created xsi:type="dcterms:W3CDTF">2016-12-17T13:31:00Z</dcterms:created>
  <dcterms:modified xsi:type="dcterms:W3CDTF">2016-12-18T04:57:00Z</dcterms:modified>
</cp:coreProperties>
</file>