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43416F" w:rsidP="0043416F">
      <w:pPr>
        <w:jc w:val="center"/>
      </w:pPr>
      <w:r>
        <w:rPr>
          <w:noProof/>
        </w:rPr>
        <w:drawing>
          <wp:inline distT="0" distB="0" distL="0" distR="0" wp14:anchorId="53967862" wp14:editId="3CFF6D9E">
            <wp:extent cx="5153025" cy="415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16F" w:rsidRDefault="0043416F" w:rsidP="0043416F">
      <w:pPr>
        <w:spacing w:after="0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Fig. 7. Plot </w:t>
      </w:r>
      <w:proofErr w:type="gramStart"/>
      <w:r>
        <w:rPr>
          <w:rFonts w:ascii="Times New Roman" w:hAnsi="Times New Roman" w:cs="Times New Roman"/>
          <w:sz w:val="24"/>
          <w:szCs w:val="24"/>
        </w:rPr>
        <w:t>of  second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peak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43416F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versus concentration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</w:rPr>
        <w:t>E)-1-(furan-2-yl)-3-</w:t>
      </w:r>
    </w:p>
    <w:p w:rsidR="0043416F" w:rsidRDefault="0043416F" w:rsidP="00434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phenylprop-2-ene-1-ones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in tetra butyl ammonium tetra fluoroborate.</w:t>
      </w:r>
    </w:p>
    <w:p w:rsidR="0043416F" w:rsidRDefault="0043416F" w:rsidP="0043416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Solvent = acetonitrile ; sweep rate = 40 mV/s.</w:t>
      </w:r>
      <w:bookmarkStart w:id="0" w:name="_GoBack"/>
      <w:bookmarkEnd w:id="0"/>
    </w:p>
    <w:p w:rsidR="0043416F" w:rsidRPr="0043416F" w:rsidRDefault="0043416F" w:rsidP="0043416F">
      <w:pPr>
        <w:rPr>
          <w:rFonts w:ascii="Times New Roman" w:hAnsi="Times New Roman" w:cs="Times New Roman"/>
          <w:sz w:val="24"/>
          <w:szCs w:val="24"/>
        </w:rPr>
      </w:pPr>
    </w:p>
    <w:sectPr w:rsidR="0043416F" w:rsidRPr="0043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tzSzsDQ3Nzc1MzZU0lEKTi0uzszPAykwrAUAp+MxCCwAAAA="/>
  </w:docVars>
  <w:rsids>
    <w:rsidRoot w:val="0043416F"/>
    <w:rsid w:val="0043416F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099C"/>
  <w15:chartTrackingRefBased/>
  <w15:docId w15:val="{5166A391-F538-429A-8A69-8678134E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2017-08-23T16:34:00Z</dcterms:created>
  <dcterms:modified xsi:type="dcterms:W3CDTF">2017-08-23T16:38:00Z</dcterms:modified>
</cp:coreProperties>
</file>