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3454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08/12/2020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07/12/2020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639664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577616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19735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18382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2441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5032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4735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50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310345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51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14141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08/12/2020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644696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59732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582351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21330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730" w:right="71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20057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5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2472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 Pathanamthitta-6, Alappuzha-3, Kottayam -1, Idukki -3, Ernakulam -2, Malappuram</w:t>
            </w:r>
            <w:r>
              <w:rPr>
                <w:rFonts w:ascii="Cambria"/>
                <w:spacing w:val="-16"/>
                <w:sz w:val="18"/>
              </w:rPr>
              <w:t> </w:t>
            </w:r>
            <w:r>
              <w:rPr>
                <w:rFonts w:ascii="Cambria"/>
                <w:sz w:val="18"/>
              </w:rPr>
              <w:t>-</w:t>
            </w:r>
          </w:p>
          <w:p>
            <w:pPr>
              <w:pStyle w:val="TableParagraph"/>
              <w:spacing w:line="209" w:lineRule="exact"/>
              <w:ind w:left="106" w:right="-29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3, Palakkad-2, Kozhikode -2,Wayanad -1, Kannur -1</w:t>
            </w:r>
            <w:r>
              <w:rPr>
                <w:rFonts w:ascii="Cambria"/>
                <w:spacing w:val="-19"/>
                <w:sz w:val="18"/>
              </w:rPr>
              <w:t> </w:t>
            </w:r>
            <w:r>
              <w:rPr>
                <w:rFonts w:ascii="Cambria"/>
                <w:sz w:val="18"/>
              </w:rPr>
              <w:t>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Kasaragod -1, Others –19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Pathanamthitta-19, Alappuzha -2, Thrissur -1, Palakkad-2,Kozhikode-1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2532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Alappuzha-20, Kottayam -14 , Idukki-6, Ernakulam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 Palakkad -1, Kozhikode -2, Wayanad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- 36, Kottayam -26, Idukki-4, Ernakulam - 14, Thrissur -2 ,Palakkad -5,Kannur -1, Malappuram -1, Kozhikode -1, Kasaragod 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4799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Kollam-1,Pathanamthitta-36, Alappuzha-23, Idukki-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42, Ernakulam-16, Malappuram -1, Kozhikode 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-5,Pathanamthitta - 2, Kottayam-16, Ernakulam-6,Malappuram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Thiruvananthapuram-9, Kollam-22, Pathanamthitta- 18, Alappuzha-53, Kottayam-74, Idukki -73,</w:t>
            </w:r>
          </w:p>
          <w:p>
            <w:pPr>
              <w:pStyle w:val="TableParagraph"/>
              <w:spacing w:line="210" w:lineRule="atLeast"/>
              <w:ind w:left="106" w:right="2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Palakkad-51,Thrissur -49, Malappuram-10, Kozhikode-13, Wayanad-3, Kannur -2 , Kasaragod - 3, Kannur -1,Others -282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9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-1, Kottayam -2, Idukki-1, Ernakulam-7, Palakkad-38, Malappuram-4, Kozhikode-2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4366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 ,Kollam -5,Pathanamthitta- 5, Alappuzha -5, Kottayam -4, Idukki -2,Ernakulam -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8, Thrissur-34, Malappuram -15, Kozhikode -7,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-2,Kannur -4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7066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-4, Idukki-2, Ernakulam-6, Thrissur-7, Palakkad-82, Kozhikode -19, Wayand 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6557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Kottayam-4, Ernakulam-2, Malappuram-62,Palakkad -10, Wayanad -15,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Kannur-39, Kasaragod-12 , Others -4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Malappuram -1 , Kozhikode-1, Kannur -2, Others-2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8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 -1, Alappuzha -1, Ernakulam -4 ,Thrissur - 1, Kozhikode-19,Wayanad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Kasaragod-71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1069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-3, Alappuzha -1,Thrissur -1, Palakkad-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 -2, Wayanad -1,Kannur -2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5032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4735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59732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644197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28152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616045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5032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4417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79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517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6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840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6702885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2008123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31431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255700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1195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4328972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60521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11589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278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2439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46132</w:t>
            </w:r>
          </w:p>
        </w:tc>
      </w:tr>
    </w:tbl>
    <w:p>
      <w:pPr>
        <w:spacing w:line="276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13497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20360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7491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310345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296204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1273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08/12/2020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10,43,831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8,50,033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37,258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3,600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4,32,488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4,23,757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1,89,014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1,82,939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16,67,333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14,57,243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52,115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1371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23,80,694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22,75,752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37,631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4,91,792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63,470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51,752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56,49,951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08/12/2020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C5D9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08-12-2020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1, 3, 4, 6, 7, 8, 9, 10, 11, 12, 13, 17, 18, 23,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12,15,16, 20(Sub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8, 12, 18, 24, 26, 30(Sub Wards 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3, 4, 6, 11, 12, 14, 15, 20, 23, 24, 25, 26, 27,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30, 32, 37, 39, 42, 60(Sub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65, 68, 71,74(Sub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 (Sub Wards), 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9, 10, 11, 15,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7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3, 6, 8, 11, 12, 13, 17(Sub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18, 19, 20, 23, 25, 26, 27, 52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3, 4, 10, 12, 14, 16(Sub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12(Sub Wards),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12, 13(Sub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1, 2, 4, 7, 8, 9, 10, 12, 13,14, 15, 17, 19, 20,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25, 31, 37, 38, 39, 42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2, 3, 7, 11, 12, 17, 19, 22, 25, 26, 30, 31, 32,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37, 44, 45, 46, 48(Sub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200"/>
              <w:rPr>
                <w:sz w:val="19"/>
              </w:rPr>
            </w:pPr>
            <w:r>
              <w:rPr>
                <w:sz w:val="19"/>
              </w:rPr>
              <w:t>4, 6, 7, 8, 11, 12, 14, 15, 16,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11, 12, 13, 14, 17, 18(Sub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8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1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26, 30, 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4, 7, 19, 24, 31, 37, 43, 36, 39, 40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5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24, 25, 26, 27, 29, 32, 34, 35, 37, 39, 40, 42,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4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8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12, 19, 39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4, 6, 7, 8, 10, 13, 14, 15, 18, 21, 20, 22, 23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2, 3, 8, 12, 14, 15, 16, 18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1, 3, 5, 6, 8, 10, 12, 14, 15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2, 10, 13, 14, 16, 17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2, 4, 5, 6, 7, 8, 9, 12, 14, 17, 20, 23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1, 2, 3, 4, 5, 9, 10, 12, 13, 14, 15, 19, 20, 23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1, 3, 4, 5, 8, 9, 12, 13, 14, 15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1, 2, 4, 5, 8, 9, 10, 12, 15, 16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2, 9, 10, 12, 13, 14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9, 13, 16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2, 4, 5, 6, 7, 8, 10, 11, 12, 13, 14</w:t>
            </w:r>
          </w:p>
        </w:tc>
      </w:tr>
      <w:tr>
        <w:trPr>
          <w:trHeight w:val="625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24, 25, 26, 27, 28, 30, 31, 32, 33, 34, 35, 37,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27, 28, 32, 35, 36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2, 3, 6, 9, 10, 11, 12, 13, 14, 15, 16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1, 2, 3, 4, 5, 6, 7, 8, 13, 15, 16, 17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4, 5, 6, 8, 10, 11, 12, 13, 14, 16, 17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2, 3, 4, 5, 6, 7, 8, 10, 11, 12, 14, 16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2, 3, 5, 6, 7, 10, 11, 16, 17, 18, 19, 20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2, 7, 8, 9, 10, 11, 12, 13, 14, 15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5, 9, 13, 14, 17, 19, 20, 21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3, 5, 7, 8, 10, 11, 12, 13, 19, 21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4, 7, 8, 11, 12, 14, 15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1, 2, 3, 7, 8, 9, 10, 13,14, 15</w:t>
            </w:r>
          </w:p>
        </w:tc>
      </w:tr>
      <w:tr>
        <w:trPr>
          <w:trHeight w:val="417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19, 20, 21, 22, 23, 25, 27, 28, 30, 31, 32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2, 3, 4, 5, 6, 7, 8, 9, 12, 13, 14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2, 3, 4, 8, 11, 12, 14, 16, 17, 18, 19, 20, 21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1, 2, 3, 5, 8, 14, 15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1, 2, 7, 9, 10, 11, 12, 14, 16, 17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1, 2, 3, 4, 7, 8, 9, 10, 13, 16, 17, 19, 20, 21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1, 3, 4, 6, 8, 9, 11, 15,18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3, 5, 9, 13, 15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6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7, 19, 30, 33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9" w:hRule="atLeast"/>
        </w:trPr>
        <w:tc>
          <w:tcPr>
            <w:tcW w:w="88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7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1, 13, 17, 32, 33, 47, 50, 58, 59, 65, 73, 75,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81, 90, 94, 95,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7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 15, 16, 19, 20 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3, 4, 8, 9, 13, 19, 20, 21,22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97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3, 7, 17,19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268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  <w:tcBorders>
              <w:left w:val="nil"/>
            </w:tcBorders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977" w:type="dxa"/>
            <w:tcBorders>
              <w:left w:val="nil"/>
            </w:tcBorders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C5D9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08-12-2020</w:t>
            </w:r>
          </w:p>
        </w:tc>
      </w:tr>
      <w:tr>
        <w:trPr>
          <w:trHeight w:val="222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C5D9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08-12-2020</w:t>
            </w:r>
          </w:p>
        </w:tc>
      </w:tr>
      <w:tr>
        <w:trPr>
          <w:trHeight w:val="222" w:hRule="atLeast"/>
        </w:trPr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6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3977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68"/>
        <w:gridCol w:w="2976"/>
        <w:gridCol w:w="3977"/>
      </w:tblGrid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68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977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10" w:hRule="atLeast"/>
        </w:trPr>
        <w:tc>
          <w:tcPr>
            <w:tcW w:w="88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68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6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977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08" w:hRule="atLeast"/>
        </w:trPr>
        <w:tc>
          <w:tcPr>
            <w:tcW w:w="88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68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39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</w:tbl>
    <w:p>
      <w:pPr>
        <w:spacing w:after="0" w:line="239" w:lineRule="exact"/>
        <w:rPr>
          <w:rFonts w:ascii="Cambria"/>
          <w:sz w:val="22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  <w:tcBorders>
              <w:top w:val="nil"/>
            </w:tcBorders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15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3515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3505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5"/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2020-12-09T04:06:20Z</dcterms:created>
  <dcterms:modified xsi:type="dcterms:W3CDTF">2020-12-09T04:06:20Z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2020-12-09T00:00:00Z</vt:filetime>
  </property>
</Properties>
</file>