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 Semibold" w:eastAsia="Google Sans Semibold" w:hAnsi="Google Sans Semibold" w:cs="Google Sans Semibold"/>
          <w:color w:val="000000"/>
          <w:sz w:val="30.0"/>
          <w:vertAlign w:val="baseline"/>
        </w:rPr>
        <w:t xml:space="preserve">🚀 How the System Solves the BC Problem Real-Time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By utilizing internal rotational forces to slide the loose-ended overlapping sheets open or closed, you can physically alter the vehicle's frontal area (\(A\)) and profile (\(C_{d}\)) while in flight. This permits dynamic trajectory management across three distinct envelopes: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"https://www.nakka-rocketry.net/RD_aero.html"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"https://www.researchgate.net/publication/236630834_Aerothermodynamic_and_Feasibility_Study_of_a_Deployable_Aerobraking_Re-Entry_Capsule"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"https://www.researchgate.net/publication/259128768_Comparison_of_Ballistic-Coefficient-Based_Estimation_Algorithms_for_Precise_Tracking_of_a_Re-Entry_Vehicle_and_its_Impact_Point_Prediction"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3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1. Optimization for Maximum Range (High BC State)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During the high-velocity boost phase or long-range cruise, you want to preserve velocity and minimize atmospheric drag deceleration.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"https://en.wikipedia.org/wiki/Ballistic_coefficient"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8864674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Adjustment: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The West-East-West layers are rotated tightly into their contracted position, matching edge-to-edge.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8864674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BC Impact: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The cross-sectional area (\(A\)) shrinks to its absolute minimum. The vehicle becomes an aerodynamically "slippery" needle. A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high BC value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is achieved, meaning the rocket retains kinetic energy and overcomes air resistance effectively. [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"https://www.nakka-rocketry.net/RD_aero.html"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"https://satheejee.iitk.ac.in/article/physics/physics-ballistics/"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2. Optimization for High-Altitude Deceleration &amp; Precise Aerobraking (Low BC State)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When entering a planetary atmosphere (like Earth or Mars re-entry), a vehicle must shed massive amounts of velocity high up in the thin upper atmosphere to prevent overheating and burning up.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"https://www.mdpi.com/2076-3417/13/5/2783"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"https://vtechworks.lib.vt.edu/bitstream/handle/10919/96194/Slagle_AC_D_2018.pdf?isAllowed=y&amp;sequence=1"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15331693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Adjustment: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The layers are driven to slide outward, unfurling into an expanded wider cylinder shell.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15331693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BC Impact: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The cross-sectional footprint (\(A\)) scales up dynamically. This forces the vehicle's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BC value down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drastically. The air resistance goes up, transferring the kinetic energy safely into atmospheric braking shockwaves high above the ground.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"https://www.nakka-rocketry.net/RD_aero.html"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"https://www.mdpi.com/2076-3417/13/5/2783"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"https://www.researchgate.net/publication/236630834_Aerothermodynamic_and_Feasibility_Study_of_a_Deployable_Aerobraking_Re-Entry_Capsule"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3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3. Real-Time Guidance &amp; Precise Trajectory Tuning (Variable BC Control)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Traditional rockets rely entirely on heavy fuel-consuming thrusters or external fins to hit an exact impact point target.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"https://arc.aiaa.org/doi/10.2514/1.60075"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"https://vtechworks.lib.vt.edu/bitstream/handle/10919/96194/Slagle_AC_D_2018.pdf?isAllowed=y&amp;sequence=1"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78347439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Adjustment: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Instead of deploying large, sudden drag flaps or throwing away mechanical skirts, your mechanism allows you to micro-adjust the uncoiling diameter incrementally.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78347439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BC Impact: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Real-time trajectory corrections are handled purely through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aerodynamic drag modulation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. If the tracking system computes that the rocket is overshooting its target, it opens the layers slightly to dump velocity; if it is undershooting, it tightens them to slide further.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"https://www.researchgate.net/publication/368746462_A_Morphing_Deployable_Mechanism_for_Re-Entry_Capsule_Aeroshell"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"https://hammer.purdue.edu/ndownloader/files/35106493"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 Semibold" w:eastAsia="Google Sans Semibold" w:hAnsi="Google Sans Semibold" w:cs="Google Sans Semibold"/>
          <w:color w:val="000000"/>
          <w:sz w:val="30.0"/>
          <w:vertAlign w:val="baseline"/>
        </w:rPr>
        <w:t xml:space="preserve">🛡️ Eliminating the "Plasma-Leak" Weak Point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The primary failure point of traditional mechanical grid-fins or folding aerodynamic flaps is the exposed joints, which melt under hypersonic re-entry heat.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"https://vtechworks.lib.vt.edu/bitstream/handle/10919/96194/Slagle_AC_D_2018.pdf?isAllowed=y&amp;sequence=1"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By arranging your loose ends to open in alternating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West-East-West directions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you create a seamless thermal shield: [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"https://www.mdpi.com/2076-3417/13/5/2783"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35410019"/>
        </w:num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When the outer cylinder opens its seam at the West, the rushing hypersonic plasma stream tries to push inside.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35410019"/>
        </w:num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It is completely blocked by the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solid, unbroken back-wall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of the middle cylinder.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35410019"/>
        </w:num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The system actively alters the cross-sectional area (\(A\)) to change the Ballistic Coefficient, while ensuring that no hot gas can bypass the structural skin.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"https://www.nakka-rocketry.net/RD_aero.html"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"https://hammer.purdue.edu/ndownloader/files/35106493"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"https://www.mdpi.com/2076-3417/13/5/2783"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3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b w:val="true"/>
        <w:sz w:val="36.0"/>
      </w:rPr>
      <w:widowControl w:val="1"/>
    </w:pPr>
    <w:r w:rsidR="00000000" w:rsidDel="00000000" w:rsidRPr="00000000">
      <w:rPr>
        <w:b w:val="true"/>
        <w:sz w:val="36.0"/>
      </w:rPr>
      <w:t xml:space="preserve"> Conversation with AI</w:t>
    </w:r>
  </w:p>
</w:hdr>
</file>

<file path=word/numbering.xml><?xml version="1.0" encoding="utf-8"?>
<w:numbering xmlns:w="http://schemas.openxmlformats.org/wordprocessingml/2006/main">
  <w:abstractNum w:abstractNumId="7338365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94540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80508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044262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15331693">
    <w:abstractNumId w:val="74805082"/>
  </w:num>
  <w:num w:numId="35410019">
    <w:abstractNumId w:val="70442628"/>
  </w:num>
  <w:num w:numId="98864674">
    <w:abstractNumId w:val="89454046"/>
  </w:num>
  <w:num w:numId="78347439">
    <w:abstractNumId w:val="7338365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