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850E" w14:textId="77777777" w:rsidR="00487A45" w:rsidRDefault="00487A45" w:rsidP="00487A45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</w:p>
    <w:p w14:paraId="5D0EA72D" w14:textId="1DA42A74" w:rsidR="00487A45" w:rsidRPr="0051644E" w:rsidRDefault="00487A45" w:rsidP="00487A45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51644E">
        <w:rPr>
          <w:rFonts w:ascii="Times New Roman" w:hAnsi="Times New Roman" w:cs="Times New Roman"/>
          <w:b/>
          <w:bCs/>
          <w:color w:val="C00000"/>
          <w:sz w:val="36"/>
          <w:szCs w:val="36"/>
        </w:rPr>
        <w:t>HERITAGE TREASURE:</w:t>
      </w:r>
    </w:p>
    <w:p w14:paraId="16303FAB" w14:textId="77777777" w:rsidR="00487A45" w:rsidRPr="0051644E" w:rsidRDefault="00487A45" w:rsidP="00487A45">
      <w:pPr>
        <w:jc w:val="center"/>
        <w:rPr>
          <w:b/>
          <w:bCs/>
          <w:sz w:val="36"/>
          <w:szCs w:val="36"/>
        </w:rPr>
      </w:pPr>
      <w:r w:rsidRPr="0051644E">
        <w:rPr>
          <w:rFonts w:ascii="Times New Roman" w:hAnsi="Times New Roman" w:cs="Times New Roman"/>
          <w:b/>
          <w:bCs/>
          <w:color w:val="C00000"/>
          <w:sz w:val="36"/>
          <w:szCs w:val="36"/>
        </w:rPr>
        <w:t>AN IN-DEPTH ANALYSIS OF UNSESCO WORLD HERITAGE SITES IN TABLEAU</w:t>
      </w:r>
    </w:p>
    <w:p w14:paraId="54074030" w14:textId="77777777" w:rsidR="00487A45" w:rsidRDefault="00487A45" w:rsidP="00487A45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789">
        <w:rPr>
          <w:rFonts w:ascii="Times New Roman" w:hAnsi="Times New Roman" w:cs="Times New Roman"/>
          <w:sz w:val="28"/>
          <w:szCs w:val="28"/>
        </w:rPr>
        <w:t xml:space="preserve">Submitted in partial fulfilment of the </w:t>
      </w:r>
      <w:proofErr w:type="spellStart"/>
      <w:r w:rsidRPr="006F5789">
        <w:rPr>
          <w:rFonts w:ascii="Times New Roman" w:hAnsi="Times New Roman" w:cs="Times New Roman"/>
          <w:sz w:val="28"/>
          <w:szCs w:val="28"/>
        </w:rPr>
        <w:t>requirments</w:t>
      </w:r>
      <w:proofErr w:type="spellEnd"/>
      <w:r w:rsidRPr="006F5789">
        <w:rPr>
          <w:rFonts w:ascii="Times New Roman" w:hAnsi="Times New Roman" w:cs="Times New Roman"/>
          <w:sz w:val="28"/>
          <w:szCs w:val="28"/>
        </w:rPr>
        <w:t xml:space="preserve"> for the </w:t>
      </w:r>
    </w:p>
    <w:p w14:paraId="35364CB3" w14:textId="77777777" w:rsidR="00487A45" w:rsidRPr="006F5789" w:rsidRDefault="00487A45" w:rsidP="00487A45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789">
        <w:rPr>
          <w:rFonts w:ascii="Times New Roman" w:hAnsi="Times New Roman" w:cs="Times New Roman"/>
          <w:sz w:val="28"/>
          <w:szCs w:val="28"/>
        </w:rPr>
        <w:t>degree of</w:t>
      </w:r>
    </w:p>
    <w:p w14:paraId="7F295201" w14:textId="77777777" w:rsidR="00487A45" w:rsidRPr="006F5789" w:rsidRDefault="00487A45" w:rsidP="00487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 xml:space="preserve">BACHELOR OF BUSINESS </w:t>
      </w:r>
    </w:p>
    <w:p w14:paraId="6F3BEE8A" w14:textId="77777777" w:rsidR="00487A45" w:rsidRPr="006F5789" w:rsidRDefault="00487A45" w:rsidP="00487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ADMINISTRATION</w:t>
      </w:r>
    </w:p>
    <w:p w14:paraId="693B1FD6" w14:textId="77777777" w:rsidR="00487A45" w:rsidRPr="006F5789" w:rsidRDefault="00487A45" w:rsidP="00487A45">
      <w:pPr>
        <w:jc w:val="center"/>
      </w:pPr>
      <w:r w:rsidRPr="006F5789">
        <w:t>By</w:t>
      </w:r>
    </w:p>
    <w:p w14:paraId="1C4150C0" w14:textId="77777777" w:rsidR="00487A45" w:rsidRPr="006F5789" w:rsidRDefault="00487A45" w:rsidP="00487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P. MOHAN BALAJI</w:t>
      </w:r>
    </w:p>
    <w:p w14:paraId="10C3A0D5" w14:textId="77777777" w:rsidR="00487A45" w:rsidRPr="006F5789" w:rsidRDefault="00487A45" w:rsidP="00487A45">
      <w:pPr>
        <w:jc w:val="center"/>
        <w:rPr>
          <w:rFonts w:ascii="Times New Roman" w:hAnsi="Times New Roman" w:cs="Times New Roman"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(24B91M0035)</w:t>
      </w:r>
    </w:p>
    <w:p w14:paraId="3BFDBF01" w14:textId="77777777" w:rsidR="00487A45" w:rsidRPr="006F5789" w:rsidRDefault="00487A45" w:rsidP="00487A45">
      <w:pPr>
        <w:jc w:val="center"/>
      </w:pPr>
      <w:r w:rsidRPr="006F5789">
        <w:rPr>
          <w:noProof/>
        </w:rPr>
        <w:drawing>
          <wp:inline distT="0" distB="0" distL="0" distR="0" wp14:anchorId="2414FF91" wp14:editId="549D1BF1">
            <wp:extent cx="4800600" cy="2545080"/>
            <wp:effectExtent l="0" t="0" r="0" b="7620"/>
            <wp:docPr id="1836231686" name="Picture 4" descr="S R K R ENGINEERING COLLEGE (A) CHINNA AMIRAM BHIMAVA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 R K R ENGINEERING COLLEGE (A) CHINNA AMIRAM BHIMAVA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61" cy="254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68FA" w14:textId="77777777" w:rsidR="00487A45" w:rsidRPr="006F5789" w:rsidRDefault="00487A45" w:rsidP="00487A45">
      <w:pPr>
        <w:jc w:val="center"/>
      </w:pPr>
    </w:p>
    <w:p w14:paraId="4EE8E99B" w14:textId="77777777" w:rsidR="00487A45" w:rsidRDefault="00487A45" w:rsidP="00487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 xml:space="preserve">SAGI RAMAKRISHNAM RAJU ENGINEERING </w:t>
      </w:r>
    </w:p>
    <w:p w14:paraId="5856AE48" w14:textId="77777777" w:rsidR="00487A45" w:rsidRPr="006F5789" w:rsidRDefault="00487A45" w:rsidP="00487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COLLEGE, BHIMAVARAM</w:t>
      </w:r>
    </w:p>
    <w:p w14:paraId="1068EB3B" w14:textId="77777777" w:rsidR="00487A45" w:rsidRDefault="00487A45" w:rsidP="00487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5789">
        <w:rPr>
          <w:rFonts w:ascii="Times New Roman" w:hAnsi="Times New Roman" w:cs="Times New Roman"/>
          <w:b/>
          <w:bCs/>
          <w:sz w:val="32"/>
          <w:szCs w:val="32"/>
        </w:rPr>
        <w:t>2026-2027</w:t>
      </w:r>
    </w:p>
    <w:p w14:paraId="40D95AE5" w14:textId="77777777" w:rsidR="00224630" w:rsidRDefault="00224630" w:rsidP="00487A45"/>
    <w:p w14:paraId="76703249" w14:textId="77777777" w:rsidR="00487A45" w:rsidRDefault="00487A45" w:rsidP="00487A45"/>
    <w:p w14:paraId="0FC9A573" w14:textId="6C864430" w:rsidR="00487A45" w:rsidRPr="00487A45" w:rsidRDefault="00487A45" w:rsidP="00487A45">
      <w:pPr>
        <w:rPr>
          <w:b/>
          <w:bCs/>
          <w:color w:val="7030A0"/>
        </w:rPr>
      </w:pPr>
      <w:r w:rsidRPr="00487A45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lastRenderedPageBreak/>
        <w:t xml:space="preserve">1. REQUIREMENT ANALYSIS: </w:t>
      </w:r>
      <w:r w:rsidRPr="00487A45">
        <w:rPr>
          <w:rFonts w:ascii="Times New Roman" w:hAnsi="Times New Roman" w:cs="Times New Roman"/>
          <w:b/>
          <w:bCs/>
          <w:color w:val="7030A0"/>
          <w:sz w:val="32"/>
          <w:szCs w:val="32"/>
        </w:rPr>
        <w:t>Data Integrity &amp; ETL Processes</w:t>
      </w:r>
    </w:p>
    <w:p w14:paraId="45DCF8AE" w14:textId="6C17C669" w:rsidR="00487A45" w:rsidRPr="00487A45" w:rsidRDefault="00487A45" w:rsidP="00487A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A4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87A45">
        <w:rPr>
          <w:rFonts w:ascii="Times New Roman" w:hAnsi="Times New Roman" w:cs="Times New Roman"/>
          <w:b/>
          <w:bCs/>
          <w:sz w:val="28"/>
          <w:szCs w:val="28"/>
        </w:rPr>
        <w:t>.1 The Data Lifecycle: Acquisition to Cleaning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3D0520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</w:rPr>
        <w:t xml:space="preserve">The project relied on the UNESCO World Heritage official dataset. The raw data underwent a rigorous </w:t>
      </w:r>
      <w:r w:rsidRPr="00487A45">
        <w:rPr>
          <w:rFonts w:ascii="Times New Roman" w:hAnsi="Times New Roman" w:cs="Times New Roman"/>
          <w:b/>
          <w:bCs/>
        </w:rPr>
        <w:t>Extract, Transform, Load (ETL)</w:t>
      </w:r>
      <w:r w:rsidRPr="00487A45">
        <w:rPr>
          <w:rFonts w:ascii="Times New Roman" w:hAnsi="Times New Roman" w:cs="Times New Roman"/>
        </w:rPr>
        <w:t xml:space="preserve"> pipeline. The cleaning phase was the most resource-intensive aspect of the requirement analysis, involving:</w:t>
      </w:r>
    </w:p>
    <w:p w14:paraId="44FA7544" w14:textId="77777777" w:rsidR="00487A45" w:rsidRPr="00487A45" w:rsidRDefault="00487A45" w:rsidP="00487A4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Normalization of Geo-spatial Data:</w:t>
      </w:r>
      <w:r w:rsidRPr="00487A45">
        <w:rPr>
          <w:rFonts w:ascii="Times New Roman" w:hAnsi="Times New Roman" w:cs="Times New Roman"/>
        </w:rPr>
        <w:t xml:space="preserve"> Raw CSV files contained inconsistent country codes and coordinate formats. We mapped these to </w:t>
      </w:r>
      <w:proofErr w:type="gramStart"/>
      <w:r w:rsidRPr="00487A45">
        <w:rPr>
          <w:rFonts w:ascii="Times New Roman" w:hAnsi="Times New Roman" w:cs="Times New Roman"/>
        </w:rPr>
        <w:t>a</w:t>
      </w:r>
      <w:proofErr w:type="gramEnd"/>
      <w:r w:rsidRPr="00487A45">
        <w:rPr>
          <w:rFonts w:ascii="Times New Roman" w:hAnsi="Times New Roman" w:cs="Times New Roman"/>
        </w:rPr>
        <w:t xml:space="preserve"> ISO-3166 compliant standard to ensure the Tableau mapping engine could render the locations accurately.</w:t>
      </w:r>
    </w:p>
    <w:p w14:paraId="577186F8" w14:textId="77777777" w:rsidR="00487A45" w:rsidRPr="00487A45" w:rsidRDefault="00487A45" w:rsidP="00487A4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Imputation Strategy:</w:t>
      </w:r>
      <w:r w:rsidRPr="00487A45">
        <w:rPr>
          <w:rFonts w:ascii="Times New Roman" w:hAnsi="Times New Roman" w:cs="Times New Roman"/>
        </w:rPr>
        <w:t xml:space="preserve"> Where "Year of Inscription" or "Surface Area" data was missing, we applied a median-based imputation strategy to ensure these entries were not excluded from high-level aggregations.</w:t>
      </w:r>
    </w:p>
    <w:p w14:paraId="3953CD0F" w14:textId="67239D28" w:rsidR="00487A45" w:rsidRPr="00487A45" w:rsidRDefault="00487A45" w:rsidP="00487A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A4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87A45">
        <w:rPr>
          <w:rFonts w:ascii="Times New Roman" w:hAnsi="Times New Roman" w:cs="Times New Roman"/>
          <w:b/>
          <w:bCs/>
          <w:sz w:val="28"/>
          <w:szCs w:val="28"/>
        </w:rPr>
        <w:t>.2 Technical Feasibility &amp; Constraint Management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EE80AE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</w:rPr>
        <w:t>We assessed the technical limitations of the Tableau Public engine. Large datasets often lead to latency; therefore, we optimized the workbook by implementing Data Extract (hyper) rather than Live connections. This allowed for pre-processing of calculations on the backend, ensuring the dashboard performance remained below the 2-second threshold for interactive filtering.</w:t>
      </w:r>
    </w:p>
    <w:p w14:paraId="7ECB70F1" w14:textId="5C5100D7" w:rsidR="00487A45" w:rsidRPr="00487A45" w:rsidRDefault="00487A45" w:rsidP="00487A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A4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87A45">
        <w:rPr>
          <w:rFonts w:ascii="Times New Roman" w:hAnsi="Times New Roman" w:cs="Times New Roman"/>
          <w:b/>
          <w:bCs/>
          <w:sz w:val="28"/>
          <w:szCs w:val="28"/>
        </w:rPr>
        <w:t>.3 Data Governance Framework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B8D6AB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</w:rPr>
        <w:t>To ensure the project remained defensible as an analytical piece, we established a governance framework for the data:</w:t>
      </w:r>
    </w:p>
    <w:p w14:paraId="1710478C" w14:textId="77777777" w:rsidR="00487A45" w:rsidRPr="00487A45" w:rsidRDefault="00487A45" w:rsidP="00487A4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Source Veracity:</w:t>
      </w:r>
      <w:r w:rsidRPr="00487A45">
        <w:rPr>
          <w:rFonts w:ascii="Times New Roman" w:hAnsi="Times New Roman" w:cs="Times New Roman"/>
        </w:rPr>
        <w:t xml:space="preserve"> Only raw datasets provided by the UNESCO World Heritage </w:t>
      </w:r>
      <w:proofErr w:type="spellStart"/>
      <w:r w:rsidRPr="00487A45">
        <w:rPr>
          <w:rFonts w:ascii="Times New Roman" w:hAnsi="Times New Roman" w:cs="Times New Roman"/>
        </w:rPr>
        <w:t>Center</w:t>
      </w:r>
      <w:proofErr w:type="spellEnd"/>
      <w:r w:rsidRPr="00487A45">
        <w:rPr>
          <w:rFonts w:ascii="Times New Roman" w:hAnsi="Times New Roman" w:cs="Times New Roman"/>
        </w:rPr>
        <w:t xml:space="preserve"> were accepted.</w:t>
      </w:r>
    </w:p>
    <w:p w14:paraId="66958F23" w14:textId="77777777" w:rsidR="00487A45" w:rsidRPr="00487A45" w:rsidRDefault="00487A45" w:rsidP="00487A4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Consistency Checks:</w:t>
      </w:r>
      <w:r w:rsidRPr="00487A45">
        <w:rPr>
          <w:rFonts w:ascii="Times New Roman" w:hAnsi="Times New Roman" w:cs="Times New Roman"/>
        </w:rPr>
        <w:t xml:space="preserve"> We conducted a "sanity check" to ensure that the sum of categorical site counts matched the master list of inscriptions (a cross-check to prevent double-counting of mixed-category sites).</w:t>
      </w:r>
    </w:p>
    <w:p w14:paraId="4B0D7D7A" w14:textId="70EA34A1" w:rsidR="00487A45" w:rsidRPr="00487A45" w:rsidRDefault="00487A45" w:rsidP="00487A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A4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87A45">
        <w:rPr>
          <w:rFonts w:ascii="Times New Roman" w:hAnsi="Times New Roman" w:cs="Times New Roman"/>
          <w:b/>
          <w:bCs/>
          <w:sz w:val="28"/>
          <w:szCs w:val="28"/>
        </w:rPr>
        <w:t>.4 The Analytical Requirements: Defining Success Metrics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937BA6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</w:rPr>
        <w:t>To move beyond descriptive statistics, the project defined specific Analytical Requirements (ARs). We established a framework of Key Performance Indicators (KPIs) that would act as the primary navigational markers for the dashboard.</w:t>
      </w:r>
    </w:p>
    <w:p w14:paraId="37FB7056" w14:textId="77777777" w:rsidR="00487A45" w:rsidRPr="00487A45" w:rsidRDefault="00487A45" w:rsidP="00487A4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The Inscription Rate Metric:</w:t>
      </w:r>
      <w:r w:rsidRPr="00487A45">
        <w:rPr>
          <w:rFonts w:ascii="Times New Roman" w:hAnsi="Times New Roman" w:cs="Times New Roman"/>
        </w:rPr>
        <w:t xml:space="preserve"> We required a calculation that normalized the "Number of Inscriptions" against "Time Intervals." This allowed us to visualize not just the growth, but the </w:t>
      </w:r>
      <w:r w:rsidRPr="00487A45">
        <w:rPr>
          <w:rFonts w:ascii="Times New Roman" w:hAnsi="Times New Roman" w:cs="Times New Roman"/>
          <w:i/>
          <w:iCs/>
        </w:rPr>
        <w:t>acceleration</w:t>
      </w:r>
      <w:r w:rsidRPr="00487A45">
        <w:rPr>
          <w:rFonts w:ascii="Times New Roman" w:hAnsi="Times New Roman" w:cs="Times New Roman"/>
        </w:rPr>
        <w:t xml:space="preserve"> of heritage listings over the last 40 years.</w:t>
      </w:r>
    </w:p>
    <w:p w14:paraId="441175B3" w14:textId="77777777" w:rsidR="00487A45" w:rsidRPr="00487A45" w:rsidRDefault="00487A45" w:rsidP="00487A4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Categorical Density Ratios:</w:t>
      </w:r>
      <w:r w:rsidRPr="00487A45">
        <w:rPr>
          <w:rFonts w:ascii="Times New Roman" w:hAnsi="Times New Roman" w:cs="Times New Roman"/>
        </w:rPr>
        <w:t xml:space="preserve"> A key requirement was to compare "Natural" vs. "Cultural" vs. "Mixed" sites across geographic zones. This required us to create a </w:t>
      </w:r>
      <w:r w:rsidRPr="00487A45">
        <w:rPr>
          <w:rFonts w:ascii="Times New Roman" w:hAnsi="Times New Roman" w:cs="Times New Roman"/>
        </w:rPr>
        <w:lastRenderedPageBreak/>
        <w:t>"Normalization Constant"—a derived metric that ensured regions with a large number of countries were compared fairly against regions with smaller country clusters.</w:t>
      </w:r>
    </w:p>
    <w:p w14:paraId="6CDD216D" w14:textId="77709741" w:rsidR="00487A45" w:rsidRPr="00487A45" w:rsidRDefault="00487A45" w:rsidP="00487A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87A45">
        <w:rPr>
          <w:rFonts w:ascii="Times New Roman" w:hAnsi="Times New Roman" w:cs="Times New Roman"/>
          <w:b/>
          <w:bCs/>
          <w:sz w:val="28"/>
          <w:szCs w:val="28"/>
        </w:rPr>
        <w:t>.5 Functional &amp; Non-Functional Requirements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5844C9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</w:rPr>
        <w:t>The project success was measured against a strict set of functional and non-functional requirements (FRs and NFRs):</w:t>
      </w:r>
    </w:p>
    <w:p w14:paraId="2753CC55" w14:textId="66882DE3" w:rsidR="00487A45" w:rsidRPr="00487A45" w:rsidRDefault="00487A45" w:rsidP="00487A4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Functional Requirement (FR1 - Drill-Down):</w:t>
      </w:r>
      <w:r w:rsidRPr="00487A45">
        <w:rPr>
          <w:rFonts w:ascii="Times New Roman" w:hAnsi="Times New Roman" w:cs="Times New Roman"/>
        </w:rPr>
        <w:t xml:space="preserve"> The dashboard must allow users to transition from a Global (Level 1) view to a National (Level 2) and Site-Specific (Level 3) view without reloading the entire dataset.</w:t>
      </w:r>
    </w:p>
    <w:p w14:paraId="54D28F5A" w14:textId="77777777" w:rsidR="00487A45" w:rsidRPr="00487A45" w:rsidRDefault="00487A45" w:rsidP="00487A4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Non-Functional Requirement (NFR1 - Performance):</w:t>
      </w:r>
      <w:r w:rsidRPr="00487A45">
        <w:rPr>
          <w:rFonts w:ascii="Times New Roman" w:hAnsi="Times New Roman" w:cs="Times New Roman"/>
        </w:rPr>
        <w:t xml:space="preserve"> The "Time-to-Interactive" (TTI) metric for any filter action must be below 2.0 seconds. This required us to utilize "Data Extracts" </w:t>
      </w:r>
      <w:proofErr w:type="gramStart"/>
      <w:r w:rsidRPr="00487A45">
        <w:rPr>
          <w:rFonts w:ascii="Times New Roman" w:hAnsi="Times New Roman" w:cs="Times New Roman"/>
        </w:rPr>
        <w:t>(.hyper</w:t>
      </w:r>
      <w:proofErr w:type="gramEnd"/>
      <w:r w:rsidRPr="00487A45">
        <w:rPr>
          <w:rFonts w:ascii="Times New Roman" w:hAnsi="Times New Roman" w:cs="Times New Roman"/>
        </w:rPr>
        <w:t xml:space="preserve"> files) rather than "Live Connections" to UNESCO’s underlying data source.</w:t>
      </w:r>
    </w:p>
    <w:p w14:paraId="2CD24B8F" w14:textId="77777777" w:rsidR="00487A45" w:rsidRPr="00487A45" w:rsidRDefault="00487A45" w:rsidP="00487A4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Non-Functional Requirement (NFR2 - Accessibility):</w:t>
      </w:r>
      <w:r w:rsidRPr="00487A45">
        <w:rPr>
          <w:rFonts w:ascii="Times New Roman" w:hAnsi="Times New Roman" w:cs="Times New Roman"/>
        </w:rPr>
        <w:t xml:space="preserve"> Following Web Content Accessibility Guidelines (WCAG), we required a contrast ratio of at least 4.5:1 for all text elements. This necessitated the selection of our specific </w:t>
      </w:r>
      <w:proofErr w:type="spellStart"/>
      <w:r w:rsidRPr="00487A45">
        <w:rPr>
          <w:rFonts w:ascii="Times New Roman" w:hAnsi="Times New Roman" w:cs="Times New Roman"/>
        </w:rPr>
        <w:t>color</w:t>
      </w:r>
      <w:proofErr w:type="spellEnd"/>
      <w:r w:rsidRPr="00487A45">
        <w:rPr>
          <w:rFonts w:ascii="Times New Roman" w:hAnsi="Times New Roman" w:cs="Times New Roman"/>
        </w:rPr>
        <w:t xml:space="preserve"> palette (#5A80A4 and #4A909A), which provides sufficient luminance contrast even when viewed by users with </w:t>
      </w:r>
      <w:proofErr w:type="spellStart"/>
      <w:r w:rsidRPr="00487A45">
        <w:rPr>
          <w:rFonts w:ascii="Times New Roman" w:hAnsi="Times New Roman" w:cs="Times New Roman"/>
        </w:rPr>
        <w:t>color</w:t>
      </w:r>
      <w:proofErr w:type="spellEnd"/>
      <w:r w:rsidRPr="00487A45">
        <w:rPr>
          <w:rFonts w:ascii="Times New Roman" w:hAnsi="Times New Roman" w:cs="Times New Roman"/>
        </w:rPr>
        <w:t xml:space="preserve"> vision deficiencies.</w:t>
      </w:r>
    </w:p>
    <w:p w14:paraId="1AA97AF4" w14:textId="1C586061" w:rsidR="00487A45" w:rsidRPr="00487A45" w:rsidRDefault="00487A45" w:rsidP="00487A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87A45">
        <w:rPr>
          <w:rFonts w:ascii="Times New Roman" w:hAnsi="Times New Roman" w:cs="Times New Roman"/>
          <w:b/>
          <w:bCs/>
          <w:sz w:val="28"/>
          <w:szCs w:val="28"/>
        </w:rPr>
        <w:t>.6 Data Governance &amp; Provenance Integrity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DE997C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</w:rPr>
        <w:t>In an era of misinformation, data governance was a pillar of our requirement analysis. We established a rigorous pipeline to maintain data provenance (the origin of the data):</w:t>
      </w:r>
    </w:p>
    <w:p w14:paraId="60B328C0" w14:textId="77777777" w:rsidR="00487A45" w:rsidRPr="00487A45" w:rsidRDefault="00487A45" w:rsidP="00487A4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Authentication:</w:t>
      </w:r>
      <w:r w:rsidRPr="00487A45">
        <w:rPr>
          <w:rFonts w:ascii="Times New Roman" w:hAnsi="Times New Roman" w:cs="Times New Roman"/>
        </w:rPr>
        <w:t xml:space="preserve"> All data points were cross-referenced against the whc.unesco.org master XML records.</w:t>
      </w:r>
    </w:p>
    <w:p w14:paraId="542F2D95" w14:textId="77777777" w:rsidR="00487A45" w:rsidRPr="00487A45" w:rsidRDefault="00487A45" w:rsidP="00487A4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Standardization Protocol:</w:t>
      </w:r>
      <w:r w:rsidRPr="00487A45">
        <w:rPr>
          <w:rFonts w:ascii="Times New Roman" w:hAnsi="Times New Roman" w:cs="Times New Roman"/>
        </w:rPr>
        <w:t xml:space="preserve"> We encountered discrepancies where certain heritage sites were listed under multiple regional categories. Our requirement was to create a "Master De-duplication Logic" in our ETL layer to ensure that every site was counted exactly once, preventing inflated statistics.</w:t>
      </w:r>
    </w:p>
    <w:p w14:paraId="30F4932F" w14:textId="77777777" w:rsidR="00487A45" w:rsidRPr="00487A45" w:rsidRDefault="00487A45" w:rsidP="00487A4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Audit Trail:</w:t>
      </w:r>
      <w:r w:rsidRPr="00487A45">
        <w:rPr>
          <w:rFonts w:ascii="Times New Roman" w:hAnsi="Times New Roman" w:cs="Times New Roman"/>
        </w:rPr>
        <w:t xml:space="preserve"> We maintained an audit log of all transformations applied to the raw CSV/JSON files. This transparency is crucial for anyone verifying our analytical conclusions.</w:t>
      </w:r>
    </w:p>
    <w:p w14:paraId="31BF34B0" w14:textId="69FA8FC6" w:rsidR="00487A45" w:rsidRPr="00487A45" w:rsidRDefault="00487A45" w:rsidP="00487A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87A45">
        <w:rPr>
          <w:rFonts w:ascii="Times New Roman" w:hAnsi="Times New Roman" w:cs="Times New Roman"/>
          <w:b/>
          <w:bCs/>
          <w:sz w:val="28"/>
          <w:szCs w:val="28"/>
        </w:rPr>
        <w:t>.7 Constraint Management: Handling Large Datasets in Tableau</w:t>
      </w:r>
    </w:p>
    <w:p w14:paraId="0F5509C6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</w:rPr>
        <w:t>During the analysis phase, we anticipated technical bottlenecks inherent to high-volume geo-spatial visualization:</w:t>
      </w:r>
    </w:p>
    <w:p w14:paraId="4C64AF7F" w14:textId="77777777" w:rsidR="00487A45" w:rsidRPr="00487A45" w:rsidRDefault="00487A45" w:rsidP="00487A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t>Rendering Overhead:</w:t>
      </w:r>
      <w:r w:rsidRPr="00487A45">
        <w:rPr>
          <w:rFonts w:ascii="Times New Roman" w:hAnsi="Times New Roman" w:cs="Times New Roman"/>
        </w:rPr>
        <w:t xml:space="preserve"> With over 1,000+ heritage sites, the map could potentially become cluttered, leading to high latency. We mitigated this by implementing a "Clustering Logic" where markers automatically aggregate at low zoom levels and expand only upon user interaction.</w:t>
      </w:r>
    </w:p>
    <w:p w14:paraId="4DAD6850" w14:textId="77777777" w:rsidR="00487A45" w:rsidRPr="00487A45" w:rsidRDefault="00487A45" w:rsidP="00487A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b/>
          <w:bCs/>
        </w:rPr>
        <w:lastRenderedPageBreak/>
        <w:t>Dashboard Geometry:</w:t>
      </w:r>
      <w:r w:rsidRPr="00487A45">
        <w:rPr>
          <w:rFonts w:ascii="Times New Roman" w:hAnsi="Times New Roman" w:cs="Times New Roman"/>
        </w:rPr>
        <w:t xml:space="preserve"> We established a fixed-aspect ratio (1000px x 800px) as a design constraint to ensure the visual hierarchy remained intact across varying monitor resolutions, ensuring the user experience (UX) remained consistent for both educational and analytical personas.</w:t>
      </w:r>
    </w:p>
    <w:p w14:paraId="1087A25A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  <w:r w:rsidRPr="00487A45">
        <w:rPr>
          <w:rFonts w:ascii="Times New Roman" w:hAnsi="Times New Roman" w:cs="Times New Roman"/>
          <w:i/>
          <w:iCs/>
        </w:rPr>
        <w:t>These rigorous requirements ensured that our project was not just a collection of charts, but a highly optimized, scalable, and defensible analytical tool.</w:t>
      </w:r>
    </w:p>
    <w:p w14:paraId="2096074D" w14:textId="77777777" w:rsidR="00487A45" w:rsidRPr="00487A45" w:rsidRDefault="00487A45" w:rsidP="00487A45">
      <w:pPr>
        <w:jc w:val="both"/>
        <w:rPr>
          <w:rFonts w:ascii="Times New Roman" w:hAnsi="Times New Roman" w:cs="Times New Roman"/>
        </w:rPr>
      </w:pPr>
    </w:p>
    <w:sectPr w:rsidR="00487A45" w:rsidRPr="00487A45" w:rsidSect="00487A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566B" w14:textId="77777777" w:rsidR="00441015" w:rsidRDefault="00441015" w:rsidP="00487A45">
      <w:pPr>
        <w:spacing w:after="0" w:line="240" w:lineRule="auto"/>
      </w:pPr>
      <w:r>
        <w:separator/>
      </w:r>
    </w:p>
  </w:endnote>
  <w:endnote w:type="continuationSeparator" w:id="0">
    <w:p w14:paraId="0A2E087E" w14:textId="77777777" w:rsidR="00441015" w:rsidRDefault="00441015" w:rsidP="00487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C48A" w14:textId="77777777" w:rsidR="00487A45" w:rsidRDefault="00487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3325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F274E" w14:textId="71FE6A23" w:rsidR="00487A45" w:rsidRDefault="00487A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205CE" w14:textId="77777777" w:rsidR="00487A45" w:rsidRDefault="00487A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642F" w14:textId="77777777" w:rsidR="00487A45" w:rsidRDefault="00487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C3BDD" w14:textId="77777777" w:rsidR="00441015" w:rsidRDefault="00441015" w:rsidP="00487A45">
      <w:pPr>
        <w:spacing w:after="0" w:line="240" w:lineRule="auto"/>
      </w:pPr>
      <w:r>
        <w:separator/>
      </w:r>
    </w:p>
  </w:footnote>
  <w:footnote w:type="continuationSeparator" w:id="0">
    <w:p w14:paraId="12EF222A" w14:textId="77777777" w:rsidR="00441015" w:rsidRDefault="00441015" w:rsidP="00487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F39D" w14:textId="77777777" w:rsidR="00487A45" w:rsidRDefault="00487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CBAA" w14:textId="77777777" w:rsidR="00487A45" w:rsidRDefault="00487A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26364" w14:textId="77777777" w:rsidR="00487A45" w:rsidRDefault="00487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A8B"/>
    <w:multiLevelType w:val="multilevel"/>
    <w:tmpl w:val="F21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5BF1"/>
    <w:multiLevelType w:val="multilevel"/>
    <w:tmpl w:val="DE0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683"/>
    <w:multiLevelType w:val="multilevel"/>
    <w:tmpl w:val="A8D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17F0"/>
    <w:multiLevelType w:val="multilevel"/>
    <w:tmpl w:val="252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06A0B"/>
    <w:multiLevelType w:val="multilevel"/>
    <w:tmpl w:val="DCA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74AC5"/>
    <w:multiLevelType w:val="multilevel"/>
    <w:tmpl w:val="75A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B3A5F"/>
    <w:multiLevelType w:val="multilevel"/>
    <w:tmpl w:val="2414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45C79"/>
    <w:multiLevelType w:val="multilevel"/>
    <w:tmpl w:val="BE5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97176">
    <w:abstractNumId w:val="1"/>
  </w:num>
  <w:num w:numId="2" w16cid:durableId="481585244">
    <w:abstractNumId w:val="7"/>
  </w:num>
  <w:num w:numId="3" w16cid:durableId="1664895676">
    <w:abstractNumId w:val="2"/>
  </w:num>
  <w:num w:numId="4" w16cid:durableId="351928393">
    <w:abstractNumId w:val="4"/>
  </w:num>
  <w:num w:numId="5" w16cid:durableId="1319966244">
    <w:abstractNumId w:val="5"/>
  </w:num>
  <w:num w:numId="6" w16cid:durableId="48960141">
    <w:abstractNumId w:val="3"/>
  </w:num>
  <w:num w:numId="7" w16cid:durableId="1642617922">
    <w:abstractNumId w:val="6"/>
  </w:num>
  <w:num w:numId="8" w16cid:durableId="108423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45"/>
    <w:rsid w:val="00224630"/>
    <w:rsid w:val="00306B7D"/>
    <w:rsid w:val="0036515F"/>
    <w:rsid w:val="00441015"/>
    <w:rsid w:val="00487A45"/>
    <w:rsid w:val="00B0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3F3A"/>
  <w15:chartTrackingRefBased/>
  <w15:docId w15:val="{6AAF6902-8B31-4CE6-9816-543F053A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45"/>
  </w:style>
  <w:style w:type="paragraph" w:styleId="Heading1">
    <w:name w:val="heading 1"/>
    <w:basedOn w:val="Normal"/>
    <w:next w:val="Normal"/>
    <w:link w:val="Heading1Char"/>
    <w:uiPriority w:val="9"/>
    <w:qFormat/>
    <w:rsid w:val="0048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A45"/>
  </w:style>
  <w:style w:type="paragraph" w:styleId="Footer">
    <w:name w:val="footer"/>
    <w:basedOn w:val="Normal"/>
    <w:link w:val="FooterChar"/>
    <w:uiPriority w:val="99"/>
    <w:unhideWhenUsed/>
    <w:rsid w:val="00487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Konatham</dc:creator>
  <cp:keywords/>
  <dc:description/>
  <cp:lastModifiedBy>Deepthi Konatham</cp:lastModifiedBy>
  <cp:revision>1</cp:revision>
  <dcterms:created xsi:type="dcterms:W3CDTF">2026-07-11T07:59:00Z</dcterms:created>
  <dcterms:modified xsi:type="dcterms:W3CDTF">2026-07-11T08:12:00Z</dcterms:modified>
</cp:coreProperties>
</file>