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usiness-model-canvas-bmc---yallarent"/>
    <w:p>
      <w:pPr>
        <w:pStyle w:val="Heading1"/>
      </w:pPr>
      <w:r>
        <w:t xml:space="preserve">Business Model Canvas (BMC) - YallaRent</w:t>
      </w:r>
    </w:p>
    <w:bookmarkStart w:id="10" w:name="strategic-frame"/>
    <w:p>
      <w:pPr>
        <w:pStyle w:val="Heading2"/>
      </w:pPr>
      <w:r>
        <w:t xml:space="preserve">Strategic Frame</w:t>
      </w:r>
    </w:p>
    <w:p>
      <w:pPr>
        <w:pStyle w:val="Compact"/>
        <w:numPr>
          <w:ilvl w:val="0"/>
          <w:numId w:val="1001"/>
        </w:numPr>
      </w:pPr>
      <w:r>
        <w:t xml:space="preserve">Model: Hybrid B2C + P2P + B2B campus partnerships.</w:t>
      </w:r>
    </w:p>
    <w:p>
      <w:pPr>
        <w:pStyle w:val="Compact"/>
        <w:numPr>
          <w:ilvl w:val="0"/>
          <w:numId w:val="1001"/>
        </w:numPr>
      </w:pPr>
      <w:r>
        <w:t xml:space="preserve">Geographic posture: pilot-first, then multi-campus expansion.</w:t>
      </w:r>
    </w:p>
    <w:p>
      <w:pPr>
        <w:pStyle w:val="Compact"/>
        <w:numPr>
          <w:ilvl w:val="0"/>
          <w:numId w:val="1001"/>
        </w:numPr>
      </w:pPr>
      <w:r>
        <w:t xml:space="preserve">Core demand base: 1,530,230 enrolled students in Algeria (2024/2025)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.</w:t>
      </w:r>
    </w:p>
    <w:bookmarkEnd w:id="10"/>
    <w:bookmarkStart w:id="11" w:name="block-canvas"/>
    <w:p>
      <w:pPr>
        <w:pStyle w:val="Heading2"/>
      </w:pPr>
      <w:r>
        <w:t xml:space="preserve">9-Block Canvas</w:t>
      </w:r>
    </w:p>
    <w:bookmarkEnd w:id="11"/>
    <w:bookmarkStart w:id="18" w:name="customer-segments"/>
    <w:p>
      <w:pPr>
        <w:pStyle w:val="Heading2"/>
      </w:pPr>
      <w:r>
        <w:t xml:space="preserve">1) Customer Segments</w:t>
      </w:r>
    </w:p>
    <w:bookmarkStart w:id="12" w:name="primary-segment"/>
    <w:p>
      <w:pPr>
        <w:pStyle w:val="Heading3"/>
      </w:pPr>
      <w:r>
        <w:t xml:space="preserve">Primary Segment</w:t>
      </w:r>
    </w:p>
    <w:p>
      <w:pPr>
        <w:pStyle w:val="Compact"/>
        <w:numPr>
          <w:ilvl w:val="0"/>
          <w:numId w:val="1002"/>
        </w:numPr>
      </w:pPr>
      <w:r>
        <w:t xml:space="preserve">Student renters needing temporary access to equipment.</w:t>
      </w:r>
    </w:p>
    <w:bookmarkEnd w:id="12"/>
    <w:bookmarkStart w:id="13" w:name="secondary-segment"/>
    <w:p>
      <w:pPr>
        <w:pStyle w:val="Heading3"/>
      </w:pPr>
      <w:r>
        <w:t xml:space="preserve">Secondary Segment</w:t>
      </w:r>
    </w:p>
    <w:p>
      <w:pPr>
        <w:pStyle w:val="Compact"/>
        <w:numPr>
          <w:ilvl w:val="0"/>
          <w:numId w:val="1003"/>
        </w:numPr>
      </w:pPr>
      <w:r>
        <w:t xml:space="preserve">Student providers monetizing idle assets (P2P supply).</w:t>
      </w:r>
    </w:p>
    <w:bookmarkEnd w:id="13"/>
    <w:bookmarkStart w:id="14" w:name="institutional-segment"/>
    <w:p>
      <w:pPr>
        <w:pStyle w:val="Heading3"/>
      </w:pPr>
      <w:r>
        <w:t xml:space="preserve">Institutional Segment</w:t>
      </w:r>
    </w:p>
    <w:p>
      <w:pPr>
        <w:pStyle w:val="Compact"/>
        <w:numPr>
          <w:ilvl w:val="0"/>
          <w:numId w:val="1004"/>
        </w:numPr>
      </w:pPr>
      <w:r>
        <w:t xml:space="preserve">Universities/residences for service partnerships and student support layers.</w:t>
      </w:r>
    </w:p>
    <w:bookmarkEnd w:id="14"/>
    <w:bookmarkStart w:id="17" w:name="quantified-market-framing"/>
    <w:p>
      <w:pPr>
        <w:pStyle w:val="Heading3"/>
      </w:pPr>
      <w:r>
        <w:t xml:space="preserve">Quantified market framing</w:t>
      </w:r>
    </w:p>
    <w:p>
      <w:pPr>
        <w:pStyle w:val="Compact"/>
        <w:numPr>
          <w:ilvl w:val="0"/>
          <w:numId w:val="1005"/>
        </w:numPr>
      </w:pPr>
      <w:r>
        <w:t xml:space="preserve">TAM baseline: 1,530,230 students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SAM (pilot-to-growth focus): 382,558 students (25% of TAM, internal targeting)</w:t>
      </w:r>
      <w:r>
        <w:t xml:space="preserve"> </w:t>
      </w:r>
      <w:hyperlink r:id="rId15">
        <w:r>
          <w:rPr>
            <w:rStyle w:val="Hyperlink"/>
          </w:rPr>
          <w:t xml:space="preserve">A02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SOM target (active renters):</w:t>
      </w:r>
    </w:p>
    <w:p>
      <w:pPr>
        <w:pStyle w:val="Compact"/>
        <w:numPr>
          <w:ilvl w:val="1"/>
          <w:numId w:val="1006"/>
        </w:numPr>
      </w:pPr>
      <w:r>
        <w:t xml:space="preserve">Y1: 1,200</w:t>
      </w:r>
      <w:r>
        <w:t xml:space="preserve"> </w:t>
      </w:r>
      <w:hyperlink r:id="rId16">
        <w:r>
          <w:rPr>
            <w:rStyle w:val="Hyperlink"/>
          </w:rPr>
          <w:t xml:space="preserve">A07</w:t>
        </w:r>
      </w:hyperlink>
    </w:p>
    <w:p>
      <w:pPr>
        <w:pStyle w:val="Compact"/>
        <w:numPr>
          <w:ilvl w:val="1"/>
          <w:numId w:val="1006"/>
        </w:numPr>
      </w:pPr>
      <w:r>
        <w:t xml:space="preserve">Y5: 47,500</w:t>
      </w:r>
      <w:r>
        <w:t xml:space="preserve"> </w:t>
      </w:r>
      <w:hyperlink r:id="rId16">
        <w:r>
          <w:rPr>
            <w:rStyle w:val="Hyperlink"/>
          </w:rPr>
          <w:t xml:space="preserve">A07</w:t>
        </w:r>
      </w:hyperlink>
    </w:p>
    <w:bookmarkEnd w:id="17"/>
    <w:bookmarkEnd w:id="18"/>
    <w:bookmarkStart w:id="23" w:name="value-propositions"/>
    <w:p>
      <w:pPr>
        <w:pStyle w:val="Heading2"/>
      </w:pPr>
      <w:r>
        <w:t xml:space="preserve">2) Value Propositions</w:t>
      </w:r>
    </w:p>
    <w:bookmarkStart w:id="19" w:name="for-student-renters"/>
    <w:p>
      <w:pPr>
        <w:pStyle w:val="Heading3"/>
      </w:pPr>
      <w:r>
        <w:t xml:space="preserve">For student renters</w:t>
      </w:r>
    </w:p>
    <w:p>
      <w:pPr>
        <w:pStyle w:val="Compact"/>
        <w:numPr>
          <w:ilvl w:val="0"/>
          <w:numId w:val="1007"/>
        </w:numPr>
      </w:pPr>
      <w:r>
        <w:t xml:space="preserve">Lower upfront cost than buying full sets.</w:t>
      </w:r>
    </w:p>
    <w:p>
      <w:pPr>
        <w:pStyle w:val="Compact"/>
        <w:numPr>
          <w:ilvl w:val="0"/>
          <w:numId w:val="1007"/>
        </w:numPr>
      </w:pPr>
      <w:r>
        <w:t xml:space="preserve">Flexible durations (days to semester).</w:t>
      </w:r>
    </w:p>
    <w:p>
      <w:pPr>
        <w:pStyle w:val="Compact"/>
        <w:numPr>
          <w:ilvl w:val="0"/>
          <w:numId w:val="1007"/>
        </w:numPr>
      </w:pPr>
      <w:r>
        <w:t xml:space="preserve">Trust stack: verification, deposits/protection, and condition workflow.</w:t>
      </w:r>
    </w:p>
    <w:bookmarkEnd w:id="19"/>
    <w:bookmarkStart w:id="21" w:name="for-student-providers"/>
    <w:p>
      <w:pPr>
        <w:pStyle w:val="Heading3"/>
      </w:pPr>
      <w:r>
        <w:t xml:space="preserve">For student providers</w:t>
      </w:r>
    </w:p>
    <w:p>
      <w:pPr>
        <w:pStyle w:val="Compact"/>
        <w:numPr>
          <w:ilvl w:val="0"/>
          <w:numId w:val="1008"/>
        </w:numPr>
      </w:pPr>
      <w:r>
        <w:t xml:space="preserve">Earn from unused items with no commission on transactions</w:t>
      </w:r>
      <w:r>
        <w:t xml:space="preserve"> </w:t>
      </w:r>
      <w:hyperlink r:id="rId20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Structured listing/booking/return process.</w:t>
      </w:r>
    </w:p>
    <w:bookmarkEnd w:id="21"/>
    <w:bookmarkStart w:id="22" w:name="for-universities"/>
    <w:p>
      <w:pPr>
        <w:pStyle w:val="Heading3"/>
      </w:pPr>
      <w:r>
        <w:t xml:space="preserve">For universities</w:t>
      </w:r>
    </w:p>
    <w:p>
      <w:pPr>
        <w:pStyle w:val="Compact"/>
        <w:numPr>
          <w:ilvl w:val="0"/>
          <w:numId w:val="1009"/>
        </w:numPr>
      </w:pPr>
      <w:r>
        <w:t xml:space="preserve">Better student living support with less direct capex.</w:t>
      </w:r>
    </w:p>
    <w:p>
      <w:pPr>
        <w:pStyle w:val="Compact"/>
        <w:numPr>
          <w:ilvl w:val="0"/>
          <w:numId w:val="1009"/>
        </w:numPr>
      </w:pPr>
      <w:r>
        <w:t xml:space="preserve">Operational visibility through partnership models.</w:t>
      </w:r>
    </w:p>
    <w:bookmarkEnd w:id="22"/>
    <w:bookmarkEnd w:id="23"/>
    <w:bookmarkStart w:id="27" w:name="channels"/>
    <w:p>
      <w:pPr>
        <w:pStyle w:val="Heading2"/>
      </w:pPr>
      <w:r>
        <w:t xml:space="preserve">3) Channels</w:t>
      </w:r>
    </w:p>
    <w:p>
      <w:pPr>
        <w:pStyle w:val="Compact"/>
        <w:numPr>
          <w:ilvl w:val="0"/>
          <w:numId w:val="1010"/>
        </w:numPr>
      </w:pPr>
      <w:r>
        <w:t xml:space="preserve">Mobile-first web platform (aligned with 54.8M mobile connections and 76.9% internet penetration)</w:t>
      </w:r>
      <w:r>
        <w:t xml:space="preserve"> </w:t>
      </w:r>
      <w:hyperlink r:id="rId24">
        <w:r>
          <w:rPr>
            <w:rStyle w:val="Hyperlink"/>
          </w:rPr>
          <w:t xml:space="preserve">S15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S16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On-campus ambassadors and student clubs.</w:t>
      </w:r>
    </w:p>
    <w:p>
      <w:pPr>
        <w:pStyle w:val="Compact"/>
        <w:numPr>
          <w:ilvl w:val="0"/>
          <w:numId w:val="1010"/>
        </w:numPr>
      </w:pPr>
      <w:r>
        <w:t xml:space="preserve">Campus-adjacent hubs for physical handover.</w:t>
      </w:r>
    </w:p>
    <w:p>
      <w:pPr>
        <w:pStyle w:val="Compact"/>
        <w:numPr>
          <w:ilvl w:val="0"/>
          <w:numId w:val="1010"/>
        </w:numPr>
      </w:pPr>
      <w:r>
        <w:t xml:space="preserve">Social channels for demand capture (25.6M social identities)</w:t>
      </w:r>
      <w:r>
        <w:t xml:space="preserve"> </w:t>
      </w:r>
      <w:hyperlink r:id="rId26">
        <w:r>
          <w:rPr>
            <w:rStyle w:val="Hyperlink"/>
          </w:rPr>
          <w:t xml:space="preserve">S17</w:t>
        </w:r>
      </w:hyperlink>
      <w:r>
        <w:t xml:space="preserve">.</w:t>
      </w:r>
    </w:p>
    <w:bookmarkEnd w:id="27"/>
    <w:bookmarkStart w:id="28" w:name="customer-relationships"/>
    <w:p>
      <w:pPr>
        <w:pStyle w:val="Heading2"/>
      </w:pPr>
      <w:r>
        <w:t xml:space="preserve">4) Customer Relationships</w:t>
      </w:r>
    </w:p>
    <w:p>
      <w:pPr>
        <w:pStyle w:val="Compact"/>
        <w:numPr>
          <w:ilvl w:val="0"/>
          <w:numId w:val="1011"/>
        </w:numPr>
      </w:pPr>
      <w:r>
        <w:t xml:space="preserve">Self-serve onboarding + verification workflow.</w:t>
      </w:r>
    </w:p>
    <w:p>
      <w:pPr>
        <w:pStyle w:val="Compact"/>
        <w:numPr>
          <w:ilvl w:val="0"/>
          <w:numId w:val="1011"/>
        </w:numPr>
      </w:pPr>
      <w:r>
        <w:t xml:space="preserve">In-app support for booking/returns/disputes.</w:t>
      </w:r>
    </w:p>
    <w:p>
      <w:pPr>
        <w:pStyle w:val="Compact"/>
        <w:numPr>
          <w:ilvl w:val="0"/>
          <w:numId w:val="1011"/>
        </w:numPr>
      </w:pPr>
      <w:r>
        <w:t xml:space="preserve">Trust loops: ratings, repeat-user perks, and incident transparency.</w:t>
      </w:r>
    </w:p>
    <w:p>
      <w:pPr>
        <w:pStyle w:val="Compact"/>
        <w:numPr>
          <w:ilvl w:val="0"/>
          <w:numId w:val="1011"/>
        </w:numPr>
      </w:pPr>
      <w:r>
        <w:t xml:space="preserve">Dedicated B2B account handling for campus partners.</w:t>
      </w:r>
    </w:p>
    <w:bookmarkEnd w:id="28"/>
    <w:bookmarkStart w:id="30" w:name="revenue-streams"/>
    <w:p>
      <w:pPr>
        <w:pStyle w:val="Heading2"/>
      </w:pPr>
      <w:r>
        <w:t xml:space="preserve">5) Revenue Streams</w:t>
      </w:r>
    </w:p>
    <w:p>
      <w:pPr>
        <w:pStyle w:val="FirstParagraph"/>
      </w:pPr>
      <w:r>
        <w:t xml:space="preserve">All in DZD and linked to assumptions</w:t>
      </w:r>
      <w:r>
        <w:t xml:space="preserve"> </w:t>
      </w:r>
      <w:hyperlink r:id="rId29">
        <w:r>
          <w:rPr>
            <w:rStyle w:val="Hyperlink"/>
          </w:rPr>
          <w:t xml:space="preserve">A31-A37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 (AY26/27)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 (AY30/31)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Company-owned rentals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198,000,000</w:t>
            </w:r>
          </w:p>
        </w:tc>
        <w:tc>
          <w:tcPr/>
          <w:p>
            <w:pPr>
              <w:pStyle w:val="Compact"/>
            </w:pPr>
            <w:r>
              <w:t xml:space="preserve">A08 x A09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16,074,000</w:t>
            </w:r>
          </w:p>
        </w:tc>
        <w:tc>
          <w:tcPr/>
          <w:p>
            <w:pPr>
              <w:pStyle w:val="Compact"/>
            </w:pPr>
            <w:r>
              <w:t xml:space="preserve">A10 x A11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 protection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17,316,000</w:t>
            </w:r>
          </w:p>
        </w:tc>
        <w:tc>
          <w:tcPr/>
          <w:p>
            <w:pPr>
              <w:pStyle w:val="Compact"/>
            </w:pPr>
            <w:r>
              <w:t xml:space="preserve">A12 x A13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subscriptions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54,000,000</w:t>
            </w:r>
          </w:p>
        </w:tc>
        <w:tc>
          <w:tcPr/>
          <w:p>
            <w:pPr>
              <w:pStyle w:val="Compact"/>
            </w:pPr>
            <w:r>
              <w:t xml:space="preserve">A14 x A15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partnerships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67,200,000</w:t>
            </w:r>
          </w:p>
        </w:tc>
        <w:tc>
          <w:tcPr/>
          <w:p>
            <w:pPr>
              <w:pStyle w:val="Compact"/>
            </w:pPr>
            <w:r>
              <w:t xml:space="preserve">A16 x A17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Maintenance/repair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9,600,000</w:t>
            </w:r>
          </w:p>
        </w:tc>
        <w:tc>
          <w:tcPr/>
          <w:p>
            <w:pPr>
              <w:pStyle w:val="Compact"/>
            </w:pPr>
            <w:r>
              <w:t xml:space="preserve">A18 x A19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End-cycle resale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26,000,000</w:t>
            </w:r>
          </w:p>
        </w:tc>
        <w:tc>
          <w:tcPr/>
          <w:p>
            <w:pPr>
              <w:pStyle w:val="Compact"/>
            </w:pPr>
            <w:r>
              <w:t xml:space="preserve">A20 x A21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21,593,600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388,190,000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</w:tbl>
    <w:bookmarkEnd w:id="30"/>
    <w:bookmarkStart w:id="33" w:name="key-resources"/>
    <w:p>
      <w:pPr>
        <w:pStyle w:val="Heading2"/>
      </w:pPr>
      <w:r>
        <w:t xml:space="preserve">6) Key Resources</w:t>
      </w:r>
    </w:p>
    <w:p>
      <w:pPr>
        <w:pStyle w:val="Compact"/>
        <w:numPr>
          <w:ilvl w:val="0"/>
          <w:numId w:val="1012"/>
        </w:numPr>
      </w:pPr>
      <w:r>
        <w:t xml:space="preserve">Inventory pool and refurbishment pipeline.</w:t>
      </w:r>
    </w:p>
    <w:p>
      <w:pPr>
        <w:pStyle w:val="Compact"/>
        <w:numPr>
          <w:ilvl w:val="0"/>
          <w:numId w:val="1012"/>
        </w:numPr>
      </w:pPr>
      <w:r>
        <w:t xml:space="preserve">Campus hub infrastructure and handover SOPs.</w:t>
      </w:r>
    </w:p>
    <w:p>
      <w:pPr>
        <w:pStyle w:val="Compact"/>
        <w:numPr>
          <w:ilvl w:val="0"/>
          <w:numId w:val="1012"/>
        </w:numPr>
      </w:pPr>
      <w:r>
        <w:t xml:space="preserve">Identity, booking, deposit, and dispute software stack.</w:t>
      </w:r>
    </w:p>
    <w:p>
      <w:pPr>
        <w:pStyle w:val="Compact"/>
        <w:numPr>
          <w:ilvl w:val="0"/>
          <w:numId w:val="1012"/>
        </w:numPr>
      </w:pPr>
      <w:r>
        <w:t xml:space="preserve">Partner network (delivery + repairs + institutional liaisons).</w:t>
      </w:r>
    </w:p>
    <w:p>
      <w:pPr>
        <w:pStyle w:val="Compact"/>
        <w:numPr>
          <w:ilvl w:val="0"/>
          <w:numId w:val="1012"/>
        </w:numPr>
      </w:pPr>
      <w:r>
        <w:t xml:space="preserve">Compliance controls for personal-data processing</w:t>
      </w:r>
      <w:r>
        <w:t xml:space="preserve"> </w:t>
      </w:r>
      <w:hyperlink r:id="rId31">
        <w:r>
          <w:rPr>
            <w:rStyle w:val="Hyperlink"/>
          </w:rPr>
          <w:t xml:space="preserve">S22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S23</w:t>
        </w:r>
      </w:hyperlink>
      <w:r>
        <w:t xml:space="preserve">.</w:t>
      </w:r>
    </w:p>
    <w:bookmarkEnd w:id="33"/>
    <w:bookmarkStart w:id="34" w:name="key-activities"/>
    <w:p>
      <w:pPr>
        <w:pStyle w:val="Heading2"/>
      </w:pPr>
      <w:r>
        <w:t xml:space="preserve">7) Key Activities</w:t>
      </w:r>
    </w:p>
    <w:p>
      <w:pPr>
        <w:pStyle w:val="Compact"/>
        <w:numPr>
          <w:ilvl w:val="0"/>
          <w:numId w:val="1013"/>
        </w:numPr>
      </w:pPr>
      <w:r>
        <w:t xml:space="preserve">Inventory sourcing, quality checks, and lifecycle management.</w:t>
      </w:r>
    </w:p>
    <w:p>
      <w:pPr>
        <w:pStyle w:val="Compact"/>
        <w:numPr>
          <w:ilvl w:val="0"/>
          <w:numId w:val="1013"/>
        </w:numPr>
      </w:pPr>
      <w:r>
        <w:t xml:space="preserve">Demand forecasting and pricing optimization by campus.</w:t>
      </w:r>
    </w:p>
    <w:p>
      <w:pPr>
        <w:pStyle w:val="Compact"/>
        <w:numPr>
          <w:ilvl w:val="0"/>
          <w:numId w:val="1013"/>
        </w:numPr>
      </w:pPr>
      <w:r>
        <w:t xml:space="preserve">Verification, moderation, and trust-safety operations.</w:t>
      </w:r>
    </w:p>
    <w:p>
      <w:pPr>
        <w:pStyle w:val="Compact"/>
        <w:numPr>
          <w:ilvl w:val="0"/>
          <w:numId w:val="1013"/>
        </w:numPr>
      </w:pPr>
      <w:r>
        <w:t xml:space="preserve">Hub operations and logistics orchestration.</w:t>
      </w:r>
    </w:p>
    <w:p>
      <w:pPr>
        <w:pStyle w:val="Compact"/>
        <w:numPr>
          <w:ilvl w:val="0"/>
          <w:numId w:val="1013"/>
        </w:numPr>
      </w:pPr>
      <w:r>
        <w:t xml:space="preserve">B2B partnership acquisition and retention.</w:t>
      </w:r>
    </w:p>
    <w:bookmarkEnd w:id="34"/>
    <w:bookmarkStart w:id="36" w:name="key-partners"/>
    <w:p>
      <w:pPr>
        <w:pStyle w:val="Heading2"/>
      </w:pPr>
      <w:r>
        <w:t xml:space="preserve">8) Key Partners</w:t>
      </w:r>
    </w:p>
    <w:p>
      <w:pPr>
        <w:pStyle w:val="Compact"/>
        <w:numPr>
          <w:ilvl w:val="0"/>
          <w:numId w:val="1014"/>
        </w:numPr>
      </w:pPr>
      <w:r>
        <w:t xml:space="preserve">Universities and student services offices.</w:t>
      </w:r>
    </w:p>
    <w:p>
      <w:pPr>
        <w:pStyle w:val="Compact"/>
        <w:numPr>
          <w:ilvl w:val="0"/>
          <w:numId w:val="1014"/>
        </w:numPr>
      </w:pPr>
      <w:r>
        <w:t xml:space="preserve">Local logistics providers.</w:t>
      </w:r>
    </w:p>
    <w:p>
      <w:pPr>
        <w:pStyle w:val="Compact"/>
        <w:numPr>
          <w:ilvl w:val="0"/>
          <w:numId w:val="1014"/>
        </w:numPr>
      </w:pPr>
      <w:r>
        <w:t xml:space="preserve">Local repair and refurbish workshops.</w:t>
      </w:r>
    </w:p>
    <w:p>
      <w:pPr>
        <w:pStyle w:val="Compact"/>
        <w:numPr>
          <w:ilvl w:val="0"/>
          <w:numId w:val="1014"/>
        </w:numPr>
      </w:pPr>
      <w:r>
        <w:t xml:space="preserve">Identity and payment ecosystem partners.</w:t>
      </w:r>
    </w:p>
    <w:p>
      <w:pPr>
        <w:pStyle w:val="Compact"/>
        <w:numPr>
          <w:ilvl w:val="0"/>
          <w:numId w:val="1014"/>
        </w:numPr>
      </w:pPr>
      <w:r>
        <w:t xml:space="preserve">Public startup ecosystem support channels</w:t>
      </w:r>
      <w:r>
        <w:t xml:space="preserve"> </w:t>
      </w:r>
      <w:hyperlink r:id="rId35">
        <w:r>
          <w:rPr>
            <w:rStyle w:val="Hyperlink"/>
          </w:rPr>
          <w:t xml:space="preserve">S24</w:t>
        </w:r>
      </w:hyperlink>
      <w:r>
        <w:t xml:space="preserve">.</w:t>
      </w:r>
    </w:p>
    <w:bookmarkEnd w:id="36"/>
    <w:bookmarkStart w:id="42" w:name="cost-structure"/>
    <w:p>
      <w:pPr>
        <w:pStyle w:val="Heading2"/>
      </w:pPr>
      <w:r>
        <w:t xml:space="preserve">9) Cost Structure</w:t>
      </w:r>
    </w:p>
    <w:bookmarkStart w:id="37" w:name="main-cost-buckets-base-case"/>
    <w:p>
      <w:pPr>
        <w:pStyle w:val="Heading3"/>
      </w:pPr>
      <w:r>
        <w:t xml:space="preserve">Main cost buckets (base case)</w:t>
      </w:r>
    </w:p>
    <w:p>
      <w:pPr>
        <w:pStyle w:val="Compact"/>
        <w:numPr>
          <w:ilvl w:val="0"/>
          <w:numId w:val="1015"/>
        </w:numPr>
      </w:pPr>
      <w:r>
        <w:t xml:space="preserve">Inventory procurement and refurbishment.</w:t>
      </w:r>
    </w:p>
    <w:p>
      <w:pPr>
        <w:pStyle w:val="Compact"/>
        <w:numPr>
          <w:ilvl w:val="0"/>
          <w:numId w:val="1015"/>
        </w:numPr>
      </w:pPr>
      <w:r>
        <w:t xml:space="preserve">Hub operations and storage.</w:t>
      </w:r>
    </w:p>
    <w:p>
      <w:pPr>
        <w:pStyle w:val="Compact"/>
        <w:numPr>
          <w:ilvl w:val="0"/>
          <w:numId w:val="1015"/>
        </w:numPr>
      </w:pPr>
      <w:r>
        <w:t xml:space="preserve">Payroll.</w:t>
      </w:r>
    </w:p>
    <w:p>
      <w:pPr>
        <w:pStyle w:val="Compact"/>
        <w:numPr>
          <w:ilvl w:val="0"/>
          <w:numId w:val="1015"/>
        </w:numPr>
      </w:pPr>
      <w:r>
        <w:t xml:space="preserve">Technology/cloud/payments.</w:t>
      </w:r>
    </w:p>
    <w:p>
      <w:pPr>
        <w:pStyle w:val="Compact"/>
        <w:numPr>
          <w:ilvl w:val="0"/>
          <w:numId w:val="1015"/>
        </w:numPr>
      </w:pPr>
      <w:r>
        <w:t xml:space="preserve">Marketing and campus acquisition.</w:t>
      </w:r>
    </w:p>
    <w:p>
      <w:pPr>
        <w:pStyle w:val="Compact"/>
        <w:numPr>
          <w:ilvl w:val="0"/>
          <w:numId w:val="1015"/>
        </w:numPr>
      </w:pPr>
      <w:r>
        <w:t xml:space="preserve">Maintenance and after-rental service.</w:t>
      </w:r>
    </w:p>
    <w:p>
      <w:pPr>
        <w:pStyle w:val="Compact"/>
        <w:numPr>
          <w:ilvl w:val="0"/>
          <w:numId w:val="1015"/>
        </w:numPr>
      </w:pPr>
      <w:r>
        <w:t xml:space="preserve">G&amp;A, legal, compliance.</w:t>
      </w:r>
    </w:p>
    <w:bookmarkEnd w:id="37"/>
    <w:bookmarkStart w:id="41" w:name="cost-profile-base-case"/>
    <w:p>
      <w:pPr>
        <w:pStyle w:val="Heading3"/>
      </w:pPr>
      <w:r>
        <w:t xml:space="preserve">Cost profile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Operating Cost (DZD)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AY30/31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201,300,000</w:t>
            </w:r>
          </w:p>
        </w:tc>
      </w:tr>
    </w:tbl>
    <w:p>
      <w:pPr>
        <w:pStyle w:val="BodyText"/>
      </w:pPr>
      <w:r>
        <w:t xml:space="preserve">(Internal model values anchored to</w:t>
      </w:r>
      <w:r>
        <w:t xml:space="preserve"> </w:t>
      </w:r>
      <w:hyperlink r:id="rId38">
        <w:r>
          <w:rPr>
            <w:rStyle w:val="Hyperlink"/>
          </w:rPr>
          <w:t xml:space="preserve">A25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A26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A27</w:t>
        </w:r>
      </w:hyperlink>
      <w:r>
        <w:t xml:space="preserve">.)</w:t>
      </w:r>
    </w:p>
    <w:bookmarkEnd w:id="41"/>
    <w:bookmarkEnd w:id="42"/>
    <w:bookmarkStart w:id="44" w:name="unit-economics-snapshot-base-case"/>
    <w:p>
      <w:pPr>
        <w:pStyle w:val="Heading2"/>
      </w:pPr>
      <w:r>
        <w:t xml:space="preserve">Unit Economics Snapshot (Base Case)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(DZD)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company-owned rental fee per 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 (Y1)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A09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Avg variable fulfillment + wear cost per owned 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1,030</w:t>
            </w:r>
          </w:p>
        </w:tc>
        <w:tc>
          <w:tcPr/>
          <w:p>
            <w:pPr>
              <w:pStyle w:val="Compact"/>
            </w:pPr>
            <w:r>
              <w:t xml:space="preserve">internal allocation from cost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per owned 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</w:tbl>
    <w:bookmarkEnd w:id="44"/>
    <w:bookmarkStart w:id="46" w:name="strategic-coherence-check"/>
    <w:p>
      <w:pPr>
        <w:pStyle w:val="Heading2"/>
      </w:pPr>
      <w:r>
        <w:t xml:space="preserve">Strategic Coherence Check</w:t>
      </w:r>
    </w:p>
    <w:p>
      <w:pPr>
        <w:pStyle w:val="Compact"/>
        <w:numPr>
          <w:ilvl w:val="0"/>
          <w:numId w:val="1016"/>
        </w:numPr>
      </w:pPr>
      <w:r>
        <w:t xml:space="preserve">The no-commission P2P rule is preserved via subscription-led monetization</w:t>
      </w:r>
      <w:r>
        <w:t xml:space="preserve"> </w:t>
      </w:r>
      <w:hyperlink r:id="rId20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Expansion remains pilot-first with progressive campus count growth</w:t>
      </w:r>
      <w:r>
        <w:t xml:space="preserve"> </w:t>
      </w:r>
      <w:hyperlink r:id="rId45">
        <w:r>
          <w:rPr>
            <w:rStyle w:val="Hyperlink"/>
          </w:rPr>
          <w:t xml:space="preserve">A06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BMC financial logic is aligned with the Business Plan base/conservative/upside framework.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/assumptions.md#a02" TargetMode="External" /><Relationship Type="http://schemas.openxmlformats.org/officeDocument/2006/relationships/hyperlink" Id="rId45" Target="./assumptions.md#a06" TargetMode="External" /><Relationship Type="http://schemas.openxmlformats.org/officeDocument/2006/relationships/hyperlink" Id="rId16" Target="./assumptions.md#a07" TargetMode="External" /><Relationship Type="http://schemas.openxmlformats.org/officeDocument/2006/relationships/hyperlink" Id="rId43" Target="./assumptions.md#a09" TargetMode="External" /><Relationship Type="http://schemas.openxmlformats.org/officeDocument/2006/relationships/hyperlink" Id="rId38" Target="./assumptions.md#a25" TargetMode="External" /><Relationship Type="http://schemas.openxmlformats.org/officeDocument/2006/relationships/hyperlink" Id="rId39" Target="./assumptions.md#a26" TargetMode="External" /><Relationship Type="http://schemas.openxmlformats.org/officeDocument/2006/relationships/hyperlink" Id="rId40" Target="./assumptions.md#a27" TargetMode="External" /><Relationship Type="http://schemas.openxmlformats.org/officeDocument/2006/relationships/hyperlink" Id="rId20" Target="./assumptions.md#a28" TargetMode="External" /><Relationship Type="http://schemas.openxmlformats.org/officeDocument/2006/relationships/hyperlink" Id="rId29" Target="./assumptions.md#a31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24" Target="./sources.md#s15" TargetMode="External" /><Relationship Type="http://schemas.openxmlformats.org/officeDocument/2006/relationships/hyperlink" Id="rId25" Target="./sources.md#s16" TargetMode="External" /><Relationship Type="http://schemas.openxmlformats.org/officeDocument/2006/relationships/hyperlink" Id="rId26" Target="./sources.md#s17" TargetMode="External" /><Relationship Type="http://schemas.openxmlformats.org/officeDocument/2006/relationships/hyperlink" Id="rId31" Target="./sources.md#s22" TargetMode="External" /><Relationship Type="http://schemas.openxmlformats.org/officeDocument/2006/relationships/hyperlink" Id="rId32" Target="./sources.md#s23" TargetMode="External" /><Relationship Type="http://schemas.openxmlformats.org/officeDocument/2006/relationships/hyperlink" Id="rId35" Target="./sources.md#s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/assumptions.md#a02" TargetMode="External" /><Relationship Type="http://schemas.openxmlformats.org/officeDocument/2006/relationships/hyperlink" Id="rId45" Target="./assumptions.md#a06" TargetMode="External" /><Relationship Type="http://schemas.openxmlformats.org/officeDocument/2006/relationships/hyperlink" Id="rId16" Target="./assumptions.md#a07" TargetMode="External" /><Relationship Type="http://schemas.openxmlformats.org/officeDocument/2006/relationships/hyperlink" Id="rId43" Target="./assumptions.md#a09" TargetMode="External" /><Relationship Type="http://schemas.openxmlformats.org/officeDocument/2006/relationships/hyperlink" Id="rId38" Target="./assumptions.md#a25" TargetMode="External" /><Relationship Type="http://schemas.openxmlformats.org/officeDocument/2006/relationships/hyperlink" Id="rId39" Target="./assumptions.md#a26" TargetMode="External" /><Relationship Type="http://schemas.openxmlformats.org/officeDocument/2006/relationships/hyperlink" Id="rId40" Target="./assumptions.md#a27" TargetMode="External" /><Relationship Type="http://schemas.openxmlformats.org/officeDocument/2006/relationships/hyperlink" Id="rId20" Target="./assumptions.md#a28" TargetMode="External" /><Relationship Type="http://schemas.openxmlformats.org/officeDocument/2006/relationships/hyperlink" Id="rId29" Target="./assumptions.md#a31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24" Target="./sources.md#s15" TargetMode="External" /><Relationship Type="http://schemas.openxmlformats.org/officeDocument/2006/relationships/hyperlink" Id="rId25" Target="./sources.md#s16" TargetMode="External" /><Relationship Type="http://schemas.openxmlformats.org/officeDocument/2006/relationships/hyperlink" Id="rId26" Target="./sources.md#s17" TargetMode="External" /><Relationship Type="http://schemas.openxmlformats.org/officeDocument/2006/relationships/hyperlink" Id="rId31" Target="./sources.md#s22" TargetMode="External" /><Relationship Type="http://schemas.openxmlformats.org/officeDocument/2006/relationships/hyperlink" Id="rId32" Target="./sources.md#s23" TargetMode="External" /><Relationship Type="http://schemas.openxmlformats.org/officeDocument/2006/relationships/hyperlink" Id="rId35" Target="./sources.md#s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2026-04-24T11:16:28Z</dcterms:created>
  <dcterms:modified xsi:type="dcterms:W3CDTF">2026-04-24T11:16:28Z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