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business-plan---yallarent"/>
    <w:p>
      <w:pPr>
        <w:pStyle w:val="Heading1"/>
      </w:pPr>
      <w:r>
        <w:t xml:space="preserve">Business Plan - YallaRent</w:t>
      </w:r>
    </w:p>
    <w:bookmarkStart w:id="31" w:name="executive-summary"/>
    <w:p>
      <w:pPr>
        <w:pStyle w:val="Heading2"/>
      </w:pPr>
      <w:r>
        <w:t xml:space="preserve">1. Executive Summary</w:t>
      </w:r>
    </w:p>
    <w:bookmarkStart w:id="10" w:name="description"/>
    <w:p>
      <w:pPr>
        <w:pStyle w:val="Heading3"/>
      </w:pPr>
      <w:r>
        <w:t xml:space="preserve">1.1 Description</w:t>
      </w:r>
    </w:p>
    <w:p>
      <w:pPr>
        <w:pStyle w:val="FirstParagraph"/>
      </w:pPr>
      <w:r>
        <w:t xml:space="preserve">YallaRent is a student equipment rental and sharing platform for Algerian campuses. It combines:</w:t>
      </w:r>
      <w:r>
        <w:t xml:space="preserve"> </w:t>
      </w:r>
      <w:r>
        <w:t xml:space="preserve">- Company-owned inventory rental,</w:t>
      </w:r>
      <w:r>
        <w:t xml:space="preserve"> </w:t>
      </w:r>
      <w:r>
        <w:t xml:space="preserve">- Peer-to-peer student listings,</w:t>
      </w:r>
      <w:r>
        <w:t xml:space="preserve"> </w:t>
      </w:r>
      <w:r>
        <w:t xml:space="preserve">- Campus-adjacent pickup/return hubs,</w:t>
      </w:r>
      <w:r>
        <w:t xml:space="preserve"> </w:t>
      </w:r>
      <w:r>
        <w:t xml:space="preserve">- Optional delivery, protection, and maintenance services.</w:t>
      </w:r>
    </w:p>
    <w:p>
      <w:pPr>
        <w:pStyle w:val="BodyText"/>
      </w:pPr>
      <w:r>
        <w:t xml:space="preserve">The model addresses temporary-use demand in a large university population (1,530,230 enrolled students in 2024/2025)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.</w:t>
      </w:r>
    </w:p>
    <w:bookmarkEnd w:id="10"/>
    <w:bookmarkStart w:id="16" w:name="business-overview-and-objectives"/>
    <w:p>
      <w:pPr>
        <w:pStyle w:val="Heading3"/>
      </w:pPr>
      <w:r>
        <w:t xml:space="preserve">1.2 Business Overview and Objectives</w:t>
      </w:r>
    </w:p>
    <w:p>
      <w:pPr>
        <w:pStyle w:val="FirstParagraph"/>
      </w:pPr>
      <w:r>
        <w:rPr>
          <w:b/>
          <w:bCs/>
        </w:rPr>
        <w:t xml:space="preserve">Business objective (5-year):</w:t>
      </w:r>
      <w:r>
        <w:t xml:space="preserve"> </w:t>
      </w:r>
      <w:r>
        <w:t xml:space="preserve">build a pilot-proven, campus-scalable rental infrastructure with no commission on P2P transactions</w:t>
      </w:r>
      <w:r>
        <w:t xml:space="preserve"> </w:t>
      </w:r>
      <w:hyperlink r:id="rId11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Primary objectives:</w:t>
      </w:r>
      <w:r>
        <w:t xml:space="preserve"> </w:t>
      </w:r>
      <w:r>
        <w:t xml:space="preserve">1. Pilot and validate unit economics in AY 2026/2027.</w:t>
      </w:r>
      <w:r>
        <w:t xml:space="preserve"> </w:t>
      </w:r>
      <w:r>
        <w:t xml:space="preserve">2. Reach operational break-even from Year 2 (base case)</w:t>
      </w:r>
      <w:r>
        <w:t xml:space="preserve"> </w:t>
      </w:r>
      <w:hyperlink r:id="rId12">
        <w:r>
          <w:rPr>
            <w:rStyle w:val="Hyperlink"/>
          </w:rPr>
          <w:t xml:space="preserve">A27</w:t>
        </w:r>
      </w:hyperlink>
      <w:r>
        <w:t xml:space="preserve">.</w:t>
      </w:r>
      <w:r>
        <w:t xml:space="preserve"> </w:t>
      </w:r>
      <w:r>
        <w:t xml:space="preserve">3. Expand from 1 campus to 18 campuses by Year 5</w:t>
      </w:r>
      <w:r>
        <w:t xml:space="preserve"> </w:t>
      </w:r>
      <w:hyperlink r:id="rId13">
        <w:r>
          <w:rPr>
            <w:rStyle w:val="Hyperlink"/>
          </w:rPr>
          <w:t xml:space="preserve">A06</w:t>
        </w:r>
      </w:hyperlink>
      <w:r>
        <w:t xml:space="preserve">.</w:t>
      </w:r>
      <w:r>
        <w:t xml:space="preserve"> </w:t>
      </w:r>
      <w:r>
        <w:t xml:space="preserve">4. Build mixed revenue resilience across 7 streams</w:t>
      </w:r>
      <w:r>
        <w:t xml:space="preserve"> </w:t>
      </w:r>
      <w:hyperlink r:id="rId14">
        <w:r>
          <w:rPr>
            <w:rStyle w:val="Hyperlink"/>
          </w:rPr>
          <w:t xml:space="preserve">A31</w:t>
        </w:r>
      </w:hyperlink>
      <w:r>
        <w:t xml:space="preserve"> </w:t>
      </w:r>
      <w:r>
        <w:t xml:space="preserve">to</w:t>
      </w:r>
      <w:r>
        <w:t xml:space="preserve"> </w:t>
      </w:r>
      <w:hyperlink r:id="rId15">
        <w:r>
          <w:rPr>
            <w:rStyle w:val="Hyperlink"/>
          </w:rPr>
          <w:t xml:space="preserve">A37</w:t>
        </w:r>
      </w:hyperlink>
      <w:r>
        <w:t xml:space="preserve">.</w:t>
      </w:r>
    </w:p>
    <w:bookmarkEnd w:id="16"/>
    <w:bookmarkStart w:id="19" w:name="product-and-value-proposition"/>
    <w:p>
      <w:pPr>
        <w:pStyle w:val="Heading3"/>
      </w:pPr>
      <w:r>
        <w:t xml:space="preserve">1.3 Product and Value Proposition</w:t>
      </w:r>
    </w:p>
    <w:p>
      <w:pPr>
        <w:pStyle w:val="FirstParagraph"/>
      </w:pPr>
      <w:r>
        <w:rPr>
          <w:b/>
          <w:bCs/>
        </w:rPr>
        <w:t xml:space="preserve">For students:</w:t>
      </w:r>
      <w:r>
        <w:t xml:space="preserve"> </w:t>
      </w:r>
      <w:r>
        <w:t xml:space="preserve">temporary access to essential equipment without heavy upfront purchase.</w:t>
      </w:r>
    </w:p>
    <w:p>
      <w:pPr>
        <w:pStyle w:val="BodyText"/>
      </w:pPr>
      <w:r>
        <w:rPr>
          <w:b/>
          <w:bCs/>
        </w:rPr>
        <w:t xml:space="preserve">For student providers:</w:t>
      </w:r>
      <w:r>
        <w:t xml:space="preserve"> </w:t>
      </w:r>
      <w:r>
        <w:t xml:space="preserve">monetization of idle assets with verification and trust tooling.</w:t>
      </w:r>
    </w:p>
    <w:p>
      <w:pPr>
        <w:pStyle w:val="BodyText"/>
      </w:pPr>
      <w:r>
        <w:rPr>
          <w:b/>
          <w:bCs/>
        </w:rPr>
        <w:t xml:space="preserve">For universities:</w:t>
      </w:r>
      <w:r>
        <w:t xml:space="preserve"> </w:t>
      </w:r>
      <w:r>
        <w:t xml:space="preserve">partner-ready service layer that improves student living support.</w:t>
      </w:r>
    </w:p>
    <w:p>
      <w:pPr>
        <w:pStyle w:val="BodyText"/>
      </w:pPr>
      <w:r>
        <w:t xml:space="preserve">Digital channel feasibility is strong with 36.2 million internet users (76.9%) and 54.8 million mobile connections (116%) in early 2025</w:t>
      </w:r>
      <w:r>
        <w:t xml:space="preserve"> </w:t>
      </w:r>
      <w:hyperlink r:id="rId17">
        <w:r>
          <w:rPr>
            <w:rStyle w:val="Hyperlink"/>
          </w:rPr>
          <w:t xml:space="preserve">S16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S15</w:t>
        </w:r>
      </w:hyperlink>
      <w:r>
        <w:t xml:space="preserve">.</w:t>
      </w:r>
    </w:p>
    <w:bookmarkEnd w:id="19"/>
    <w:bookmarkStart w:id="21" w:name="market-and-customers"/>
    <w:p>
      <w:pPr>
        <w:pStyle w:val="Heading3"/>
      </w:pPr>
      <w:r>
        <w:t xml:space="preserve">1.4 Market and Customers</w:t>
      </w:r>
    </w:p>
    <w:p>
      <w:pPr>
        <w:pStyle w:val="Compact"/>
        <w:numPr>
          <w:ilvl w:val="0"/>
          <w:numId w:val="1001"/>
        </w:numPr>
      </w:pPr>
      <w:r>
        <w:t xml:space="preserve">TAM baseline: 1,530,230 enrolled students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Targeted initial SOM (active renters): 1,200 in AY 2026/2027</w:t>
      </w:r>
      <w:r>
        <w:t xml:space="preserve"> </w:t>
      </w:r>
      <w:hyperlink r:id="rId20">
        <w:r>
          <w:rPr>
            <w:rStyle w:val="Hyperlink"/>
          </w:rPr>
          <w:t xml:space="preserve">A07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Year-5 active renters target: 47,500</w:t>
      </w:r>
      <w:r>
        <w:t xml:space="preserve"> </w:t>
      </w:r>
      <w:hyperlink r:id="rId20">
        <w:r>
          <w:rPr>
            <w:rStyle w:val="Hyperlink"/>
          </w:rPr>
          <w:t xml:space="preserve">A07</w:t>
        </w:r>
      </w:hyperlink>
      <w:r>
        <w:t xml:space="preserve">.</w:t>
      </w:r>
    </w:p>
    <w:bookmarkEnd w:id="21"/>
    <w:bookmarkStart w:id="22" w:name="strategy-and-development"/>
    <w:p>
      <w:pPr>
        <w:pStyle w:val="Heading3"/>
      </w:pPr>
      <w:r>
        <w:t xml:space="preserve">1.5 Strategy and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(AY26/27):</w:t>
      </w:r>
      <w:r>
        <w:t xml:space="preserve"> </w:t>
      </w:r>
      <w:r>
        <w:t xml:space="preserve">1-campus pilot with controlled SKU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(AY27/28 to AY28/29):</w:t>
      </w:r>
      <w:r>
        <w:t xml:space="preserve"> </w:t>
      </w:r>
      <w:r>
        <w:t xml:space="preserve">3 to 7 campuses, stronger partner contracts.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 (AY29/30 to AY30/31):</w:t>
      </w:r>
      <w:r>
        <w:t xml:space="preserve"> </w:t>
      </w:r>
      <w:r>
        <w:t xml:space="preserve">12 to 18 campuses, full multi-stream model.</w:t>
      </w:r>
    </w:p>
    <w:bookmarkEnd w:id="22"/>
    <w:bookmarkStart w:id="23" w:name="financials-and-resources-base-case"/>
    <w:p>
      <w:pPr>
        <w:pStyle w:val="Heading3"/>
      </w:pPr>
      <w:r>
        <w:t xml:space="preserve">1.6 Financials and Resources (Base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(DZD)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Cost (DZD)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Result (DZD)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21,593,600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-4,206,400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60,504,000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12,204,000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132,507,200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49,507,200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108,950,000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AY30/31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388,190,000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186,890,000</w:t>
            </w:r>
          </w:p>
        </w:tc>
      </w:tr>
    </w:tbl>
    <w:p>
      <w:pPr>
        <w:pStyle w:val="BodyText"/>
      </w:pPr>
      <w:r>
        <w:t xml:space="preserve">(Model assumptions:</w:t>
      </w:r>
      <w:r>
        <w:t xml:space="preserve"> </w:t>
      </w:r>
      <w:hyperlink r:id="rId13">
        <w:r>
          <w:rPr>
            <w:rStyle w:val="Hyperlink"/>
          </w:rPr>
          <w:t xml:space="preserve">A06</w:t>
        </w:r>
      </w:hyperlink>
      <w:r>
        <w:t xml:space="preserve"> </w:t>
      </w:r>
      <w:r>
        <w:t xml:space="preserve">to</w:t>
      </w:r>
      <w:r>
        <w:t xml:space="preserve"> </w:t>
      </w:r>
      <w:hyperlink r:id="rId15">
        <w:r>
          <w:rPr>
            <w:rStyle w:val="Hyperlink"/>
          </w:rPr>
          <w:t xml:space="preserve">A37</w:t>
        </w:r>
      </w:hyperlink>
      <w:r>
        <w:t xml:space="preserve">)</w:t>
      </w:r>
    </w:p>
    <w:bookmarkEnd w:id="23"/>
    <w:bookmarkStart w:id="30" w:name="risks-and-mitigation-summary"/>
    <w:p>
      <w:pPr>
        <w:pStyle w:val="Heading3"/>
      </w:pPr>
      <w:r>
        <w:t xml:space="preserve">1.7 Risks and Mitigation (Summary)</w:t>
      </w:r>
    </w:p>
    <w:p>
      <w:pPr>
        <w:pStyle w:val="Compact"/>
        <w:numPr>
          <w:ilvl w:val="0"/>
          <w:numId w:val="1003"/>
        </w:numPr>
      </w:pPr>
      <w:r>
        <w:t xml:space="preserve">Buyer price sensitivity under youth unemployment and inflation</w:t>
      </w:r>
      <w:r>
        <w:t xml:space="preserve"> </w:t>
      </w:r>
      <w:hyperlink r:id="rId24">
        <w:r>
          <w:rPr>
            <w:rStyle w:val="Hyperlink"/>
          </w:rPr>
          <w:t xml:space="preserve">S06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S07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Substitute pressure from informal/classified channels</w:t>
      </w:r>
      <w:r>
        <w:t xml:space="preserve"> </w:t>
      </w:r>
      <w:hyperlink r:id="rId26">
        <w:r>
          <w:rPr>
            <w:rStyle w:val="Hyperlink"/>
          </w:rPr>
          <w:t xml:space="preserve">S26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Compliance obligations under Law 18-07</w:t>
      </w:r>
      <w:r>
        <w:t xml:space="preserve"> </w:t>
      </w:r>
      <w:hyperlink r:id="rId28">
        <w:r>
          <w:rPr>
            <w:rStyle w:val="Hyperlink"/>
          </w:rPr>
          <w:t xml:space="preserve">S22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S23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company-overview-management"/>
    <w:p>
      <w:pPr>
        <w:pStyle w:val="Heading2"/>
      </w:pPr>
      <w:r>
        <w:t xml:space="preserve">2. Company Overview &amp; Management</w:t>
      </w:r>
    </w:p>
    <w:bookmarkStart w:id="32" w:name="company-description"/>
    <w:p>
      <w:pPr>
        <w:pStyle w:val="Heading3"/>
      </w:pPr>
      <w:r>
        <w:t xml:space="preserve">2.1 Company Description</w:t>
      </w:r>
    </w:p>
    <w:p>
      <w:pPr>
        <w:pStyle w:val="FirstParagraph"/>
      </w:pPr>
      <w:r>
        <w:t xml:space="preserve">YallaRent operates as a campus-focused rental operations platform with a hybrid physical-digital model.</w:t>
      </w:r>
    </w:p>
    <w:bookmarkEnd w:id="32"/>
    <w:bookmarkStart w:id="35" w:name="legal-and-regulatory-position"/>
    <w:p>
      <w:pPr>
        <w:pStyle w:val="Heading3"/>
      </w:pPr>
      <w:r>
        <w:t xml:space="preserve">2.2 Legal and Regulatory Position</w:t>
      </w:r>
    </w:p>
    <w:p>
      <w:pPr>
        <w:pStyle w:val="Compact"/>
        <w:numPr>
          <w:ilvl w:val="0"/>
          <w:numId w:val="1004"/>
        </w:numPr>
      </w:pPr>
      <w:r>
        <w:t xml:space="preserve">Startup policy path includes a 4-year renewable label framework</w:t>
      </w:r>
      <w:r>
        <w:t xml:space="preserve"> </w:t>
      </w:r>
      <w:hyperlink r:id="rId33">
        <w:r>
          <w:rPr>
            <w:rStyle w:val="Hyperlink"/>
          </w:rPr>
          <w:t xml:space="preserve">S24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S25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Personal-data processing must align with Law 18-07 obligations, including consent logic</w:t>
      </w:r>
      <w:r>
        <w:t xml:space="preserve"> </w:t>
      </w:r>
      <w:hyperlink r:id="rId28">
        <w:r>
          <w:rPr>
            <w:rStyle w:val="Hyperlink"/>
          </w:rPr>
          <w:t xml:space="preserve">S22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S23</w:t>
        </w:r>
      </w:hyperlink>
      <w:r>
        <w:t xml:space="preserve">.</w:t>
      </w:r>
    </w:p>
    <w:bookmarkEnd w:id="35"/>
    <w:bookmarkStart w:id="36" w:name="management-structure-planned"/>
    <w:p>
      <w:pPr>
        <w:pStyle w:val="Heading3"/>
      </w:pPr>
      <w:r>
        <w:t xml:space="preserve">2.3 Management Structure (Planned)</w:t>
      </w:r>
    </w:p>
    <w:p>
      <w:pPr>
        <w:pStyle w:val="Compact"/>
        <w:numPr>
          <w:ilvl w:val="0"/>
          <w:numId w:val="1005"/>
        </w:numPr>
      </w:pPr>
      <w:r>
        <w:t xml:space="preserve">CEO: partnerships, growth, governance.</w:t>
      </w:r>
    </w:p>
    <w:p>
      <w:pPr>
        <w:pStyle w:val="Compact"/>
        <w:numPr>
          <w:ilvl w:val="0"/>
          <w:numId w:val="1005"/>
        </w:numPr>
      </w:pPr>
      <w:r>
        <w:t xml:space="preserve">COO: hubs, logistics, operations.</w:t>
      </w:r>
    </w:p>
    <w:p>
      <w:pPr>
        <w:pStyle w:val="Compact"/>
        <w:numPr>
          <w:ilvl w:val="0"/>
          <w:numId w:val="1005"/>
        </w:numPr>
      </w:pPr>
      <w:r>
        <w:t xml:space="preserve">CTO: platform, security, data governance.</w:t>
      </w:r>
    </w:p>
    <w:p>
      <w:pPr>
        <w:pStyle w:val="Compact"/>
        <w:numPr>
          <w:ilvl w:val="0"/>
          <w:numId w:val="1005"/>
        </w:numPr>
      </w:pPr>
      <w:r>
        <w:t xml:space="preserve">Trust &amp; Safety Lead: verification, disputes, incident response.</w:t>
      </w:r>
    </w:p>
    <w:p>
      <w:pPr>
        <w:pStyle w:val="Compact"/>
        <w:numPr>
          <w:ilvl w:val="0"/>
          <w:numId w:val="1005"/>
        </w:numPr>
      </w:pPr>
      <w:r>
        <w:t xml:space="preserve">Finance Lead: budgeting, controls, scenario management.</w:t>
      </w:r>
    </w:p>
    <w:bookmarkEnd w:id="36"/>
    <w:bookmarkStart w:id="39" w:name="hr-ramp-base-case"/>
    <w:p>
      <w:pPr>
        <w:pStyle w:val="Heading3"/>
      </w:pPr>
      <w:r>
        <w:t xml:space="preserve">2.4 HR Ramp (Base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Core Team FTE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AY30/31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</w:tbl>
    <w:p>
      <w:pPr>
        <w:pStyle w:val="BodyText"/>
      </w:pPr>
      <w:r>
        <w:t xml:space="preserve">(Internal HR plan linked to cost growth assumptions</w:t>
      </w:r>
      <w:r>
        <w:t xml:space="preserve"> </w:t>
      </w:r>
      <w:hyperlink r:id="rId37">
        <w:r>
          <w:rPr>
            <w:rStyle w:val="Hyperlink"/>
          </w:rPr>
          <w:t xml:space="preserve">A25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A26</w:t>
        </w:r>
      </w:hyperlink>
      <w:r>
        <w:t xml:space="preserve">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2" w:name="products-services"/>
    <w:p>
      <w:pPr>
        <w:pStyle w:val="Heading2"/>
      </w:pPr>
      <w:r>
        <w:t xml:space="preserve">3. Products / Services</w:t>
      </w:r>
    </w:p>
    <w:bookmarkStart w:id="48" w:name="product-overview"/>
    <w:p>
      <w:pPr>
        <w:pStyle w:val="Heading3"/>
      </w:pPr>
      <w:r>
        <w:t xml:space="preserve">3.1 Product Overview</w:t>
      </w:r>
    </w:p>
    <w:p>
      <w:pPr>
        <w:pStyle w:val="Compact"/>
        <w:numPr>
          <w:ilvl w:val="0"/>
          <w:numId w:val="1006"/>
        </w:numPr>
      </w:pPr>
      <w:r>
        <w:t xml:space="preserve">Company-owned item rentals.</w:t>
      </w:r>
    </w:p>
    <w:p>
      <w:pPr>
        <w:pStyle w:val="Compact"/>
        <w:numPr>
          <w:ilvl w:val="0"/>
          <w:numId w:val="1006"/>
        </w:numPr>
      </w:pPr>
      <w:r>
        <w:t xml:space="preserve">P2P listings (free up to 3 items, paid plans above threshold)</w:t>
      </w:r>
      <w:r>
        <w:t xml:space="preserve"> </w:t>
      </w:r>
      <w:hyperlink r:id="rId41">
        <w:r>
          <w:rPr>
            <w:rStyle w:val="Hyperlink"/>
          </w:rPr>
          <w:t xml:space="preserve">A14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Delivery and pickup options</w:t>
      </w:r>
      <w:r>
        <w:t xml:space="preserve"> </w:t>
      </w:r>
      <w:hyperlink r:id="rId42">
        <w:r>
          <w:rPr>
            <w:rStyle w:val="Hyperlink"/>
          </w:rPr>
          <w:t xml:space="preserve">A10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A11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Damage protection add-on</w:t>
      </w:r>
      <w:r>
        <w:t xml:space="preserve"> </w:t>
      </w:r>
      <w:hyperlink r:id="rId44">
        <w:r>
          <w:rPr>
            <w:rStyle w:val="Hyperlink"/>
          </w:rPr>
          <w:t xml:space="preserve">A12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A13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Maintenance and end-cycle resale</w:t>
      </w:r>
      <w:r>
        <w:t xml:space="preserve"> </w:t>
      </w:r>
      <w:hyperlink r:id="rId46">
        <w:r>
          <w:rPr>
            <w:rStyle w:val="Hyperlink"/>
          </w:rPr>
          <w:t xml:space="preserve">A18</w:t>
        </w:r>
      </w:hyperlink>
      <w:r>
        <w:t xml:space="preserve"> </w:t>
      </w:r>
      <w:r>
        <w:t xml:space="preserve">to</w:t>
      </w:r>
      <w:r>
        <w:t xml:space="preserve"> </w:t>
      </w:r>
      <w:hyperlink r:id="rId47">
        <w:r>
          <w:rPr>
            <w:rStyle w:val="Hyperlink"/>
          </w:rPr>
          <w:t xml:space="preserve">A21</w:t>
        </w:r>
      </w:hyperlink>
      <w:r>
        <w:t xml:space="preserve">.</w:t>
      </w:r>
    </w:p>
    <w:bookmarkEnd w:id="48"/>
    <w:bookmarkStart w:id="51" w:name="technical-characteristics-and-quality"/>
    <w:p>
      <w:pPr>
        <w:pStyle w:val="Heading3"/>
      </w:pPr>
      <w:r>
        <w:t xml:space="preserve">3.2 Technical Characteristics and Quality</w:t>
      </w:r>
    </w:p>
    <w:p>
      <w:pPr>
        <w:pStyle w:val="Compact"/>
        <w:numPr>
          <w:ilvl w:val="0"/>
          <w:numId w:val="1007"/>
        </w:numPr>
      </w:pPr>
      <w:r>
        <w:t xml:space="preserve">Mobile-first UX required by local connectivity context</w:t>
      </w:r>
      <w:r>
        <w:t xml:space="preserve"> </w:t>
      </w:r>
      <w:hyperlink r:id="rId18">
        <w:r>
          <w:rPr>
            <w:rStyle w:val="Hyperlink"/>
          </w:rPr>
          <w:t xml:space="preserve">S15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S16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Performance target informed by local median speeds (23.42 Mbps mobile; 15.05 Mbps fixed)</w:t>
      </w:r>
      <w:r>
        <w:t xml:space="preserve"> </w:t>
      </w:r>
      <w:hyperlink r:id="rId49">
        <w:r>
          <w:rPr>
            <w:rStyle w:val="Hyperlink"/>
          </w:rPr>
          <w:t xml:space="preserve">S18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S19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Role-based admin controls and auditable event logs for trust and compliance.</w:t>
      </w:r>
    </w:p>
    <w:bookmarkEnd w:id="51"/>
    <w:bookmarkStart w:id="53" w:name="X8b6313ce80f1af0efa39b9f75d29295a5e9397a"/>
    <w:p>
      <w:pPr>
        <w:pStyle w:val="Heading3"/>
      </w:pPr>
      <w:r>
        <w:t xml:space="preserve">3.3 Product Strengths and Competitive Advantages</w:t>
      </w:r>
    </w:p>
    <w:p>
      <w:pPr>
        <w:pStyle w:val="Compact"/>
        <w:numPr>
          <w:ilvl w:val="0"/>
          <w:numId w:val="1008"/>
        </w:numPr>
      </w:pPr>
      <w:r>
        <w:t xml:space="preserve">Campus-specific logistics workflow versus generic classified platforms</w:t>
      </w:r>
      <w:r>
        <w:t xml:space="preserve"> </w:t>
      </w:r>
      <w:hyperlink r:id="rId26">
        <w:r>
          <w:rPr>
            <w:rStyle w:val="Hyperlink"/>
          </w:rPr>
          <w:t xml:space="preserve">S26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Mixed revenue engine without P2P commission dependency</w:t>
      </w:r>
      <w:r>
        <w:t xml:space="preserve"> </w:t>
      </w:r>
      <w:hyperlink r:id="rId11">
        <w:r>
          <w:rPr>
            <w:rStyle w:val="Hyperlink"/>
          </w:rPr>
          <w:t xml:space="preserve">A28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Built-in refurbishment/resale loop for inventory lifecycle control</w:t>
      </w:r>
      <w:r>
        <w:t xml:space="preserve"> </w:t>
      </w:r>
      <w:hyperlink r:id="rId52">
        <w:r>
          <w:rPr>
            <w:rStyle w:val="Hyperlink"/>
          </w:rPr>
          <w:t xml:space="preserve">A20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A21</w:t>
        </w:r>
      </w:hyperlink>
      <w:r>
        <w:t xml:space="preserve">.</w:t>
      </w:r>
    </w:p>
    <w:bookmarkEnd w:id="53"/>
    <w:bookmarkStart w:id="54" w:name="client-purchase-factors"/>
    <w:p>
      <w:pPr>
        <w:pStyle w:val="Heading3"/>
      </w:pPr>
      <w:r>
        <w:t xml:space="preserve">3.4 Client Purchase Factors</w:t>
      </w:r>
    </w:p>
    <w:p>
      <w:pPr>
        <w:pStyle w:val="Compact"/>
        <w:numPr>
          <w:ilvl w:val="0"/>
          <w:numId w:val="1009"/>
        </w:numPr>
      </w:pPr>
      <w:r>
        <w:t xml:space="preserve">Total cost transparency.</w:t>
      </w:r>
    </w:p>
    <w:p>
      <w:pPr>
        <w:pStyle w:val="Compact"/>
        <w:numPr>
          <w:ilvl w:val="0"/>
          <w:numId w:val="1009"/>
        </w:numPr>
      </w:pPr>
      <w:r>
        <w:t xml:space="preserve">Trust in item condition and identity checks.</w:t>
      </w:r>
    </w:p>
    <w:p>
      <w:pPr>
        <w:pStyle w:val="Compact"/>
        <w:numPr>
          <w:ilvl w:val="0"/>
          <w:numId w:val="1009"/>
        </w:numPr>
      </w:pPr>
      <w:r>
        <w:t xml:space="preserve">Speed and convenience of handover.</w:t>
      </w:r>
    </w:p>
    <w:p>
      <w:pPr>
        <w:pStyle w:val="Compact"/>
        <w:numPr>
          <w:ilvl w:val="0"/>
          <w:numId w:val="1009"/>
        </w:numPr>
      </w:pPr>
      <w:r>
        <w:t xml:space="preserve">Availability at semester-critical dates.</w:t>
      </w:r>
    </w:p>
    <w:bookmarkEnd w:id="54"/>
    <w:bookmarkStart w:id="55" w:name="X56ae18cbc79066e87f4e9a203aa800d245354d9"/>
    <w:p>
      <w:pPr>
        <w:pStyle w:val="Heading3"/>
      </w:pPr>
      <w:r>
        <w:t xml:space="preserve">3.5 Product Portfolio and Revenue Contribution (Base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AY26/27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AY30/31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Company-owned rentals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 protection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plans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partnerships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</w:t>
            </w:r>
          </w:p>
        </w:tc>
      </w:tr>
    </w:tbl>
    <w:bookmarkEnd w:id="55"/>
    <w:bookmarkStart w:id="56" w:name="product-development-roadmap"/>
    <w:p>
      <w:pPr>
        <w:pStyle w:val="Heading3"/>
      </w:pPr>
      <w:r>
        <w:t xml:space="preserve">3.6 Product Development Roadmap</w:t>
      </w:r>
    </w:p>
    <w:p>
      <w:pPr>
        <w:pStyle w:val="Compact"/>
        <w:numPr>
          <w:ilvl w:val="0"/>
          <w:numId w:val="1010"/>
        </w:numPr>
      </w:pPr>
      <w:r>
        <w:t xml:space="preserve">Year 1: booking core, verification, hub workflow, basic provider dashboard.</w:t>
      </w:r>
    </w:p>
    <w:p>
      <w:pPr>
        <w:pStyle w:val="Compact"/>
        <w:numPr>
          <w:ilvl w:val="0"/>
          <w:numId w:val="1010"/>
        </w:numPr>
      </w:pPr>
      <w:r>
        <w:t xml:space="preserve">Year 2-3: automation for disputes, SLA dashboarding, improved provider controls.</w:t>
      </w:r>
    </w:p>
    <w:p>
      <w:pPr>
        <w:pStyle w:val="Compact"/>
        <w:numPr>
          <w:ilvl w:val="0"/>
          <w:numId w:val="1010"/>
        </w:numPr>
      </w:pPr>
      <w:r>
        <w:t xml:space="preserve">Year 4-5: cross-campus inventory optimization and advanced risk scoring.</w:t>
      </w:r>
    </w:p>
    <w:bookmarkEnd w:id="56"/>
    <w:bookmarkStart w:id="57" w:name="market-life-cycle-and-seasonality"/>
    <w:p>
      <w:pPr>
        <w:pStyle w:val="Heading3"/>
      </w:pPr>
      <w:r>
        <w:t xml:space="preserve">3.7 Market Life Cycle and Seasonality</w:t>
      </w:r>
    </w:p>
    <w:p>
      <w:pPr>
        <w:pStyle w:val="Compact"/>
        <w:numPr>
          <w:ilvl w:val="0"/>
          <w:numId w:val="1011"/>
        </w:numPr>
      </w:pPr>
      <w:r>
        <w:t xml:space="preserve">Demand peaks around semester starts and exam windows.</w:t>
      </w:r>
    </w:p>
    <w:p>
      <w:pPr>
        <w:pStyle w:val="Compact"/>
        <w:numPr>
          <w:ilvl w:val="0"/>
          <w:numId w:val="1011"/>
        </w:numPr>
      </w:pPr>
      <w:r>
        <w:t xml:space="preserve">End-of-semester return cycles feed maintenance and resale channels.</w:t>
      </w:r>
    </w:p>
    <w:bookmarkEnd w:id="57"/>
    <w:bookmarkStart w:id="60" w:name="sales-projection-drivers"/>
    <w:p>
      <w:pPr>
        <w:pStyle w:val="Heading3"/>
      </w:pPr>
      <w:r>
        <w:t xml:space="preserve">3.8 Sales Projection Drivers</w:t>
      </w:r>
    </w:p>
    <w:p>
      <w:pPr>
        <w:pStyle w:val="Compact"/>
        <w:numPr>
          <w:ilvl w:val="0"/>
          <w:numId w:val="1012"/>
        </w:numPr>
      </w:pPr>
      <w:r>
        <w:t xml:space="preserve">Active renters growth</w:t>
      </w:r>
      <w:r>
        <w:t xml:space="preserve"> </w:t>
      </w:r>
      <w:hyperlink r:id="rId20">
        <w:r>
          <w:rPr>
            <w:rStyle w:val="Hyperlink"/>
          </w:rPr>
          <w:t xml:space="preserve">A07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Orders and average fee growth</w:t>
      </w:r>
      <w:r>
        <w:t xml:space="preserve"> </w:t>
      </w:r>
      <w:hyperlink r:id="rId58">
        <w:r>
          <w:rPr>
            <w:rStyle w:val="Hyperlink"/>
          </w:rPr>
          <w:t xml:space="preserve">A08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A09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Attach-rate progression</w:t>
      </w:r>
      <w:r>
        <w:t xml:space="preserve"> </w:t>
      </w:r>
      <w:hyperlink r:id="rId42">
        <w:r>
          <w:rPr>
            <w:rStyle w:val="Hyperlink"/>
          </w:rPr>
          <w:t xml:space="preserve">A10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A12</w:t>
        </w:r>
      </w:hyperlink>
      <w:r>
        <w:t xml:space="preserve">.</w:t>
      </w:r>
    </w:p>
    <w:bookmarkEnd w:id="60"/>
    <w:bookmarkStart w:id="61" w:name="after-sales-service-and-support"/>
    <w:p>
      <w:pPr>
        <w:pStyle w:val="Heading3"/>
      </w:pPr>
      <w:r>
        <w:t xml:space="preserve">3.9 After-Sales Service and Support</w:t>
      </w:r>
    </w:p>
    <w:p>
      <w:pPr>
        <w:pStyle w:val="Compact"/>
        <w:numPr>
          <w:ilvl w:val="0"/>
          <w:numId w:val="1013"/>
        </w:numPr>
      </w:pPr>
      <w:r>
        <w:t xml:space="preserve">Return inspections and damage workflows.</w:t>
      </w:r>
    </w:p>
    <w:p>
      <w:pPr>
        <w:pStyle w:val="Compact"/>
        <w:numPr>
          <w:ilvl w:val="0"/>
          <w:numId w:val="1013"/>
        </w:numPr>
      </w:pPr>
      <w:r>
        <w:t xml:space="preserve">Maintenance interventions and replacement path.</w:t>
      </w:r>
    </w:p>
    <w:p>
      <w:pPr>
        <w:pStyle w:val="Compact"/>
        <w:numPr>
          <w:ilvl w:val="0"/>
          <w:numId w:val="1013"/>
        </w:numPr>
      </w:pPr>
      <w:r>
        <w:t xml:space="preserve">Escalation path for disputes.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market-clients"/>
    <w:p>
      <w:pPr>
        <w:pStyle w:val="Heading2"/>
      </w:pPr>
      <w:r>
        <w:t xml:space="preserve">4. Market &amp; Clients</w:t>
      </w:r>
    </w:p>
    <w:bookmarkStart w:id="64" w:name="market-sizing"/>
    <w:p>
      <w:pPr>
        <w:pStyle w:val="Heading3"/>
      </w:pPr>
      <w:r>
        <w:t xml:space="preserve">4.1 Market Sizing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TAM:</w:t>
      </w:r>
      <w:r>
        <w:t xml:space="preserve"> </w:t>
      </w:r>
      <w:r>
        <w:t xml:space="preserve">1,530,230 enrolled students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SAM (internal launch focus):</w:t>
      </w:r>
      <w:r>
        <w:t xml:space="preserve"> </w:t>
      </w:r>
      <w:r>
        <w:t xml:space="preserve">382,558 students (25% of TAM)</w:t>
      </w:r>
      <w:r>
        <w:t xml:space="preserve"> </w:t>
      </w:r>
      <w:hyperlink r:id="rId63">
        <w:r>
          <w:rPr>
            <w:rStyle w:val="Hyperlink"/>
          </w:rPr>
          <w:t xml:space="preserve">A02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SOM:</w:t>
      </w:r>
      <w:r>
        <w:t xml:space="preserve"> </w:t>
      </w:r>
      <w:r>
        <w:t xml:space="preserve">starts at 1,200 active renters, scales to 47,500 by Year 5</w:t>
      </w:r>
      <w:r>
        <w:t xml:space="preserve"> </w:t>
      </w:r>
      <w:hyperlink r:id="rId20">
        <w:r>
          <w:rPr>
            <w:rStyle w:val="Hyperlink"/>
          </w:rPr>
          <w:t xml:space="preserve">A07</w:t>
        </w:r>
      </w:hyperlink>
      <w:r>
        <w:t xml:space="preserve">.</w:t>
      </w:r>
    </w:p>
    <w:bookmarkEnd w:id="64"/>
    <w:bookmarkStart w:id="65" w:name="segment-prioritization"/>
    <w:p>
      <w:pPr>
        <w:pStyle w:val="Heading3"/>
      </w:pPr>
      <w:r>
        <w:t xml:space="preserve">4.2 Segment Prioritization</w:t>
      </w:r>
    </w:p>
    <w:p>
      <w:pPr>
        <w:pStyle w:val="Compact"/>
        <w:numPr>
          <w:ilvl w:val="0"/>
          <w:numId w:val="1015"/>
        </w:numPr>
      </w:pPr>
      <w:r>
        <w:t xml:space="preserve">Students in high-mobility housing patterns.</w:t>
      </w:r>
    </w:p>
    <w:p>
      <w:pPr>
        <w:pStyle w:val="Compact"/>
        <w:numPr>
          <w:ilvl w:val="0"/>
          <w:numId w:val="1015"/>
        </w:numPr>
      </w:pPr>
      <w:r>
        <w:t xml:space="preserve">Students with temporary semester needs.</w:t>
      </w:r>
    </w:p>
    <w:p>
      <w:pPr>
        <w:pStyle w:val="Compact"/>
        <w:numPr>
          <w:ilvl w:val="0"/>
          <w:numId w:val="1015"/>
        </w:numPr>
      </w:pPr>
      <w:r>
        <w:t xml:space="preserve">Student providers with idle assets.</w:t>
      </w:r>
    </w:p>
    <w:bookmarkEnd w:id="65"/>
    <w:bookmarkStart w:id="66" w:name="demand-conditions"/>
    <w:p>
      <w:pPr>
        <w:pStyle w:val="Heading3"/>
      </w:pPr>
      <w:r>
        <w:t xml:space="preserve">4.3 Demand Conditions</w:t>
      </w:r>
    </w:p>
    <w:p>
      <w:pPr>
        <w:pStyle w:val="Compact"/>
        <w:numPr>
          <w:ilvl w:val="0"/>
          <w:numId w:val="1016"/>
        </w:numPr>
      </w:pPr>
      <w:r>
        <w:t xml:space="preserve">Affordability pressure: youth unemployment 29.444%</w:t>
      </w:r>
      <w:r>
        <w:t xml:space="preserve"> </w:t>
      </w:r>
      <w:hyperlink r:id="rId24">
        <w:r>
          <w:rPr>
            <w:rStyle w:val="Hyperlink"/>
          </w:rPr>
          <w:t xml:space="preserve">S06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Stable digital readiness: 76.9% internet penetration</w:t>
      </w:r>
      <w:r>
        <w:t xml:space="preserve"> </w:t>
      </w:r>
      <w:hyperlink r:id="rId17">
        <w:r>
          <w:rPr>
            <w:rStyle w:val="Hyperlink"/>
          </w:rPr>
          <w:t xml:space="preserve">S16</w:t>
        </w:r>
      </w:hyperlink>
      <w:r>
        <w:t xml:space="preserve">.</w:t>
      </w:r>
    </w:p>
    <w:bookmarkEnd w:id="66"/>
    <w:bookmarkStart w:id="68" w:name="geographic-rollout-logic"/>
    <w:p>
      <w:pPr>
        <w:pStyle w:val="Heading3"/>
      </w:pPr>
      <w:r>
        <w:t xml:space="preserve">4.4 Geographic Rollout Logic</w:t>
      </w:r>
    </w:p>
    <w:p>
      <w:pPr>
        <w:pStyle w:val="Compact"/>
        <w:numPr>
          <w:ilvl w:val="0"/>
          <w:numId w:val="1017"/>
        </w:numPr>
      </w:pPr>
      <w:r>
        <w:t xml:space="preserve">Start dense (one campus cluster), then expand by operating playbook replication.</w:t>
      </w:r>
    </w:p>
    <w:p>
      <w:pPr>
        <w:pStyle w:val="Compact"/>
        <w:numPr>
          <w:ilvl w:val="0"/>
          <w:numId w:val="1017"/>
        </w:numPr>
      </w:pPr>
      <w:r>
        <w:t xml:space="preserve">Higher education network scale (117 institutions) supports long runway</w:t>
      </w:r>
      <w:r>
        <w:t xml:space="preserve"> </w:t>
      </w:r>
      <w:hyperlink r:id="rId67">
        <w:r>
          <w:rPr>
            <w:rStyle w:val="Hyperlink"/>
          </w:rPr>
          <w:t xml:space="preserve">S12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competition"/>
    <w:p>
      <w:pPr>
        <w:pStyle w:val="Heading2"/>
      </w:pPr>
      <w:r>
        <w:t xml:space="preserve">5. Competition</w:t>
      </w:r>
    </w:p>
    <w:bookmarkStart w:id="71" w:name="local-alternatives"/>
    <w:p>
      <w:pPr>
        <w:pStyle w:val="Heading3"/>
      </w:pPr>
      <w:r>
        <w:t xml:space="preserve">5.1 Local Alternatives</w:t>
      </w:r>
    </w:p>
    <w:p>
      <w:pPr>
        <w:pStyle w:val="Compact"/>
        <w:numPr>
          <w:ilvl w:val="0"/>
          <w:numId w:val="1018"/>
        </w:numPr>
      </w:pPr>
      <w:r>
        <w:t xml:space="preserve">Ouedkniss: broad classified market</w:t>
      </w:r>
      <w:r>
        <w:t xml:space="preserve"> </w:t>
      </w:r>
      <w:hyperlink r:id="rId26">
        <w:r>
          <w:rPr>
            <w:rStyle w:val="Hyperlink"/>
          </w:rPr>
          <w:t xml:space="preserve">S26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OpenSooq: furniture listing channel</w:t>
      </w:r>
      <w:r>
        <w:t xml:space="preserve"> </w:t>
      </w:r>
      <w:hyperlink r:id="rId27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Dirleco: local rental behavior proof in non-student equipment categories</w:t>
      </w:r>
      <w:r>
        <w:t xml:space="preserve"> </w:t>
      </w:r>
      <w:hyperlink r:id="rId70">
        <w:r>
          <w:rPr>
            <w:rStyle w:val="Hyperlink"/>
          </w:rPr>
          <w:t xml:space="preserve">S28</w:t>
        </w:r>
      </w:hyperlink>
      <w:r>
        <w:t xml:space="preserve">.</w:t>
      </w:r>
    </w:p>
    <w:bookmarkEnd w:id="71"/>
    <w:bookmarkStart w:id="74" w:name="international-benchmarks"/>
    <w:p>
      <w:pPr>
        <w:pStyle w:val="Heading3"/>
      </w:pPr>
      <w:r>
        <w:t xml:space="preserve">5.2 International Benchmarks</w:t>
      </w:r>
    </w:p>
    <w:p>
      <w:pPr>
        <w:pStyle w:val="Compact"/>
        <w:numPr>
          <w:ilvl w:val="0"/>
          <w:numId w:val="1019"/>
        </w:numPr>
      </w:pPr>
      <w:r>
        <w:t xml:space="preserve">CORT student package benchmark starts at $139 and references 12-month lease framing</w:t>
      </w:r>
      <w:r>
        <w:t xml:space="preserve"> </w:t>
      </w:r>
      <w:hyperlink r:id="rId72">
        <w:r>
          <w:rPr>
            <w:rStyle w:val="Hyperlink"/>
          </w:rPr>
          <w:t xml:space="preserve">S29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S30</w:t>
        </w:r>
      </w:hyperlink>
      <w:r>
        <w:t xml:space="preserve">.</w:t>
      </w:r>
    </w:p>
    <w:bookmarkEnd w:id="74"/>
    <w:bookmarkStart w:id="75" w:name="positioning"/>
    <w:p>
      <w:pPr>
        <w:pStyle w:val="Heading3"/>
      </w:pPr>
      <w:r>
        <w:t xml:space="preserve">5.3 Positioning</w:t>
      </w:r>
    </w:p>
    <w:p>
      <w:pPr>
        <w:pStyle w:val="FirstParagraph"/>
      </w:pPr>
      <w:r>
        <w:t xml:space="preserve">YallaRent differentiates on trust + campus logistics + mixed physical/digital service layer, not listing volume alone.</w:t>
      </w:r>
    </w:p>
    <w:bookmarkEnd w:id="75"/>
    <w:bookmarkStart w:id="76" w:name="competitive-response-plan"/>
    <w:p>
      <w:pPr>
        <w:pStyle w:val="Heading3"/>
      </w:pPr>
      <w:r>
        <w:t xml:space="preserve">5.4 Competitive Response Plan</w:t>
      </w:r>
    </w:p>
    <w:p>
      <w:pPr>
        <w:pStyle w:val="Compact"/>
        <w:numPr>
          <w:ilvl w:val="0"/>
          <w:numId w:val="1020"/>
        </w:numPr>
      </w:pPr>
      <w:r>
        <w:t xml:space="preserve">Maintain no-commission P2P positioning.</w:t>
      </w:r>
    </w:p>
    <w:p>
      <w:pPr>
        <w:pStyle w:val="Compact"/>
        <w:numPr>
          <w:ilvl w:val="0"/>
          <w:numId w:val="1020"/>
        </w:numPr>
      </w:pPr>
      <w:r>
        <w:t xml:space="preserve">Expand defensibility through operational SLAs and partner density.</w:t>
      </w:r>
    </w:p>
    <w:p>
      <w:pPr>
        <w:pStyle w:val="Compact"/>
        <w:numPr>
          <w:ilvl w:val="0"/>
          <w:numId w:val="1020"/>
        </w:numPr>
      </w:pPr>
      <w:r>
        <w:t xml:space="preserve">Use bundle economics and lifecycle controls to protect margins.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marketing-plan"/>
    <w:p>
      <w:pPr>
        <w:pStyle w:val="Heading2"/>
      </w:pPr>
      <w:r>
        <w:t xml:space="preserve">6. Marketing Plan</w:t>
      </w:r>
    </w:p>
    <w:bookmarkStart w:id="78" w:name="product-strategy"/>
    <w:p>
      <w:pPr>
        <w:pStyle w:val="Heading3"/>
      </w:pPr>
      <w:r>
        <w:t xml:space="preserve">6.1 Product Strategy</w:t>
      </w:r>
    </w:p>
    <w:p>
      <w:pPr>
        <w:pStyle w:val="Compact"/>
        <w:numPr>
          <w:ilvl w:val="0"/>
          <w:numId w:val="1021"/>
        </w:numPr>
      </w:pPr>
      <w:r>
        <w:t xml:space="preserve">Focus categories: study productivity and dorm comfort essentials.</w:t>
      </w:r>
    </w:p>
    <w:p>
      <w:pPr>
        <w:pStyle w:val="Compact"/>
        <w:numPr>
          <w:ilvl w:val="0"/>
          <w:numId w:val="1021"/>
        </w:numPr>
      </w:pPr>
      <w:r>
        <w:t xml:space="preserve">Build repeat behavior through bundles and semester-aligned offers.</w:t>
      </w:r>
    </w:p>
    <w:bookmarkEnd w:id="78"/>
    <w:bookmarkStart w:id="80" w:name="pricing-strategy"/>
    <w:p>
      <w:pPr>
        <w:pStyle w:val="Heading3"/>
      </w:pPr>
      <w:r>
        <w:t xml:space="preserve">6.2 Pricing Strategy</w:t>
      </w:r>
    </w:p>
    <w:p>
      <w:pPr>
        <w:pStyle w:val="Compact"/>
        <w:numPr>
          <w:ilvl w:val="0"/>
          <w:numId w:val="1022"/>
        </w:numPr>
      </w:pPr>
      <w:r>
        <w:t xml:space="preserve">Budget-sensitive architecture due unemployment/inflation environment</w:t>
      </w:r>
      <w:r>
        <w:t xml:space="preserve"> </w:t>
      </w:r>
      <w:hyperlink r:id="rId24">
        <w:r>
          <w:rPr>
            <w:rStyle w:val="Hyperlink"/>
          </w:rPr>
          <w:t xml:space="preserve">S06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S07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Planned fee anchors:</w:t>
      </w:r>
    </w:p>
    <w:p>
      <w:pPr>
        <w:pStyle w:val="Compact"/>
        <w:numPr>
          <w:ilvl w:val="1"/>
          <w:numId w:val="1023"/>
        </w:numPr>
      </w:pPr>
      <w:r>
        <w:t xml:space="preserve">Company-owned average order: 1,800 DZD (Y1), rising to 2,200 DZD (Y5)</w:t>
      </w:r>
      <w:r>
        <w:t xml:space="preserve"> </w:t>
      </w:r>
      <w:hyperlink r:id="rId59">
        <w:r>
          <w:rPr>
            <w:rStyle w:val="Hyperlink"/>
          </w:rPr>
          <w:t xml:space="preserve">A09</w:t>
        </w:r>
      </w:hyperlink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Delivery: 300 to 380 DZD</w:t>
      </w:r>
      <w:r>
        <w:t xml:space="preserve"> </w:t>
      </w:r>
      <w:hyperlink r:id="rId43">
        <w:r>
          <w:rPr>
            <w:rStyle w:val="Hyperlink"/>
          </w:rPr>
          <w:t xml:space="preserve">A11</w:t>
        </w:r>
      </w:hyperlink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Protection: 180 to 260 DZD</w:t>
      </w:r>
      <w:r>
        <w:t xml:space="preserve"> </w:t>
      </w:r>
      <w:hyperlink r:id="rId45">
        <w:r>
          <w:rPr>
            <w:rStyle w:val="Hyperlink"/>
          </w:rPr>
          <w:t xml:space="preserve">A13</w:t>
        </w:r>
      </w:hyperlink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Provider plan: 12,000 DZD annual</w:t>
      </w:r>
      <w:r>
        <w:t xml:space="preserve"> </w:t>
      </w:r>
      <w:hyperlink r:id="rId79">
        <w:r>
          <w:rPr>
            <w:rStyle w:val="Hyperlink"/>
          </w:rPr>
          <w:t xml:space="preserve">A15</w:t>
        </w:r>
      </w:hyperlink>
      <w:r>
        <w:t xml:space="preserve">.</w:t>
      </w:r>
    </w:p>
    <w:bookmarkEnd w:id="80"/>
    <w:bookmarkStart w:id="82" w:name="communication-and-promotion-strategy"/>
    <w:p>
      <w:pPr>
        <w:pStyle w:val="Heading3"/>
      </w:pPr>
      <w:r>
        <w:t xml:space="preserve">6.3 Communication and Promotion Strategy</w:t>
      </w:r>
    </w:p>
    <w:p>
      <w:pPr>
        <w:pStyle w:val="Compact"/>
        <w:numPr>
          <w:ilvl w:val="0"/>
          <w:numId w:val="1024"/>
        </w:numPr>
      </w:pPr>
      <w:r>
        <w:t xml:space="preserve">Campus ambassadors and referral loops.</w:t>
      </w:r>
    </w:p>
    <w:p>
      <w:pPr>
        <w:pStyle w:val="Compact"/>
        <w:numPr>
          <w:ilvl w:val="0"/>
          <w:numId w:val="1024"/>
        </w:numPr>
      </w:pPr>
      <w:r>
        <w:t xml:space="preserve">Mobile-first growth channels aligned with 25.6M social identities</w:t>
      </w:r>
      <w:r>
        <w:t xml:space="preserve"> </w:t>
      </w:r>
      <w:hyperlink r:id="rId81">
        <w:r>
          <w:rPr>
            <w:rStyle w:val="Hyperlink"/>
          </w:rPr>
          <w:t xml:space="preserve">S17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Trust-led messaging: verification, condition evidence, and safe returns.</w:t>
      </w:r>
    </w:p>
    <w:bookmarkEnd w:id="82"/>
    <w:bookmarkStart w:id="83" w:name="distribution-strategy"/>
    <w:p>
      <w:pPr>
        <w:pStyle w:val="Heading3"/>
      </w:pPr>
      <w:r>
        <w:t xml:space="preserve">6.4 Distribution Strategy</w:t>
      </w:r>
    </w:p>
    <w:p>
      <w:pPr>
        <w:pStyle w:val="Compact"/>
        <w:numPr>
          <w:ilvl w:val="0"/>
          <w:numId w:val="1025"/>
        </w:numPr>
      </w:pPr>
      <w:r>
        <w:t xml:space="preserve">Digital booking + physical hub fulfillment.</w:t>
      </w:r>
    </w:p>
    <w:p>
      <w:pPr>
        <w:pStyle w:val="Compact"/>
        <w:numPr>
          <w:ilvl w:val="0"/>
          <w:numId w:val="1025"/>
        </w:numPr>
      </w:pPr>
      <w:r>
        <w:t xml:space="preserve">Optional last-mile delivery for higher-convenience segments.</w:t>
      </w:r>
    </w:p>
    <w:bookmarkEnd w:id="83"/>
    <w:bookmarkStart w:id="84" w:name="growth-kpis"/>
    <w:p>
      <w:pPr>
        <w:pStyle w:val="Heading3"/>
      </w:pPr>
      <w:r>
        <w:t xml:space="preserve">6.5 Growth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Y5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renters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rental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paid-plan conversion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resolution within SLA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</w:tr>
    </w:tbl>
    <w:p>
      <w:pPr>
        <w:pStyle w:val="BodyText"/>
      </w:pPr>
      <w:r>
        <w:t xml:space="preserve">(Targets from internal growth model</w:t>
      </w:r>
      <w:r>
        <w:t xml:space="preserve"> </w:t>
      </w:r>
      <w:hyperlink r:id="rId20">
        <w:r>
          <w:rPr>
            <w:rStyle w:val="Hyperlink"/>
          </w:rPr>
          <w:t xml:space="preserve">A07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A14</w:t>
        </w:r>
      </w:hyperlink>
      <w:r>
        <w:t xml:space="preserve">.)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infrastructure-technology"/>
    <w:p>
      <w:pPr>
        <w:pStyle w:val="Heading2"/>
      </w:pPr>
      <w:r>
        <w:t xml:space="preserve">7. Infrastructure &amp; Technology</w:t>
      </w:r>
    </w:p>
    <w:bookmarkStart w:id="86" w:name="platform-infrastructure"/>
    <w:p>
      <w:pPr>
        <w:pStyle w:val="Heading3"/>
      </w:pPr>
      <w:r>
        <w:t xml:space="preserve">7.1 Platform Infrastructure</w:t>
      </w:r>
    </w:p>
    <w:p>
      <w:pPr>
        <w:pStyle w:val="Compact"/>
        <w:numPr>
          <w:ilvl w:val="0"/>
          <w:numId w:val="1026"/>
        </w:numPr>
      </w:pPr>
      <w:r>
        <w:t xml:space="preserve">Student interface: browse, reserve, manage rentals.</w:t>
      </w:r>
    </w:p>
    <w:p>
      <w:pPr>
        <w:pStyle w:val="Compact"/>
        <w:numPr>
          <w:ilvl w:val="0"/>
          <w:numId w:val="1026"/>
        </w:numPr>
      </w:pPr>
      <w:r>
        <w:t xml:space="preserve">Provider interface: list, approve, track earnings.</w:t>
      </w:r>
    </w:p>
    <w:p>
      <w:pPr>
        <w:pStyle w:val="Compact"/>
        <w:numPr>
          <w:ilvl w:val="0"/>
          <w:numId w:val="1026"/>
        </w:numPr>
      </w:pPr>
      <w:r>
        <w:t xml:space="preserve">Admin interface: verification, moderation, disputes, quality controls.</w:t>
      </w:r>
    </w:p>
    <w:bookmarkEnd w:id="86"/>
    <w:bookmarkStart w:id="87" w:name="operations-infrastructure"/>
    <w:p>
      <w:pPr>
        <w:pStyle w:val="Heading3"/>
      </w:pPr>
      <w:r>
        <w:t xml:space="preserve">7.2 Operations Infrastructure</w:t>
      </w:r>
    </w:p>
    <w:p>
      <w:pPr>
        <w:pStyle w:val="Compact"/>
        <w:numPr>
          <w:ilvl w:val="0"/>
          <w:numId w:val="1027"/>
        </w:numPr>
      </w:pPr>
      <w:r>
        <w:t xml:space="preserve">Hubs for pickup/return/inspection.</w:t>
      </w:r>
    </w:p>
    <w:p>
      <w:pPr>
        <w:pStyle w:val="Compact"/>
        <w:numPr>
          <w:ilvl w:val="0"/>
          <w:numId w:val="1027"/>
        </w:numPr>
      </w:pPr>
      <w:r>
        <w:t xml:space="preserve">Inventory tracking and condition history.</w:t>
      </w:r>
    </w:p>
    <w:p>
      <w:pPr>
        <w:pStyle w:val="Compact"/>
        <w:numPr>
          <w:ilvl w:val="0"/>
          <w:numId w:val="1027"/>
        </w:numPr>
      </w:pPr>
      <w:r>
        <w:t xml:space="preserve">Maintenance queue and repair workflow.</w:t>
      </w:r>
    </w:p>
    <w:bookmarkEnd w:id="87"/>
    <w:bookmarkStart w:id="88" w:name="sales-and-administration"/>
    <w:p>
      <w:pPr>
        <w:pStyle w:val="Heading3"/>
      </w:pPr>
      <w:r>
        <w:t xml:space="preserve">7.3 Sales and Administration</w:t>
      </w:r>
    </w:p>
    <w:p>
      <w:pPr>
        <w:pStyle w:val="Compact"/>
        <w:numPr>
          <w:ilvl w:val="0"/>
          <w:numId w:val="1028"/>
        </w:numPr>
      </w:pPr>
      <w:r>
        <w:t xml:space="preserve">Campus pipeline tracking.</w:t>
      </w:r>
    </w:p>
    <w:p>
      <w:pPr>
        <w:pStyle w:val="Compact"/>
        <w:numPr>
          <w:ilvl w:val="0"/>
          <w:numId w:val="1028"/>
        </w:numPr>
      </w:pPr>
      <w:r>
        <w:t xml:space="preserve">Partner contract lifecycle management.</w:t>
      </w:r>
    </w:p>
    <w:p>
      <w:pPr>
        <w:pStyle w:val="Compact"/>
        <w:numPr>
          <w:ilvl w:val="0"/>
          <w:numId w:val="1028"/>
        </w:numPr>
      </w:pPr>
      <w:r>
        <w:t xml:space="preserve">Centralized pricing and category management.</w:t>
      </w:r>
    </w:p>
    <w:bookmarkEnd w:id="88"/>
    <w:bookmarkStart w:id="90" w:name="premises-and-physical-footprint"/>
    <w:p>
      <w:pPr>
        <w:pStyle w:val="Heading3"/>
      </w:pPr>
      <w:r>
        <w:t xml:space="preserve">7.4 Premises and Physical Footprint</w:t>
      </w:r>
    </w:p>
    <w:p>
      <w:pPr>
        <w:pStyle w:val="Compact"/>
        <w:numPr>
          <w:ilvl w:val="0"/>
          <w:numId w:val="1029"/>
        </w:numPr>
      </w:pPr>
      <w:r>
        <w:t xml:space="preserve">Pilot uses light hub footprint.</w:t>
      </w:r>
    </w:p>
    <w:p>
      <w:pPr>
        <w:pStyle w:val="Compact"/>
        <w:numPr>
          <w:ilvl w:val="0"/>
          <w:numId w:val="1029"/>
        </w:numPr>
      </w:pPr>
      <w:r>
        <w:t xml:space="preserve">Scale stage adds capacity by campus based on utilization and order density</w:t>
      </w:r>
      <w:r>
        <w:t xml:space="preserve"> </w:t>
      </w:r>
      <w:hyperlink r:id="rId89">
        <w:r>
          <w:rPr>
            <w:rStyle w:val="Hyperlink"/>
          </w:rPr>
          <w:t xml:space="preserve">A22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financial-management"/>
    <w:p>
      <w:pPr>
        <w:pStyle w:val="Heading2"/>
      </w:pPr>
      <w:r>
        <w:t xml:space="preserve">8. Financial Management</w:t>
      </w:r>
    </w:p>
    <w:bookmarkStart w:id="92" w:name="financial-objectives"/>
    <w:p>
      <w:pPr>
        <w:pStyle w:val="Heading3"/>
      </w:pPr>
      <w:r>
        <w:t xml:space="preserve">8.1 Financial Objectives</w:t>
      </w:r>
    </w:p>
    <w:p>
      <w:pPr>
        <w:pStyle w:val="Compact"/>
        <w:numPr>
          <w:ilvl w:val="0"/>
          <w:numId w:val="1030"/>
        </w:numPr>
      </w:pPr>
      <w:r>
        <w:t xml:space="preserve">Reach annual operating break-even by AY27/28 in base case</w:t>
      </w:r>
      <w:r>
        <w:t xml:space="preserve"> </w:t>
      </w:r>
      <w:hyperlink r:id="rId12">
        <w:r>
          <w:rPr>
            <w:rStyle w:val="Hyperlink"/>
          </w:rPr>
          <w:t xml:space="preserve">A27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Preserve liquidity buffer during pilot and rollout phases.</w:t>
      </w:r>
    </w:p>
    <w:bookmarkEnd w:id="92"/>
    <w:bookmarkStart w:id="93" w:name="monitoring-system"/>
    <w:p>
      <w:pPr>
        <w:pStyle w:val="Heading3"/>
      </w:pPr>
      <w:r>
        <w:t xml:space="preserve">8.2 Monitoring System</w:t>
      </w:r>
    </w:p>
    <w:p>
      <w:pPr>
        <w:pStyle w:val="FirstParagraph"/>
      </w:pPr>
      <w:r>
        <w:t xml:space="preserve">Monthly review packs:</w:t>
      </w:r>
      <w:r>
        <w:t xml:space="preserve"> </w:t>
      </w:r>
      <w:r>
        <w:t xml:space="preserve">- Revenue by stream,</w:t>
      </w:r>
      <w:r>
        <w:t xml:space="preserve"> </w:t>
      </w:r>
      <w:r>
        <w:t xml:space="preserve">- Cost by function,</w:t>
      </w:r>
      <w:r>
        <w:t xml:space="preserve"> </w:t>
      </w:r>
      <w:r>
        <w:t xml:space="preserve">- Utilization and damage KPIs,</w:t>
      </w:r>
      <w:r>
        <w:t xml:space="preserve"> </w:t>
      </w:r>
      <w:r>
        <w:t xml:space="preserve">- Campus-level contribution margins.</w:t>
      </w:r>
    </w:p>
    <w:bookmarkEnd w:id="93"/>
    <w:bookmarkStart w:id="94" w:name="financial-tools-and-controls"/>
    <w:p>
      <w:pPr>
        <w:pStyle w:val="Heading3"/>
      </w:pPr>
      <w:r>
        <w:t xml:space="preserve">8.3 Financial Tools and Controls</w:t>
      </w:r>
    </w:p>
    <w:p>
      <w:pPr>
        <w:pStyle w:val="Compact"/>
        <w:numPr>
          <w:ilvl w:val="0"/>
          <w:numId w:val="1031"/>
        </w:numPr>
      </w:pPr>
      <w:r>
        <w:t xml:space="preserve">Rolling 18-month cash planning.</w:t>
      </w:r>
    </w:p>
    <w:p>
      <w:pPr>
        <w:pStyle w:val="Compact"/>
        <w:numPr>
          <w:ilvl w:val="0"/>
          <w:numId w:val="1031"/>
        </w:numPr>
      </w:pPr>
      <w:r>
        <w:t xml:space="preserve">Scenario analysis (conservative/base/upside)</w:t>
      </w:r>
      <w:r>
        <w:t xml:space="preserve"> </w:t>
      </w:r>
      <w:hyperlink r:id="rId37">
        <w:r>
          <w:rPr>
            <w:rStyle w:val="Hyperlink"/>
          </w:rPr>
          <w:t xml:space="preserve">A25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A26</w:t>
        </w:r>
      </w:hyperlink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Approval thresholds for capex and inventory purchases.</w:t>
      </w:r>
    </w:p>
    <w:bookmarkEnd w:id="94"/>
    <w:bookmarkStart w:id="95" w:name="governance-and-responsibilities"/>
    <w:p>
      <w:pPr>
        <w:pStyle w:val="Heading3"/>
      </w:pPr>
      <w:r>
        <w:t xml:space="preserve">8.4 Governance and Responsibilities</w:t>
      </w:r>
    </w:p>
    <w:p>
      <w:pPr>
        <w:pStyle w:val="Compact"/>
        <w:numPr>
          <w:ilvl w:val="0"/>
          <w:numId w:val="1032"/>
        </w:numPr>
      </w:pPr>
      <w:r>
        <w:t xml:space="preserve">Finance lead owns reporting and forecast discipline.</w:t>
      </w:r>
    </w:p>
    <w:p>
      <w:pPr>
        <w:pStyle w:val="Compact"/>
        <w:numPr>
          <w:ilvl w:val="0"/>
          <w:numId w:val="1032"/>
        </w:numPr>
      </w:pPr>
      <w:r>
        <w:t xml:space="preserve">COO co-owns operational cost controls.</w:t>
      </w:r>
    </w:p>
    <w:p>
      <w:pPr>
        <w:pStyle w:val="Compact"/>
        <w:numPr>
          <w:ilvl w:val="0"/>
          <w:numId w:val="1032"/>
        </w:numPr>
      </w:pPr>
      <w:r>
        <w:t xml:space="preserve">CEO owns partner revenue targets.</w:t>
      </w:r>
    </w:p>
    <w:bookmarkEnd w:id="95"/>
    <w:bookmarkStart w:id="96" w:name="capital-structure-and-financing-plan"/>
    <w:p>
      <w:pPr>
        <w:pStyle w:val="Heading3"/>
      </w:pPr>
      <w:r>
        <w:t xml:space="preserve">8.5 Capital Structure and Financing Plan</w:t>
      </w:r>
    </w:p>
    <w:p>
      <w:pPr>
        <w:pStyle w:val="Compact"/>
        <w:numPr>
          <w:ilvl w:val="0"/>
          <w:numId w:val="1033"/>
        </w:numPr>
      </w:pPr>
      <w:r>
        <w:t xml:space="preserve">Pilot financed through founder capital + grant/competition pipeline.</w:t>
      </w:r>
    </w:p>
    <w:p>
      <w:pPr>
        <w:pStyle w:val="Compact"/>
        <w:numPr>
          <w:ilvl w:val="0"/>
          <w:numId w:val="1033"/>
        </w:numPr>
      </w:pPr>
      <w:r>
        <w:t xml:space="preserve">Expansion financing triggered after validated Year-2 economics.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3" w:name="financial-operational-planning"/>
    <w:p>
      <w:pPr>
        <w:pStyle w:val="Heading2"/>
      </w:pPr>
      <w:r>
        <w:t xml:space="preserve">9. Financial &amp; Operational Planning</w:t>
      </w:r>
    </w:p>
    <w:bookmarkStart w:id="98" w:name="base-case-revenue-by-stream-dzd"/>
    <w:p>
      <w:pPr>
        <w:pStyle w:val="Heading3"/>
      </w:pPr>
      <w:r>
        <w:t xml:space="preserve">9.1 Base Case Revenue by Stream (DZD)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AY30/31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Company-owned rentals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5,140,800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16,074,000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 protection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5,306,400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17,316,000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subscriptions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partnerships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39,600,000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End-cycle resale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21,593,600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60,504,000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132,507,200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241,950,000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388,190,000</w:t>
            </w:r>
          </w:p>
        </w:tc>
      </w:tr>
    </w:tbl>
    <w:bookmarkEnd w:id="98"/>
    <w:bookmarkStart w:id="99" w:name="base-case-operating-cost-plan-dzd"/>
    <w:p>
      <w:pPr>
        <w:pStyle w:val="Heading3"/>
      </w:pPr>
      <w:r>
        <w:t xml:space="preserve">9.2 Base Case Operating Cost Plan (DZD)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AY30/31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procurement &amp; refurbishment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operations &amp;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/ cloud /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G&amp;A / legal / 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Operating 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25,800,000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48,300,000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133,000,000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201,300,000</w:t>
            </w:r>
          </w:p>
        </w:tc>
      </w:tr>
    </w:tbl>
    <w:bookmarkEnd w:id="99"/>
    <w:bookmarkStart w:id="100" w:name="operating-result-base-case"/>
    <w:p>
      <w:pPr>
        <w:pStyle w:val="Heading3"/>
      </w:pPr>
      <w:r>
        <w:t xml:space="preserve">9.3 Operating Result (Base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21,593,600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-4,206,400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60,504,000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12,204,000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132,507,200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49,507,200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108,950,000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AY30/31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388,190,000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186,890,000</w:t>
            </w:r>
          </w:p>
        </w:tc>
      </w:tr>
    </w:tbl>
    <w:bookmarkEnd w:id="100"/>
    <w:bookmarkStart w:id="101" w:name="scenario-view-conservative-base-upside"/>
    <w:p>
      <w:pPr>
        <w:pStyle w:val="Heading3"/>
      </w:pPr>
      <w:r>
        <w:t xml:space="preserve">9.4 Scenario View (Conservative / Base / Upside)</w:t>
      </w:r>
    </w:p>
    <w:p>
      <w:pPr>
        <w:pStyle w:val="FirstParagraph"/>
      </w:pPr>
      <w:r>
        <w:t xml:space="preserve">Scenario rules: revenue and cost multipliers from</w:t>
      </w:r>
      <w:r>
        <w:t xml:space="preserve"> </w:t>
      </w:r>
      <w:hyperlink r:id="rId37">
        <w:r>
          <w:rPr>
            <w:rStyle w:val="Hyperlink"/>
          </w:rPr>
          <w:t xml:space="preserve">A25</w:t>
        </w:r>
      </w:hyperlink>
      <w:r>
        <w:t xml:space="preserve"> </w:t>
      </w:r>
      <w:r>
        <w:t xml:space="preserve">and</w:t>
      </w:r>
      <w:r>
        <w:t xml:space="preserve"> </w:t>
      </w:r>
      <w:hyperlink r:id="rId38">
        <w:r>
          <w:rPr>
            <w:rStyle w:val="Hyperlink"/>
          </w:rPr>
          <w:t xml:space="preserve">A26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Conservative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Upside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AY26/27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-6,461,120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-4,206,400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-1,388,000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AY27/28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3,967,200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AY28/29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29,645,760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49,507,200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74,334,000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AY29/30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156,137,500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AY30/31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125,356,000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186,890,000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263,807,500</w:t>
            </w:r>
          </w:p>
        </w:tc>
      </w:tr>
    </w:tbl>
    <w:bookmarkEnd w:id="101"/>
    <w:bookmarkStart w:id="102" w:name="break-even"/>
    <w:p>
      <w:pPr>
        <w:pStyle w:val="Heading3"/>
      </w:pPr>
      <w:r>
        <w:t xml:space="preserve">9.5 Break-Even</w:t>
      </w:r>
    </w:p>
    <w:p>
      <w:pPr>
        <w:pStyle w:val="Compact"/>
        <w:numPr>
          <w:ilvl w:val="0"/>
          <w:numId w:val="1034"/>
        </w:numPr>
      </w:pPr>
      <w:r>
        <w:t xml:space="preserve">Base-case annual break-even is reached in AY27/28</w:t>
      </w:r>
      <w:r>
        <w:t xml:space="preserve"> </w:t>
      </w:r>
      <w:hyperlink r:id="rId12">
        <w:r>
          <w:rPr>
            <w:rStyle w:val="Hyperlink"/>
          </w:rPr>
          <w:t xml:space="preserve">A27</w:t>
        </w:r>
      </w:hyperlink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Cumulative break-even (covering initial Year-1 deficit) is reached during AY27/28.</w:t>
      </w:r>
    </w:p>
    <w:bookmarkEnd w:id="102"/>
    <w:bookmarkStart w:id="105" w:name="sensitivity-highlights"/>
    <w:p>
      <w:pPr>
        <w:pStyle w:val="Heading3"/>
      </w:pPr>
      <w:r>
        <w:t xml:space="preserve">9.6 Sensitivity Highlights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Case</w:t>
            </w:r>
          </w:p>
        </w:tc>
        <w:tc>
          <w:tcPr/>
          <w:p>
            <w:pPr>
              <w:pStyle w:val="Compact"/>
            </w:pPr>
            <w:r>
              <w:t xml:space="preserve">Impact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Approx. +/- 14% impact on company-owned rental revenue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A22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Non-recoverable damage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Approx. -/+ 3 to 5 points on operating margin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A23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 acquisition 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 campus/year from 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campus/year from Y2</w:t>
            </w:r>
          </w:p>
        </w:tc>
        <w:tc>
          <w:tcPr/>
          <w:p>
            <w:pPr>
              <w:pStyle w:val="Compact"/>
            </w:pPr>
            <w:r>
              <w:t xml:space="preserve">Directly shifts Y5 revenue by ~15-20% in model envelope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A24</w:t>
              </w:r>
            </w:hyperlink>
            <w:r>
              <w:t xml:space="preserve">.</w:t>
            </w:r>
          </w:p>
        </w:tc>
      </w:tr>
    </w:tbl>
    <w:bookmarkEnd w:id="105"/>
    <w:bookmarkStart w:id="106" w:name="financing-strategy"/>
    <w:p>
      <w:pPr>
        <w:pStyle w:val="Heading3"/>
      </w:pPr>
      <w:r>
        <w:t xml:space="preserve">9.7 Financing Strategy</w:t>
      </w:r>
    </w:p>
    <w:p>
      <w:pPr>
        <w:pStyle w:val="Compact"/>
        <w:numPr>
          <w:ilvl w:val="0"/>
          <w:numId w:val="1035"/>
        </w:numPr>
      </w:pPr>
      <w:r>
        <w:t xml:space="preserve">Prioritize low-dilution pilot capital until Year-2 proof.</w:t>
      </w:r>
    </w:p>
    <w:p>
      <w:pPr>
        <w:pStyle w:val="Compact"/>
        <w:numPr>
          <w:ilvl w:val="0"/>
          <w:numId w:val="1035"/>
        </w:numPr>
      </w:pPr>
      <w:r>
        <w:t xml:space="preserve">Fund expansion hubs after repeatability metrics are stable.</w:t>
      </w:r>
    </w:p>
    <w:bookmarkEnd w:id="106"/>
    <w:bookmarkStart w:id="109" w:name="X62d80ae6724fc851cf9340243aa4e378d2f1f02"/>
    <w:p>
      <w:pPr>
        <w:pStyle w:val="Heading3"/>
      </w:pPr>
      <w:r>
        <w:t xml:space="preserve">9.8 Three Best-Performing Products (Expected by Revenue)</w:t>
      </w:r>
    </w:p>
    <w:p>
      <w:pPr>
        <w:pStyle w:val="Compact"/>
        <w:numPr>
          <w:ilvl w:val="0"/>
          <w:numId w:val="1036"/>
        </w:numPr>
      </w:pPr>
      <w:r>
        <w:t xml:space="preserve">Company-owned rentals</w:t>
      </w:r>
      <w:r>
        <w:t xml:space="preserve"> </w:t>
      </w:r>
      <w:hyperlink r:id="rId14">
        <w:r>
          <w:rPr>
            <w:rStyle w:val="Hyperlink"/>
          </w:rPr>
          <w:t xml:space="preserve">A31</w:t>
        </w:r>
      </w:hyperlink>
    </w:p>
    <w:p>
      <w:pPr>
        <w:pStyle w:val="Compact"/>
        <w:numPr>
          <w:ilvl w:val="0"/>
          <w:numId w:val="1036"/>
        </w:numPr>
      </w:pPr>
      <w:r>
        <w:t xml:space="preserve">University partnerships</w:t>
      </w:r>
      <w:r>
        <w:t xml:space="preserve"> </w:t>
      </w:r>
      <w:hyperlink r:id="rId107">
        <w:r>
          <w:rPr>
            <w:rStyle w:val="Hyperlink"/>
          </w:rPr>
          <w:t xml:space="preserve">A35</w:t>
        </w:r>
      </w:hyperlink>
    </w:p>
    <w:p>
      <w:pPr>
        <w:pStyle w:val="Compact"/>
        <w:numPr>
          <w:ilvl w:val="0"/>
          <w:numId w:val="1036"/>
        </w:numPr>
      </w:pPr>
      <w:r>
        <w:t xml:space="preserve">Provider subscriptions</w:t>
      </w:r>
      <w:r>
        <w:t xml:space="preserve"> </w:t>
      </w:r>
      <w:hyperlink r:id="rId108">
        <w:r>
          <w:rPr>
            <w:rStyle w:val="Hyperlink"/>
          </w:rPr>
          <w:t xml:space="preserve">A34</w:t>
        </w:r>
      </w:hyperlink>
    </w:p>
    <w:bookmarkEnd w:id="109"/>
    <w:bookmarkStart w:id="110" w:name="top-three-client-buckets-in-forecast"/>
    <w:p>
      <w:pPr>
        <w:pStyle w:val="Heading3"/>
      </w:pPr>
      <w:r>
        <w:t xml:space="preserve">9.9 Top Three Client Buckets in Forecast</w:t>
      </w:r>
    </w:p>
    <w:p>
      <w:pPr>
        <w:pStyle w:val="Compact"/>
        <w:numPr>
          <w:ilvl w:val="0"/>
          <w:numId w:val="1037"/>
        </w:numPr>
      </w:pPr>
      <w:r>
        <w:t xml:space="preserve">Student renters in core campus clusters.</w:t>
      </w:r>
    </w:p>
    <w:p>
      <w:pPr>
        <w:pStyle w:val="Compact"/>
        <w:numPr>
          <w:ilvl w:val="0"/>
          <w:numId w:val="1037"/>
        </w:numPr>
      </w:pPr>
      <w:r>
        <w:t xml:space="preserve">Student providers with paid listing plans.</w:t>
      </w:r>
    </w:p>
    <w:p>
      <w:pPr>
        <w:pStyle w:val="Compact"/>
        <w:numPr>
          <w:ilvl w:val="0"/>
          <w:numId w:val="1037"/>
        </w:numPr>
      </w:pPr>
      <w:r>
        <w:t xml:space="preserve">University partner accounts.</w:t>
      </w:r>
    </w:p>
    <w:bookmarkEnd w:id="110"/>
    <w:bookmarkStart w:id="111" w:name="seasonal-cash-flow-considerations"/>
    <w:p>
      <w:pPr>
        <w:pStyle w:val="Heading3"/>
      </w:pPr>
      <w:r>
        <w:t xml:space="preserve">9.10 Seasonal Cash-Flow Considerations</w:t>
      </w:r>
    </w:p>
    <w:p>
      <w:pPr>
        <w:pStyle w:val="Compact"/>
        <w:numPr>
          <w:ilvl w:val="0"/>
          <w:numId w:val="1038"/>
        </w:numPr>
      </w:pPr>
      <w:r>
        <w:t xml:space="preserve">Upfront inventory and setup spend before semester starts.</w:t>
      </w:r>
    </w:p>
    <w:p>
      <w:pPr>
        <w:pStyle w:val="Compact"/>
        <w:numPr>
          <w:ilvl w:val="0"/>
          <w:numId w:val="1038"/>
        </w:numPr>
      </w:pPr>
      <w:r>
        <w:t xml:space="preserve">Mid-semester utilization peak improves cash generation.</w:t>
      </w:r>
    </w:p>
    <w:p>
      <w:pPr>
        <w:pStyle w:val="Compact"/>
        <w:numPr>
          <w:ilvl w:val="0"/>
          <w:numId w:val="1038"/>
        </w:numPr>
      </w:pPr>
      <w:r>
        <w:t xml:space="preserve">End-of-semester returns drive maintenance and resale cash events.</w:t>
      </w:r>
    </w:p>
    <w:bookmarkEnd w:id="111"/>
    <w:bookmarkStart w:id="112" w:name="financing-new-acquisitions"/>
    <w:p>
      <w:pPr>
        <w:pStyle w:val="Heading3"/>
      </w:pPr>
      <w:r>
        <w:t xml:space="preserve">9.11 Financing New Acquisitions</w:t>
      </w:r>
    </w:p>
    <w:p>
      <w:pPr>
        <w:pStyle w:val="Compact"/>
        <w:numPr>
          <w:ilvl w:val="0"/>
          <w:numId w:val="1039"/>
        </w:numPr>
      </w:pPr>
      <w:r>
        <w:t xml:space="preserve">Inventory acquisition cadence tied to utilization and return-cycle analytics.</w:t>
      </w:r>
    </w:p>
    <w:p>
      <w:pPr>
        <w:pStyle w:val="Compact"/>
        <w:numPr>
          <w:ilvl w:val="0"/>
          <w:numId w:val="1039"/>
        </w:numPr>
      </w:pPr>
      <w:r>
        <w:t xml:space="preserve">Procurement cap tied to maintained liquidity thresholds.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3" w:name="risk-assessment"/>
    <w:p>
      <w:pPr>
        <w:pStyle w:val="Heading2"/>
      </w:pPr>
      <w:r>
        <w:t xml:space="preserve">10. Risk Assessment</w:t>
      </w:r>
    </w:p>
    <w:bookmarkStart w:id="114" w:name="Xbe6b47279b7d7d6d877720cbbf45febe74c484e"/>
    <w:p>
      <w:pPr>
        <w:pStyle w:val="Heading3"/>
      </w:pPr>
      <w:r>
        <w:t xml:space="preserve">10.1 Internal Risks (Organization, Management, Operations)</w:t>
      </w:r>
    </w:p>
    <w:p>
      <w:pPr>
        <w:pStyle w:val="Compact"/>
        <w:numPr>
          <w:ilvl w:val="0"/>
          <w:numId w:val="1040"/>
        </w:numPr>
      </w:pPr>
      <w:r>
        <w:t xml:space="preserve">Early-stage execution overload across logistics and support.</w:t>
      </w:r>
    </w:p>
    <w:p>
      <w:pPr>
        <w:pStyle w:val="Compact"/>
        <w:numPr>
          <w:ilvl w:val="0"/>
          <w:numId w:val="1040"/>
        </w:numPr>
      </w:pPr>
      <w:r>
        <w:t xml:space="preserve">Mitigation: phased campus expansion and SLA-led operating cadence.</w:t>
      </w:r>
    </w:p>
    <w:bookmarkEnd w:id="114"/>
    <w:bookmarkStart w:id="115" w:name="commercial-risks-market-product-pricing"/>
    <w:p>
      <w:pPr>
        <w:pStyle w:val="Heading3"/>
      </w:pPr>
      <w:r>
        <w:t xml:space="preserve">10.2 Commercial Risks (Market, Product, Pricing)</w:t>
      </w:r>
    </w:p>
    <w:p>
      <w:pPr>
        <w:pStyle w:val="Compact"/>
        <w:numPr>
          <w:ilvl w:val="0"/>
          <w:numId w:val="1041"/>
        </w:numPr>
      </w:pPr>
      <w:r>
        <w:t xml:space="preserve">Strong substitute pressure from informal/classified channels</w:t>
      </w:r>
      <w:r>
        <w:t xml:space="preserve"> </w:t>
      </w:r>
      <w:hyperlink r:id="rId26">
        <w:r>
          <w:rPr>
            <w:rStyle w:val="Hyperlink"/>
          </w:rPr>
          <w:t xml:space="preserve">S26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Mitigation: trust differentiation and bundle economics.</w:t>
      </w:r>
    </w:p>
    <w:bookmarkEnd w:id="115"/>
    <w:bookmarkStart w:id="116" w:name="financial-risks"/>
    <w:p>
      <w:pPr>
        <w:pStyle w:val="Heading3"/>
      </w:pPr>
      <w:r>
        <w:t xml:space="preserve">10.3 Financial Risks</w:t>
      </w:r>
    </w:p>
    <w:p>
      <w:pPr>
        <w:pStyle w:val="Compact"/>
        <w:numPr>
          <w:ilvl w:val="0"/>
          <w:numId w:val="1042"/>
        </w:numPr>
      </w:pPr>
      <w:r>
        <w:t xml:space="preserve">Inflation and cost drift</w:t>
      </w:r>
      <w:r>
        <w:t xml:space="preserve"> </w:t>
      </w:r>
      <w:hyperlink r:id="rId25">
        <w:r>
          <w:rPr>
            <w:rStyle w:val="Hyperlink"/>
          </w:rPr>
          <w:t xml:space="preserve">S07</w:t>
        </w:r>
      </w:hyperlink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Mitigation: quarterly repricing controls and scenario re-forecasting.</w:t>
      </w:r>
    </w:p>
    <w:bookmarkEnd w:id="116"/>
    <w:bookmarkStart w:id="117" w:name="exogenous-risks-legal-political"/>
    <w:p>
      <w:pPr>
        <w:pStyle w:val="Heading3"/>
      </w:pPr>
      <w:r>
        <w:t xml:space="preserve">10.4 Exogenous Risks (Legal, Political)</w:t>
      </w:r>
    </w:p>
    <w:p>
      <w:pPr>
        <w:pStyle w:val="Compact"/>
        <w:numPr>
          <w:ilvl w:val="0"/>
          <w:numId w:val="1043"/>
        </w:numPr>
      </w:pPr>
      <w:r>
        <w:t xml:space="preserve">Data-governance failures can create legal exposure under Law 18-07</w:t>
      </w:r>
      <w:r>
        <w:t xml:space="preserve"> </w:t>
      </w:r>
      <w:hyperlink r:id="rId28">
        <w:r>
          <w:rPr>
            <w:rStyle w:val="Hyperlink"/>
          </w:rPr>
          <w:t xml:space="preserve">S22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S23</w:t>
        </w:r>
      </w:hyperlink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Mitigation: consent and retention governance by design.</w:t>
      </w:r>
    </w:p>
    <w:bookmarkEnd w:id="117"/>
    <w:bookmarkStart w:id="119" w:name="technical-and-operational-risks"/>
    <w:p>
      <w:pPr>
        <w:pStyle w:val="Heading3"/>
      </w:pPr>
      <w:r>
        <w:t xml:space="preserve">10.5 Technical and Operational Risks</w:t>
      </w:r>
    </w:p>
    <w:p>
      <w:pPr>
        <w:pStyle w:val="Compact"/>
        <w:numPr>
          <w:ilvl w:val="0"/>
          <w:numId w:val="1044"/>
        </w:numPr>
      </w:pPr>
      <w:r>
        <w:t xml:space="preserve">Device/network heterogeneity despite improving speed trends</w:t>
      </w:r>
      <w:r>
        <w:t xml:space="preserve"> </w:t>
      </w:r>
      <w:hyperlink r:id="rId49">
        <w:r>
          <w:rPr>
            <w:rStyle w:val="Hyperlink"/>
          </w:rPr>
          <w:t xml:space="preserve">S18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S20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Mitigation: mobile performance budget and fallback flows.</w:t>
      </w:r>
    </w:p>
    <w:bookmarkEnd w:id="119"/>
    <w:bookmarkStart w:id="120" w:name="environmental-and-ecological-risks"/>
    <w:p>
      <w:pPr>
        <w:pStyle w:val="Heading3"/>
      </w:pPr>
      <w:r>
        <w:t xml:space="preserve">10.6 Environmental and Ecological Risks</w:t>
      </w:r>
    </w:p>
    <w:p>
      <w:pPr>
        <w:pStyle w:val="Compact"/>
        <w:numPr>
          <w:ilvl w:val="0"/>
          <w:numId w:val="1045"/>
        </w:numPr>
      </w:pPr>
      <w:r>
        <w:t xml:space="preserve">High damage rates weaken resale sustainability loop.</w:t>
      </w:r>
    </w:p>
    <w:p>
      <w:pPr>
        <w:pStyle w:val="Compact"/>
        <w:numPr>
          <w:ilvl w:val="0"/>
          <w:numId w:val="1045"/>
        </w:numPr>
      </w:pPr>
      <w:r>
        <w:t xml:space="preserve">Mitigation: inspection protocol + maintenance routing + quality scorecards.</w:t>
      </w:r>
    </w:p>
    <w:bookmarkEnd w:id="120"/>
    <w:bookmarkStart w:id="121" w:name="risk-probability-impact-matrix-summary"/>
    <w:p>
      <w:pPr>
        <w:pStyle w:val="Heading3"/>
      </w:pPr>
      <w:r>
        <w:t xml:space="preserve">10.7 Risk Probability-Impact Matrix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adoption vs. target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damage/loss rate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incident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stockout peak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Logistics SLA misses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21"/>
    <w:bookmarkStart w:id="122" w:name="risk-management-philosophy"/>
    <w:p>
      <w:pPr>
        <w:pStyle w:val="Heading3"/>
      </w:pPr>
      <w:r>
        <w:t xml:space="preserve">10.8 Risk Management Philosophy</w:t>
      </w:r>
    </w:p>
    <w:p>
      <w:pPr>
        <w:pStyle w:val="FirstParagraph"/>
      </w:pPr>
      <w:r>
        <w:t xml:space="preserve">Operate with conservative pilot controls, data-backed scaling gates, and quarterly scenario recalibration.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4" w:name="appendices"/>
    <w:p>
      <w:pPr>
        <w:pStyle w:val="Heading2"/>
      </w:pPr>
      <w:r>
        <w:t xml:space="preserve">11. Appendices</w:t>
      </w:r>
    </w:p>
    <w:bookmarkStart w:id="132" w:name="linked-supporting-documents"/>
    <w:p>
      <w:pPr>
        <w:pStyle w:val="Heading3"/>
      </w:pPr>
      <w:r>
        <w:t xml:space="preserve">11.1 Linked Supporting Documents</w:t>
      </w:r>
    </w:p>
    <w:p>
      <w:pPr>
        <w:pStyle w:val="Compact"/>
        <w:numPr>
          <w:ilvl w:val="0"/>
          <w:numId w:val="1046"/>
        </w:numPr>
      </w:pPr>
      <w:hyperlink r:id="rId124">
        <w:r>
          <w:rPr>
            <w:rStyle w:val="Hyperlink"/>
          </w:rPr>
          <w:t xml:space="preserve">Porter 5+1</w:t>
        </w:r>
      </w:hyperlink>
    </w:p>
    <w:p>
      <w:pPr>
        <w:pStyle w:val="Compact"/>
        <w:numPr>
          <w:ilvl w:val="0"/>
          <w:numId w:val="1046"/>
        </w:numPr>
      </w:pPr>
      <w:hyperlink r:id="rId125">
        <w:r>
          <w:rPr>
            <w:rStyle w:val="Hyperlink"/>
          </w:rPr>
          <w:t xml:space="preserve">Empathy Card</w:t>
        </w:r>
      </w:hyperlink>
    </w:p>
    <w:p>
      <w:pPr>
        <w:pStyle w:val="Compact"/>
        <w:numPr>
          <w:ilvl w:val="0"/>
          <w:numId w:val="1046"/>
        </w:numPr>
      </w:pPr>
      <w:hyperlink r:id="rId126">
        <w:r>
          <w:rPr>
            <w:rStyle w:val="Hyperlink"/>
          </w:rPr>
          <w:t xml:space="preserve">PESTEL Analysis</w:t>
        </w:r>
      </w:hyperlink>
    </w:p>
    <w:p>
      <w:pPr>
        <w:pStyle w:val="Compact"/>
        <w:numPr>
          <w:ilvl w:val="0"/>
          <w:numId w:val="1046"/>
        </w:numPr>
      </w:pPr>
      <w:hyperlink r:id="rId127">
        <w:r>
          <w:rPr>
            <w:rStyle w:val="Hyperlink"/>
          </w:rPr>
          <w:t xml:space="preserve">Business Model Canvas</w:t>
        </w:r>
      </w:hyperlink>
    </w:p>
    <w:p>
      <w:pPr>
        <w:pStyle w:val="Compact"/>
        <w:numPr>
          <w:ilvl w:val="0"/>
          <w:numId w:val="1046"/>
        </w:numPr>
      </w:pPr>
      <w:hyperlink r:id="rId128">
        <w:r>
          <w:rPr>
            <w:rStyle w:val="Hyperlink"/>
          </w:rPr>
          <w:t xml:space="preserve">Services Overview</w:t>
        </w:r>
      </w:hyperlink>
    </w:p>
    <w:p>
      <w:pPr>
        <w:pStyle w:val="Compact"/>
        <w:numPr>
          <w:ilvl w:val="0"/>
          <w:numId w:val="1046"/>
        </w:numPr>
      </w:pPr>
      <w:hyperlink r:id="rId129">
        <w:r>
          <w:rPr>
            <w:rStyle w:val="Hyperlink"/>
          </w:rPr>
          <w:t xml:space="preserve">Assumptions Register</w:t>
        </w:r>
      </w:hyperlink>
    </w:p>
    <w:p>
      <w:pPr>
        <w:pStyle w:val="Compact"/>
        <w:numPr>
          <w:ilvl w:val="0"/>
          <w:numId w:val="1046"/>
        </w:numPr>
      </w:pPr>
      <w:hyperlink r:id="rId130">
        <w:r>
          <w:rPr>
            <w:rStyle w:val="Hyperlink"/>
          </w:rPr>
          <w:t xml:space="preserve">Source Register</w:t>
        </w:r>
      </w:hyperlink>
    </w:p>
    <w:p>
      <w:pPr>
        <w:pStyle w:val="Compact"/>
        <w:numPr>
          <w:ilvl w:val="0"/>
          <w:numId w:val="1046"/>
        </w:numPr>
      </w:pPr>
      <w:hyperlink r:id="rId131">
        <w:r>
          <w:rPr>
            <w:rStyle w:val="Hyperlink"/>
          </w:rPr>
          <w:t xml:space="preserve">Glossary</w:t>
        </w:r>
      </w:hyperlink>
    </w:p>
    <w:bookmarkEnd w:id="132"/>
    <w:bookmarkStart w:id="133" w:name="source-quality-notes"/>
    <w:p>
      <w:pPr>
        <w:pStyle w:val="Heading3"/>
      </w:pPr>
      <w:r>
        <w:t xml:space="preserve">11.2 Source Quality Notes</w:t>
      </w:r>
    </w:p>
    <w:p>
      <w:pPr>
        <w:pStyle w:val="Compact"/>
        <w:numPr>
          <w:ilvl w:val="0"/>
          <w:numId w:val="1047"/>
        </w:numPr>
      </w:pPr>
      <w:r>
        <w:t xml:space="preserve">Priority given to official/public-primary sources for demographics, macroeconomics, education, and legal context.</w:t>
      </w:r>
    </w:p>
    <w:p>
      <w:pPr>
        <w:pStyle w:val="Compact"/>
        <w:numPr>
          <w:ilvl w:val="0"/>
          <w:numId w:val="1047"/>
        </w:numPr>
      </w:pPr>
      <w:r>
        <w:t xml:space="preserve">Industry source (DataReportal) used for digital adoption and speed metrics where official dashboards are less operationally specific.</w:t>
      </w:r>
    </w:p>
    <w:p>
      <w:pPr>
        <w:pStyle w:val="Compact"/>
        <w:numPr>
          <w:ilvl w:val="0"/>
          <w:numId w:val="1047"/>
        </w:numPr>
      </w:pPr>
      <w:r>
        <w:t xml:space="preserve">Company-primary pages used for competitor existence and benchmark positioning.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./assumptions.md" TargetMode="External" /><Relationship Type="http://schemas.openxmlformats.org/officeDocument/2006/relationships/hyperlink" Id="rId63" Target="./assumptions.md#a02" TargetMode="External" /><Relationship Type="http://schemas.openxmlformats.org/officeDocument/2006/relationships/hyperlink" Id="rId13" Target="./assumptions.md#a06" TargetMode="External" /><Relationship Type="http://schemas.openxmlformats.org/officeDocument/2006/relationships/hyperlink" Id="rId20" Target="./assumptions.md#a07" TargetMode="External" /><Relationship Type="http://schemas.openxmlformats.org/officeDocument/2006/relationships/hyperlink" Id="rId58" Target="./assumptions.md#a08" TargetMode="External" /><Relationship Type="http://schemas.openxmlformats.org/officeDocument/2006/relationships/hyperlink" Id="rId59" Target="./assumptions.md#a09" TargetMode="External" /><Relationship Type="http://schemas.openxmlformats.org/officeDocument/2006/relationships/hyperlink" Id="rId42" Target="./assumptions.md#a10" TargetMode="External" /><Relationship Type="http://schemas.openxmlformats.org/officeDocument/2006/relationships/hyperlink" Id="rId43" Target="./assumptions.md#a11" TargetMode="External" /><Relationship Type="http://schemas.openxmlformats.org/officeDocument/2006/relationships/hyperlink" Id="rId44" Target="./assumptions.md#a12" TargetMode="External" /><Relationship Type="http://schemas.openxmlformats.org/officeDocument/2006/relationships/hyperlink" Id="rId45" Target="./assumptions.md#a13" TargetMode="External" /><Relationship Type="http://schemas.openxmlformats.org/officeDocument/2006/relationships/hyperlink" Id="rId41" Target="./assumptions.md#a14" TargetMode="External" /><Relationship Type="http://schemas.openxmlformats.org/officeDocument/2006/relationships/hyperlink" Id="rId79" Target="./assumptions.md#a15" TargetMode="External" /><Relationship Type="http://schemas.openxmlformats.org/officeDocument/2006/relationships/hyperlink" Id="rId46" Target="./assumptions.md#a18" TargetMode="External" /><Relationship Type="http://schemas.openxmlformats.org/officeDocument/2006/relationships/hyperlink" Id="rId52" Target="./assumptions.md#a20" TargetMode="External" /><Relationship Type="http://schemas.openxmlformats.org/officeDocument/2006/relationships/hyperlink" Id="rId47" Target="./assumptions.md#a21" TargetMode="External" /><Relationship Type="http://schemas.openxmlformats.org/officeDocument/2006/relationships/hyperlink" Id="rId89" Target="./assumptions.md#a22" TargetMode="External" /><Relationship Type="http://schemas.openxmlformats.org/officeDocument/2006/relationships/hyperlink" Id="rId103" Target="./assumptions.md#a23" TargetMode="External" /><Relationship Type="http://schemas.openxmlformats.org/officeDocument/2006/relationships/hyperlink" Id="rId104" Target="./assumptions.md#a24" TargetMode="External" /><Relationship Type="http://schemas.openxmlformats.org/officeDocument/2006/relationships/hyperlink" Id="rId37" Target="./assumptions.md#a25" TargetMode="External" /><Relationship Type="http://schemas.openxmlformats.org/officeDocument/2006/relationships/hyperlink" Id="rId38" Target="./assumptions.md#a26" TargetMode="External" /><Relationship Type="http://schemas.openxmlformats.org/officeDocument/2006/relationships/hyperlink" Id="rId12" Target="./assumptions.md#a27" TargetMode="External" /><Relationship Type="http://schemas.openxmlformats.org/officeDocument/2006/relationships/hyperlink" Id="rId11" Target="./assumptions.md#a28" TargetMode="External" /><Relationship Type="http://schemas.openxmlformats.org/officeDocument/2006/relationships/hyperlink" Id="rId14" Target="./assumptions.md#a31" TargetMode="External" /><Relationship Type="http://schemas.openxmlformats.org/officeDocument/2006/relationships/hyperlink" Id="rId108" Target="./assumptions.md#a34" TargetMode="External" /><Relationship Type="http://schemas.openxmlformats.org/officeDocument/2006/relationships/hyperlink" Id="rId107" Target="./assumptions.md#a35" TargetMode="External" /><Relationship Type="http://schemas.openxmlformats.org/officeDocument/2006/relationships/hyperlink" Id="rId15" Target="./assumptions.md#a37" TargetMode="External" /><Relationship Type="http://schemas.openxmlformats.org/officeDocument/2006/relationships/hyperlink" Id="rId127" Target="./bmc.md" TargetMode="External" /><Relationship Type="http://schemas.openxmlformats.org/officeDocument/2006/relationships/hyperlink" Id="rId125" Target="./empathy-card.md" TargetMode="External" /><Relationship Type="http://schemas.openxmlformats.org/officeDocument/2006/relationships/hyperlink" Id="rId131" Target="./glossary.md" TargetMode="External" /><Relationship Type="http://schemas.openxmlformats.org/officeDocument/2006/relationships/hyperlink" Id="rId126" Target="./pestel.md" TargetMode="External" /><Relationship Type="http://schemas.openxmlformats.org/officeDocument/2006/relationships/hyperlink" Id="rId124" Target="./porter.md" TargetMode="External" /><Relationship Type="http://schemas.openxmlformats.org/officeDocument/2006/relationships/hyperlink" Id="rId128" Target="./services.md" TargetMode="External" /><Relationship Type="http://schemas.openxmlformats.org/officeDocument/2006/relationships/hyperlink" Id="rId130" Target="./sources.md" TargetMode="External" /><Relationship Type="http://schemas.openxmlformats.org/officeDocument/2006/relationships/hyperlink" Id="rId24" Target="./sources.md#s06" TargetMode="External" /><Relationship Type="http://schemas.openxmlformats.org/officeDocument/2006/relationships/hyperlink" Id="rId25" Target="./sources.md#s07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67" Target="./sources.md#s12" TargetMode="External" /><Relationship Type="http://schemas.openxmlformats.org/officeDocument/2006/relationships/hyperlink" Id="rId18" Target="./sources.md#s15" TargetMode="External" /><Relationship Type="http://schemas.openxmlformats.org/officeDocument/2006/relationships/hyperlink" Id="rId17" Target="./sources.md#s16" TargetMode="External" /><Relationship Type="http://schemas.openxmlformats.org/officeDocument/2006/relationships/hyperlink" Id="rId81" Target="./sources.md#s17" TargetMode="External" /><Relationship Type="http://schemas.openxmlformats.org/officeDocument/2006/relationships/hyperlink" Id="rId49" Target="./sources.md#s18" TargetMode="External" /><Relationship Type="http://schemas.openxmlformats.org/officeDocument/2006/relationships/hyperlink" Id="rId50" Target="./sources.md#s19" TargetMode="External" /><Relationship Type="http://schemas.openxmlformats.org/officeDocument/2006/relationships/hyperlink" Id="rId118" Target="./sources.md#s20" TargetMode="External" /><Relationship Type="http://schemas.openxmlformats.org/officeDocument/2006/relationships/hyperlink" Id="rId28" Target="./sources.md#s22" TargetMode="External" /><Relationship Type="http://schemas.openxmlformats.org/officeDocument/2006/relationships/hyperlink" Id="rId29" Target="./sources.md#s23" TargetMode="External" /><Relationship Type="http://schemas.openxmlformats.org/officeDocument/2006/relationships/hyperlink" Id="rId33" Target="./sources.md#s24" TargetMode="External" /><Relationship Type="http://schemas.openxmlformats.org/officeDocument/2006/relationships/hyperlink" Id="rId34" Target="./sources.md#s25" TargetMode="External" /><Relationship Type="http://schemas.openxmlformats.org/officeDocument/2006/relationships/hyperlink" Id="rId26" Target="./sources.md#s26" TargetMode="External" /><Relationship Type="http://schemas.openxmlformats.org/officeDocument/2006/relationships/hyperlink" Id="rId27" Target="./sources.md#s27" TargetMode="External" /><Relationship Type="http://schemas.openxmlformats.org/officeDocument/2006/relationships/hyperlink" Id="rId70" Target="./sources.md#s28" TargetMode="External" /><Relationship Type="http://schemas.openxmlformats.org/officeDocument/2006/relationships/hyperlink" Id="rId72" Target="./sources.md#s29" TargetMode="External" /><Relationship Type="http://schemas.openxmlformats.org/officeDocument/2006/relationships/hyperlink" Id="rId73" Target="./sources.md#s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./assumptions.md" TargetMode="External" /><Relationship Type="http://schemas.openxmlformats.org/officeDocument/2006/relationships/hyperlink" Id="rId63" Target="./assumptions.md#a02" TargetMode="External" /><Relationship Type="http://schemas.openxmlformats.org/officeDocument/2006/relationships/hyperlink" Id="rId13" Target="./assumptions.md#a06" TargetMode="External" /><Relationship Type="http://schemas.openxmlformats.org/officeDocument/2006/relationships/hyperlink" Id="rId20" Target="./assumptions.md#a07" TargetMode="External" /><Relationship Type="http://schemas.openxmlformats.org/officeDocument/2006/relationships/hyperlink" Id="rId58" Target="./assumptions.md#a08" TargetMode="External" /><Relationship Type="http://schemas.openxmlformats.org/officeDocument/2006/relationships/hyperlink" Id="rId59" Target="./assumptions.md#a09" TargetMode="External" /><Relationship Type="http://schemas.openxmlformats.org/officeDocument/2006/relationships/hyperlink" Id="rId42" Target="./assumptions.md#a10" TargetMode="External" /><Relationship Type="http://schemas.openxmlformats.org/officeDocument/2006/relationships/hyperlink" Id="rId43" Target="./assumptions.md#a11" TargetMode="External" /><Relationship Type="http://schemas.openxmlformats.org/officeDocument/2006/relationships/hyperlink" Id="rId44" Target="./assumptions.md#a12" TargetMode="External" /><Relationship Type="http://schemas.openxmlformats.org/officeDocument/2006/relationships/hyperlink" Id="rId45" Target="./assumptions.md#a13" TargetMode="External" /><Relationship Type="http://schemas.openxmlformats.org/officeDocument/2006/relationships/hyperlink" Id="rId41" Target="./assumptions.md#a14" TargetMode="External" /><Relationship Type="http://schemas.openxmlformats.org/officeDocument/2006/relationships/hyperlink" Id="rId79" Target="./assumptions.md#a15" TargetMode="External" /><Relationship Type="http://schemas.openxmlformats.org/officeDocument/2006/relationships/hyperlink" Id="rId46" Target="./assumptions.md#a18" TargetMode="External" /><Relationship Type="http://schemas.openxmlformats.org/officeDocument/2006/relationships/hyperlink" Id="rId52" Target="./assumptions.md#a20" TargetMode="External" /><Relationship Type="http://schemas.openxmlformats.org/officeDocument/2006/relationships/hyperlink" Id="rId47" Target="./assumptions.md#a21" TargetMode="External" /><Relationship Type="http://schemas.openxmlformats.org/officeDocument/2006/relationships/hyperlink" Id="rId89" Target="./assumptions.md#a22" TargetMode="External" /><Relationship Type="http://schemas.openxmlformats.org/officeDocument/2006/relationships/hyperlink" Id="rId103" Target="./assumptions.md#a23" TargetMode="External" /><Relationship Type="http://schemas.openxmlformats.org/officeDocument/2006/relationships/hyperlink" Id="rId104" Target="./assumptions.md#a24" TargetMode="External" /><Relationship Type="http://schemas.openxmlformats.org/officeDocument/2006/relationships/hyperlink" Id="rId37" Target="./assumptions.md#a25" TargetMode="External" /><Relationship Type="http://schemas.openxmlformats.org/officeDocument/2006/relationships/hyperlink" Id="rId38" Target="./assumptions.md#a26" TargetMode="External" /><Relationship Type="http://schemas.openxmlformats.org/officeDocument/2006/relationships/hyperlink" Id="rId12" Target="./assumptions.md#a27" TargetMode="External" /><Relationship Type="http://schemas.openxmlformats.org/officeDocument/2006/relationships/hyperlink" Id="rId11" Target="./assumptions.md#a28" TargetMode="External" /><Relationship Type="http://schemas.openxmlformats.org/officeDocument/2006/relationships/hyperlink" Id="rId14" Target="./assumptions.md#a31" TargetMode="External" /><Relationship Type="http://schemas.openxmlformats.org/officeDocument/2006/relationships/hyperlink" Id="rId108" Target="./assumptions.md#a34" TargetMode="External" /><Relationship Type="http://schemas.openxmlformats.org/officeDocument/2006/relationships/hyperlink" Id="rId107" Target="./assumptions.md#a35" TargetMode="External" /><Relationship Type="http://schemas.openxmlformats.org/officeDocument/2006/relationships/hyperlink" Id="rId15" Target="./assumptions.md#a37" TargetMode="External" /><Relationship Type="http://schemas.openxmlformats.org/officeDocument/2006/relationships/hyperlink" Id="rId127" Target="./bmc.md" TargetMode="External" /><Relationship Type="http://schemas.openxmlformats.org/officeDocument/2006/relationships/hyperlink" Id="rId125" Target="./empathy-card.md" TargetMode="External" /><Relationship Type="http://schemas.openxmlformats.org/officeDocument/2006/relationships/hyperlink" Id="rId131" Target="./glossary.md" TargetMode="External" /><Relationship Type="http://schemas.openxmlformats.org/officeDocument/2006/relationships/hyperlink" Id="rId126" Target="./pestel.md" TargetMode="External" /><Relationship Type="http://schemas.openxmlformats.org/officeDocument/2006/relationships/hyperlink" Id="rId124" Target="./porter.md" TargetMode="External" /><Relationship Type="http://schemas.openxmlformats.org/officeDocument/2006/relationships/hyperlink" Id="rId128" Target="./services.md" TargetMode="External" /><Relationship Type="http://schemas.openxmlformats.org/officeDocument/2006/relationships/hyperlink" Id="rId130" Target="./sources.md" TargetMode="External" /><Relationship Type="http://schemas.openxmlformats.org/officeDocument/2006/relationships/hyperlink" Id="rId24" Target="./sources.md#s06" TargetMode="External" /><Relationship Type="http://schemas.openxmlformats.org/officeDocument/2006/relationships/hyperlink" Id="rId25" Target="./sources.md#s07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67" Target="./sources.md#s12" TargetMode="External" /><Relationship Type="http://schemas.openxmlformats.org/officeDocument/2006/relationships/hyperlink" Id="rId18" Target="./sources.md#s15" TargetMode="External" /><Relationship Type="http://schemas.openxmlformats.org/officeDocument/2006/relationships/hyperlink" Id="rId17" Target="./sources.md#s16" TargetMode="External" /><Relationship Type="http://schemas.openxmlformats.org/officeDocument/2006/relationships/hyperlink" Id="rId81" Target="./sources.md#s17" TargetMode="External" /><Relationship Type="http://schemas.openxmlformats.org/officeDocument/2006/relationships/hyperlink" Id="rId49" Target="./sources.md#s18" TargetMode="External" /><Relationship Type="http://schemas.openxmlformats.org/officeDocument/2006/relationships/hyperlink" Id="rId50" Target="./sources.md#s19" TargetMode="External" /><Relationship Type="http://schemas.openxmlformats.org/officeDocument/2006/relationships/hyperlink" Id="rId118" Target="./sources.md#s20" TargetMode="External" /><Relationship Type="http://schemas.openxmlformats.org/officeDocument/2006/relationships/hyperlink" Id="rId28" Target="./sources.md#s22" TargetMode="External" /><Relationship Type="http://schemas.openxmlformats.org/officeDocument/2006/relationships/hyperlink" Id="rId29" Target="./sources.md#s23" TargetMode="External" /><Relationship Type="http://schemas.openxmlformats.org/officeDocument/2006/relationships/hyperlink" Id="rId33" Target="./sources.md#s24" TargetMode="External" /><Relationship Type="http://schemas.openxmlformats.org/officeDocument/2006/relationships/hyperlink" Id="rId34" Target="./sources.md#s25" TargetMode="External" /><Relationship Type="http://schemas.openxmlformats.org/officeDocument/2006/relationships/hyperlink" Id="rId26" Target="./sources.md#s26" TargetMode="External" /><Relationship Type="http://schemas.openxmlformats.org/officeDocument/2006/relationships/hyperlink" Id="rId27" Target="./sources.md#s27" TargetMode="External" /><Relationship Type="http://schemas.openxmlformats.org/officeDocument/2006/relationships/hyperlink" Id="rId70" Target="./sources.md#s28" TargetMode="External" /><Relationship Type="http://schemas.openxmlformats.org/officeDocument/2006/relationships/hyperlink" Id="rId72" Target="./sources.md#s29" TargetMode="External" /><Relationship Type="http://schemas.openxmlformats.org/officeDocument/2006/relationships/hyperlink" Id="rId73" Target="./sources.md#s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2026-04-24T11:16:28Z</dcterms:created>
  <dcterms:modified xsi:type="dcterms:W3CDTF">2026-04-24T11:16:28Z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