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empathy-card---yallarent-dual-persona"/>
    <w:p>
      <w:pPr>
        <w:pStyle w:val="Heading1"/>
      </w:pPr>
      <w:r>
        <w:t xml:space="preserve">Empathy Card - YallaRent (Dual Persona)</w:t>
      </w:r>
    </w:p>
    <w:bookmarkStart w:id="13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empathy card captures two core actors in YallaRent’s launch model:</w:t>
      </w:r>
      <w:r>
        <w:t xml:space="preserve"> </w:t>
      </w:r>
      <w:r>
        <w:t xml:space="preserve">- Persona A: Student Renter (primary demand user)</w:t>
      </w:r>
      <w:r>
        <w:t xml:space="preserve"> </w:t>
      </w:r>
      <w:r>
        <w:t xml:space="preserve">- Persona B: Student Provider (peer-to-peer supply user)</w:t>
      </w:r>
    </w:p>
    <w:p>
      <w:pPr>
        <w:pStyle w:val="BodyText"/>
      </w:pPr>
      <w:r>
        <w:t xml:space="preserve">Context baseline:</w:t>
      </w:r>
      <w:r>
        <w:t xml:space="preserve"> </w:t>
      </w:r>
      <w:r>
        <w:t xml:space="preserve">- 1,530,230 university students in 2024/2025</w:t>
      </w:r>
      <w:r>
        <w:t xml:space="preserve"> </w:t>
      </w:r>
      <w:hyperlink r:id="rId9">
        <w:r>
          <w:rPr>
            <w:rStyle w:val="Hyperlink"/>
          </w:rPr>
          <w:t xml:space="preserve">S09</w:t>
        </w:r>
      </w:hyperlink>
      <w:r>
        <w:t xml:space="preserve"> </w:t>
      </w:r>
      <w:r>
        <w:t xml:space="preserve">- Youth unemployment at 29.444%</w:t>
      </w:r>
      <w:r>
        <w:t xml:space="preserve"> </w:t>
      </w:r>
      <w:hyperlink r:id="rId10">
        <w:r>
          <w:rPr>
            <w:rStyle w:val="Hyperlink"/>
          </w:rPr>
          <w:t xml:space="preserve">S06</w:t>
        </w:r>
      </w:hyperlink>
      <w:r>
        <w:t xml:space="preserve"> </w:t>
      </w:r>
      <w:r>
        <w:t xml:space="preserve">- Internet penetration at 76.9% and 54.8M mobile connections</w:t>
      </w:r>
      <w:r>
        <w:t xml:space="preserve"> </w:t>
      </w:r>
      <w:hyperlink r:id="rId11">
        <w:r>
          <w:rPr>
            <w:rStyle w:val="Hyperlink"/>
          </w:rPr>
          <w:t xml:space="preserve">S16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S15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23" w:name="persona-a---student-renter"/>
    <w:p>
      <w:pPr>
        <w:pStyle w:val="Heading2"/>
      </w:pPr>
      <w:r>
        <w:t xml:space="preserve">Persona A - Student Renter</w:t>
      </w:r>
    </w:p>
    <w:bookmarkStart w:id="16" w:name="what-they-see"/>
    <w:p>
      <w:pPr>
        <w:pStyle w:val="Heading3"/>
      </w:pPr>
      <w:r>
        <w:t xml:space="preserve">1) What They See</w:t>
      </w:r>
    </w:p>
    <w:p>
      <w:pPr>
        <w:pStyle w:val="Compact"/>
        <w:numPr>
          <w:ilvl w:val="0"/>
          <w:numId w:val="1001"/>
        </w:numPr>
      </w:pPr>
      <w:r>
        <w:t xml:space="preserve">Rising cost of setting up temporary student housing.</w:t>
      </w:r>
    </w:p>
    <w:p>
      <w:pPr>
        <w:pStyle w:val="Compact"/>
        <w:numPr>
          <w:ilvl w:val="0"/>
          <w:numId w:val="1001"/>
        </w:numPr>
      </w:pPr>
      <w:r>
        <w:t xml:space="preserve">Fragmented options in informal channels and classified listings</w:t>
      </w:r>
      <w:r>
        <w:t xml:space="preserve"> </w:t>
      </w:r>
      <w:hyperlink r:id="rId14">
        <w:r>
          <w:rPr>
            <w:rStyle w:val="Hyperlink"/>
          </w:rPr>
          <w:t xml:space="preserve">S26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S27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standardized campus-focused rental bundle in current local offerings.</w:t>
      </w:r>
    </w:p>
    <w:bookmarkEnd w:id="16"/>
    <w:bookmarkStart w:id="17" w:name="what-they-hear"/>
    <w:p>
      <w:pPr>
        <w:pStyle w:val="Heading3"/>
      </w:pPr>
      <w:r>
        <w:t xml:space="preserve">2) What They Hear</w:t>
      </w:r>
    </w:p>
    <w:p>
      <w:pPr>
        <w:pStyle w:val="Compact"/>
        <w:numPr>
          <w:ilvl w:val="0"/>
          <w:numId w:val="1002"/>
        </w:numPr>
      </w:pPr>
      <w:r>
        <w:t xml:space="preserve">“Buying is safer, but expensive.”</w:t>
      </w:r>
    </w:p>
    <w:p>
      <w:pPr>
        <w:pStyle w:val="Compact"/>
        <w:numPr>
          <w:ilvl w:val="0"/>
          <w:numId w:val="1002"/>
        </w:numPr>
      </w:pPr>
      <w:r>
        <w:t xml:space="preserve">“Borrow if you can.”</w:t>
      </w:r>
    </w:p>
    <w:p>
      <w:pPr>
        <w:pStyle w:val="Compact"/>
        <w:numPr>
          <w:ilvl w:val="0"/>
          <w:numId w:val="1002"/>
        </w:numPr>
      </w:pPr>
      <w:r>
        <w:t xml:space="preserve">“Use marketplace groups and ask around first.”</w:t>
      </w:r>
    </w:p>
    <w:p>
      <w:pPr>
        <w:pStyle w:val="Compact"/>
        <w:numPr>
          <w:ilvl w:val="0"/>
          <w:numId w:val="1002"/>
        </w:numPr>
      </w:pPr>
      <w:r>
        <w:t xml:space="preserve">Growing normalization of app-based service behavior because digital access is already mainstream</w:t>
      </w:r>
      <w:r>
        <w:t xml:space="preserve"> </w:t>
      </w:r>
      <w:hyperlink r:id="rId12">
        <w:r>
          <w:rPr>
            <w:rStyle w:val="Hyperlink"/>
          </w:rPr>
          <w:t xml:space="preserve">S15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S16</w:t>
        </w:r>
      </w:hyperlink>
      <w:r>
        <w:t xml:space="preserve">.</w:t>
      </w:r>
    </w:p>
    <w:bookmarkEnd w:id="17"/>
    <w:bookmarkStart w:id="18" w:name="what-they-think-and-feel"/>
    <w:p>
      <w:pPr>
        <w:pStyle w:val="Heading3"/>
      </w:pPr>
      <w:r>
        <w:t xml:space="preserve">3) What They Think and Feel</w:t>
      </w:r>
    </w:p>
    <w:p>
      <w:pPr>
        <w:pStyle w:val="Compact"/>
        <w:numPr>
          <w:ilvl w:val="0"/>
          <w:numId w:val="1003"/>
        </w:numPr>
      </w:pPr>
      <w:r>
        <w:t xml:space="preserve">“I need comfort and productivity, but only for a few months.”</w:t>
      </w:r>
    </w:p>
    <w:p>
      <w:pPr>
        <w:pStyle w:val="Compact"/>
        <w:numPr>
          <w:ilvl w:val="0"/>
          <w:numId w:val="1003"/>
        </w:numPr>
      </w:pPr>
      <w:r>
        <w:t xml:space="preserve">Anxiety about hidden damage costs or scams.</w:t>
      </w:r>
    </w:p>
    <w:p>
      <w:pPr>
        <w:pStyle w:val="Compact"/>
        <w:numPr>
          <w:ilvl w:val="0"/>
          <w:numId w:val="1003"/>
        </w:numPr>
      </w:pPr>
      <w:r>
        <w:t xml:space="preserve">Budget pressure linked to broader youth employment context</w:t>
      </w:r>
      <w:r>
        <w:t xml:space="preserve"> </w:t>
      </w:r>
      <w:hyperlink r:id="rId10">
        <w:r>
          <w:rPr>
            <w:rStyle w:val="Hyperlink"/>
          </w:rPr>
          <w:t xml:space="preserve">S06</w:t>
        </w:r>
      </w:hyperlink>
      <w:r>
        <w:t xml:space="preserve">.</w:t>
      </w:r>
    </w:p>
    <w:bookmarkEnd w:id="18"/>
    <w:bookmarkStart w:id="20" w:name="what-they-say-and-do"/>
    <w:p>
      <w:pPr>
        <w:pStyle w:val="Heading3"/>
      </w:pPr>
      <w:r>
        <w:t xml:space="preserve">4) What They Say and Do</w:t>
      </w:r>
    </w:p>
    <w:p>
      <w:pPr>
        <w:pStyle w:val="Compact"/>
        <w:numPr>
          <w:ilvl w:val="0"/>
          <w:numId w:val="1004"/>
        </w:numPr>
      </w:pPr>
      <w:r>
        <w:t xml:space="preserve">Compare multiple options before paying.</w:t>
      </w:r>
    </w:p>
    <w:p>
      <w:pPr>
        <w:pStyle w:val="Compact"/>
        <w:numPr>
          <w:ilvl w:val="0"/>
          <w:numId w:val="1004"/>
        </w:numPr>
      </w:pPr>
      <w:r>
        <w:t xml:space="preserve">Ask peers for trusted item owners.</w:t>
      </w:r>
    </w:p>
    <w:p>
      <w:pPr>
        <w:pStyle w:val="Compact"/>
        <w:numPr>
          <w:ilvl w:val="0"/>
          <w:numId w:val="1004"/>
        </w:numPr>
      </w:pPr>
      <w:r>
        <w:t xml:space="preserve">Delay purchases and try low-commitment options first.</w:t>
      </w:r>
    </w:p>
    <w:p>
      <w:pPr>
        <w:pStyle w:val="Compact"/>
        <w:numPr>
          <w:ilvl w:val="0"/>
          <w:numId w:val="1004"/>
        </w:numPr>
      </w:pPr>
      <w:r>
        <w:t xml:space="preserve">Use mobile-first behavior for discovery and messaging</w:t>
      </w:r>
      <w:r>
        <w:t xml:space="preserve"> </w:t>
      </w:r>
      <w:hyperlink r:id="rId12">
        <w:r>
          <w:rPr>
            <w:rStyle w:val="Hyperlink"/>
          </w:rPr>
          <w:t xml:space="preserve">S15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S18</w:t>
        </w:r>
      </w:hyperlink>
      <w:r>
        <w:t xml:space="preserve">.</w:t>
      </w:r>
    </w:p>
    <w:bookmarkEnd w:id="20"/>
    <w:bookmarkStart w:id="21" w:name="pains"/>
    <w:p>
      <w:pPr>
        <w:pStyle w:val="Heading3"/>
      </w:pPr>
      <w:r>
        <w:t xml:space="preserve">5) Pains</w:t>
      </w:r>
    </w:p>
    <w:p>
      <w:pPr>
        <w:pStyle w:val="Compact"/>
        <w:numPr>
          <w:ilvl w:val="0"/>
          <w:numId w:val="1005"/>
        </w:numPr>
      </w:pPr>
      <w:r>
        <w:t xml:space="preserve">High upfront purchase burden for temporary needs.</w:t>
      </w:r>
    </w:p>
    <w:p>
      <w:pPr>
        <w:pStyle w:val="Compact"/>
        <w:numPr>
          <w:ilvl w:val="0"/>
          <w:numId w:val="1005"/>
        </w:numPr>
      </w:pPr>
      <w:r>
        <w:t xml:space="preserve">Uncertain item quality and weak dispute handling in informal channels.</w:t>
      </w:r>
    </w:p>
    <w:p>
      <w:pPr>
        <w:pStyle w:val="Compact"/>
        <w:numPr>
          <w:ilvl w:val="0"/>
          <w:numId w:val="1005"/>
        </w:numPr>
      </w:pPr>
      <w:r>
        <w:t xml:space="preserve">Time loss from searching, negotiating, and arranging transport.</w:t>
      </w:r>
    </w:p>
    <w:bookmarkEnd w:id="21"/>
    <w:bookmarkStart w:id="22" w:name="gains"/>
    <w:p>
      <w:pPr>
        <w:pStyle w:val="Heading3"/>
      </w:pPr>
      <w:r>
        <w:t xml:space="preserve">6) Gains</w:t>
      </w:r>
    </w:p>
    <w:p>
      <w:pPr>
        <w:pStyle w:val="Compact"/>
        <w:numPr>
          <w:ilvl w:val="0"/>
          <w:numId w:val="1006"/>
        </w:numPr>
      </w:pPr>
      <w:r>
        <w:t xml:space="preserve">Fast access to verified, usable equipment.</w:t>
      </w:r>
    </w:p>
    <w:p>
      <w:pPr>
        <w:pStyle w:val="Compact"/>
        <w:numPr>
          <w:ilvl w:val="0"/>
          <w:numId w:val="1006"/>
        </w:numPr>
      </w:pPr>
      <w:r>
        <w:t xml:space="preserve">Transparent total cost (rental + delivery + optional protection).</w:t>
      </w:r>
    </w:p>
    <w:p>
      <w:pPr>
        <w:pStyle w:val="Compact"/>
        <w:numPr>
          <w:ilvl w:val="0"/>
          <w:numId w:val="1006"/>
        </w:numPr>
      </w:pPr>
      <w:r>
        <w:t xml:space="preserve">Flexible durations aligned to semester and exam cycles.</w:t>
      </w:r>
    </w:p>
    <w:p>
      <w:pPr>
        <w:pStyle w:val="Compact"/>
        <w:numPr>
          <w:ilvl w:val="0"/>
          <w:numId w:val="1006"/>
        </w:numPr>
      </w:pPr>
      <w:r>
        <w:t xml:space="preserve">Stress reduction from predictable pickup/return workflow.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ersona-b---student-provider-p2p-lister"/>
    <w:p>
      <w:pPr>
        <w:pStyle w:val="Heading2"/>
      </w:pPr>
      <w:r>
        <w:t xml:space="preserve">Persona B - Student Provider (P2P Lister)</w:t>
      </w:r>
    </w:p>
    <w:bookmarkStart w:id="24" w:name="what-they-see-1"/>
    <w:p>
      <w:pPr>
        <w:pStyle w:val="Heading3"/>
      </w:pPr>
      <w:r>
        <w:t xml:space="preserve">1) What They See</w:t>
      </w:r>
    </w:p>
    <w:p>
      <w:pPr>
        <w:pStyle w:val="Compact"/>
        <w:numPr>
          <w:ilvl w:val="0"/>
          <w:numId w:val="1007"/>
        </w:numPr>
      </w:pPr>
      <w:r>
        <w:t xml:space="preserve">Idle personal items in dorms/apartments during unused periods.</w:t>
      </w:r>
    </w:p>
    <w:p>
      <w:pPr>
        <w:pStyle w:val="Compact"/>
        <w:numPr>
          <w:ilvl w:val="0"/>
          <w:numId w:val="1007"/>
        </w:numPr>
      </w:pPr>
      <w:r>
        <w:t xml:space="preserve">Existing listing channels with weak trust and operational support</w:t>
      </w:r>
      <w:r>
        <w:t xml:space="preserve"> </w:t>
      </w:r>
      <w:hyperlink r:id="rId14">
        <w:r>
          <w:rPr>
            <w:rStyle w:val="Hyperlink"/>
          </w:rPr>
          <w:t xml:space="preserve">S26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No campus-native workflow for deposits, identity checks, and returns.</w:t>
      </w:r>
    </w:p>
    <w:bookmarkEnd w:id="24"/>
    <w:bookmarkStart w:id="25" w:name="what-they-hear-1"/>
    <w:p>
      <w:pPr>
        <w:pStyle w:val="Heading3"/>
      </w:pPr>
      <w:r>
        <w:t xml:space="preserve">2) What They Hear</w:t>
      </w:r>
    </w:p>
    <w:p>
      <w:pPr>
        <w:pStyle w:val="Compact"/>
        <w:numPr>
          <w:ilvl w:val="0"/>
          <w:numId w:val="1008"/>
        </w:numPr>
      </w:pPr>
      <w:r>
        <w:t xml:space="preserve">“You can earn from unused items if it is safe.”</w:t>
      </w:r>
    </w:p>
    <w:p>
      <w:pPr>
        <w:pStyle w:val="Compact"/>
        <w:numPr>
          <w:ilvl w:val="0"/>
          <w:numId w:val="1008"/>
        </w:numPr>
      </w:pPr>
      <w:r>
        <w:t xml:space="preserve">“Managing renters directly is risky and time-consuming.”</w:t>
      </w:r>
    </w:p>
    <w:p>
      <w:pPr>
        <w:pStyle w:val="Compact"/>
        <w:numPr>
          <w:ilvl w:val="0"/>
          <w:numId w:val="1008"/>
        </w:numPr>
      </w:pPr>
      <w:r>
        <w:t xml:space="preserve">“Most people stop listing after one bad experience.”</w:t>
      </w:r>
    </w:p>
    <w:bookmarkEnd w:id="25"/>
    <w:bookmarkStart w:id="26" w:name="what-they-think-and-feel-1"/>
    <w:p>
      <w:pPr>
        <w:pStyle w:val="Heading3"/>
      </w:pPr>
      <w:r>
        <w:t xml:space="preserve">3) What They Think and Feel</w:t>
      </w:r>
    </w:p>
    <w:p>
      <w:pPr>
        <w:pStyle w:val="Compact"/>
        <w:numPr>
          <w:ilvl w:val="0"/>
          <w:numId w:val="1009"/>
        </w:numPr>
      </w:pPr>
      <w:r>
        <w:t xml:space="preserve">Wants supplementary income but fears damage, loss, and disputes.</w:t>
      </w:r>
    </w:p>
    <w:p>
      <w:pPr>
        <w:pStyle w:val="Compact"/>
        <w:numPr>
          <w:ilvl w:val="0"/>
          <w:numId w:val="1009"/>
        </w:numPr>
      </w:pPr>
      <w:r>
        <w:t xml:space="preserve">Seeks control over availability and renter quality.</w:t>
      </w:r>
    </w:p>
    <w:p>
      <w:pPr>
        <w:pStyle w:val="Compact"/>
        <w:numPr>
          <w:ilvl w:val="0"/>
          <w:numId w:val="1009"/>
        </w:numPr>
      </w:pPr>
      <w:r>
        <w:t xml:space="preserve">Values low-friction listing and reliable payout timing.</w:t>
      </w:r>
    </w:p>
    <w:bookmarkEnd w:id="26"/>
    <w:bookmarkStart w:id="29" w:name="what-they-say-and-do-1"/>
    <w:p>
      <w:pPr>
        <w:pStyle w:val="Heading3"/>
      </w:pPr>
      <w:r>
        <w:t xml:space="preserve">4) What They Say and Do</w:t>
      </w:r>
    </w:p>
    <w:p>
      <w:pPr>
        <w:pStyle w:val="Compact"/>
        <w:numPr>
          <w:ilvl w:val="0"/>
          <w:numId w:val="1010"/>
        </w:numPr>
      </w:pPr>
      <w:r>
        <w:t xml:space="preserve">Starts with low-risk categories (lamp, chair, fan).</w:t>
      </w:r>
    </w:p>
    <w:p>
      <w:pPr>
        <w:pStyle w:val="Compact"/>
        <w:numPr>
          <w:ilvl w:val="0"/>
          <w:numId w:val="1010"/>
        </w:numPr>
      </w:pPr>
      <w:r>
        <w:t xml:space="preserve">Tests platforms before committing more items.</w:t>
      </w:r>
    </w:p>
    <w:p>
      <w:pPr>
        <w:pStyle w:val="Compact"/>
        <w:numPr>
          <w:ilvl w:val="0"/>
          <w:numId w:val="1010"/>
        </w:numPr>
      </w:pPr>
      <w:r>
        <w:t xml:space="preserve">Accepts paid plans only when revenue predictability is clear</w:t>
      </w:r>
      <w:r>
        <w:t xml:space="preserve"> </w:t>
      </w:r>
      <w:hyperlink r:id="rId27">
        <w:r>
          <w:rPr>
            <w:rStyle w:val="Hyperlink"/>
          </w:rPr>
          <w:t xml:space="preserve">A14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A15</w:t>
        </w:r>
      </w:hyperlink>
      <w:r>
        <w:t xml:space="preserve">.</w:t>
      </w:r>
    </w:p>
    <w:bookmarkEnd w:id="29"/>
    <w:bookmarkStart w:id="30" w:name="pains-1"/>
    <w:p>
      <w:pPr>
        <w:pStyle w:val="Heading3"/>
      </w:pPr>
      <w:r>
        <w:t xml:space="preserve">5) Pains</w:t>
      </w:r>
    </w:p>
    <w:p>
      <w:pPr>
        <w:pStyle w:val="Compact"/>
        <w:numPr>
          <w:ilvl w:val="0"/>
          <w:numId w:val="1011"/>
        </w:numPr>
      </w:pPr>
      <w:r>
        <w:t xml:space="preserve">Manual coordination overhead.</w:t>
      </w:r>
    </w:p>
    <w:p>
      <w:pPr>
        <w:pStyle w:val="Compact"/>
        <w:numPr>
          <w:ilvl w:val="0"/>
          <w:numId w:val="1011"/>
        </w:numPr>
      </w:pPr>
      <w:r>
        <w:t xml:space="preserve">Weak identity certainty in informal channels.</w:t>
      </w:r>
    </w:p>
    <w:p>
      <w:pPr>
        <w:pStyle w:val="Compact"/>
        <w:numPr>
          <w:ilvl w:val="0"/>
          <w:numId w:val="1011"/>
        </w:numPr>
      </w:pPr>
      <w:r>
        <w:t xml:space="preserve">Unclear recourse when items return damaged.</w:t>
      </w:r>
    </w:p>
    <w:bookmarkEnd w:id="30"/>
    <w:bookmarkStart w:id="32" w:name="gains-1"/>
    <w:p>
      <w:pPr>
        <w:pStyle w:val="Heading3"/>
      </w:pPr>
      <w:r>
        <w:t xml:space="preserve">6) Gains</w:t>
      </w:r>
    </w:p>
    <w:p>
      <w:pPr>
        <w:pStyle w:val="Compact"/>
        <w:numPr>
          <w:ilvl w:val="0"/>
          <w:numId w:val="1012"/>
        </w:numPr>
      </w:pPr>
      <w:r>
        <w:t xml:space="preserve">Monetize idle assets without direct commission on transactions</w:t>
      </w:r>
      <w:r>
        <w:t xml:space="preserve"> </w:t>
      </w:r>
      <w:hyperlink r:id="rId31">
        <w:r>
          <w:rPr>
            <w:rStyle w:val="Hyperlink"/>
          </w:rPr>
          <w:t xml:space="preserve">A28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Better trust through verification and condition evidence.</w:t>
      </w:r>
    </w:p>
    <w:p>
      <w:pPr>
        <w:pStyle w:val="Compact"/>
        <w:numPr>
          <w:ilvl w:val="0"/>
          <w:numId w:val="1012"/>
        </w:numPr>
      </w:pPr>
      <w:r>
        <w:t xml:space="preserve">Scalable listing operations via subscription plans beyond 3 items</w:t>
      </w:r>
      <w:r>
        <w:t xml:space="preserve"> </w:t>
      </w:r>
      <w:hyperlink r:id="rId27">
        <w:r>
          <w:rPr>
            <w:rStyle w:val="Hyperlink"/>
          </w:rPr>
          <w:t xml:space="preserve">A14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hared-emotional-drivers"/>
    <w:p>
      <w:pPr>
        <w:pStyle w:val="Heading2"/>
      </w:pPr>
      <w:r>
        <w:t xml:space="preserve">Shared Emotional Drivers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Student Renter</w:t>
            </w:r>
          </w:p>
        </w:tc>
        <w:tc>
          <w:tcPr/>
          <w:p>
            <w:pPr>
              <w:pStyle w:val="Compact"/>
            </w:pPr>
            <w:r>
              <w:t xml:space="preserve">Student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pressure</w:t>
            </w:r>
          </w:p>
        </w:tc>
        <w:tc>
          <w:tcPr/>
          <w:p>
            <w:pPr>
              <w:pStyle w:val="Compact"/>
            </w:pPr>
            <w:r>
              <w:t xml:space="preserve">Wants lower upfront spend</w:t>
            </w:r>
          </w:p>
        </w:tc>
        <w:tc>
          <w:tcPr/>
          <w:p>
            <w:pPr>
              <w:pStyle w:val="Compact"/>
            </w:pPr>
            <w:r>
              <w:t xml:space="preserve">Wants extra recurring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</w:pPr>
            <w:r>
              <w:t xml:space="preserve">Wants safe and verified rentals</w:t>
            </w:r>
          </w:p>
        </w:tc>
        <w:tc>
          <w:tcPr/>
          <w:p>
            <w:pPr>
              <w:pStyle w:val="Compact"/>
            </w:pPr>
            <w:r>
              <w:t xml:space="preserve">Wants verified renters and clear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Convenience</w:t>
            </w:r>
          </w:p>
        </w:tc>
        <w:tc>
          <w:tcPr/>
          <w:p>
            <w:pPr>
              <w:pStyle w:val="Compact"/>
            </w:pPr>
            <w:r>
              <w:t xml:space="preserve">Wants fast booking and delivery</w:t>
            </w:r>
          </w:p>
        </w:tc>
        <w:tc>
          <w:tcPr/>
          <w:p>
            <w:pPr>
              <w:pStyle w:val="Compact"/>
            </w:pPr>
            <w:r>
              <w:t xml:space="preserve">Wants low-effort listing and handover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Wants short rental durations</w:t>
            </w:r>
          </w:p>
        </w:tc>
        <w:tc>
          <w:tcPr/>
          <w:p>
            <w:pPr>
              <w:pStyle w:val="Compact"/>
            </w:pPr>
            <w:r>
              <w:t xml:space="preserve">Wants control over availability windows</w:t>
            </w:r>
          </w:p>
        </w:tc>
      </w:tr>
    </w:tbl>
    <w:bookmarkEnd w:id="34"/>
    <w:bookmarkStart w:id="35" w:name="product-implications"/>
    <w:p>
      <w:pPr>
        <w:pStyle w:val="Heading2"/>
      </w:pPr>
      <w:r>
        <w:t xml:space="preserve">Product Implications</w:t>
      </w:r>
    </w:p>
    <w:p>
      <w:pPr>
        <w:pStyle w:val="Compact"/>
        <w:numPr>
          <w:ilvl w:val="0"/>
          <w:numId w:val="1013"/>
        </w:numPr>
      </w:pPr>
      <w:r>
        <w:t xml:space="preserve">Onboarding must be fast and mobile-optimized given connectivity behavior</w:t>
      </w:r>
      <w:r>
        <w:t xml:space="preserve"> </w:t>
      </w:r>
      <w:hyperlink r:id="rId12">
        <w:r>
          <w:rPr>
            <w:rStyle w:val="Hyperlink"/>
          </w:rPr>
          <w:t xml:space="preserve">S15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S16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S18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Trust features are not optional; they are core retention drivers for both personas.</w:t>
      </w:r>
    </w:p>
    <w:p>
      <w:pPr>
        <w:pStyle w:val="Compact"/>
        <w:numPr>
          <w:ilvl w:val="0"/>
          <w:numId w:val="1013"/>
        </w:numPr>
      </w:pPr>
      <w:r>
        <w:t xml:space="preserve">P2P monetization should remain plan-based (not commission-based) to preserve positioning</w:t>
      </w:r>
      <w:r>
        <w:t xml:space="preserve"> </w:t>
      </w:r>
      <w:hyperlink r:id="rId31">
        <w:r>
          <w:rPr>
            <w:rStyle w:val="Hyperlink"/>
          </w:rPr>
          <w:t xml:space="preserve">A28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Bundle design should prioritize temporary-use economics and exam/semester timing.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/assumptions.md#a14" TargetMode="External" /><Relationship Type="http://schemas.openxmlformats.org/officeDocument/2006/relationships/hyperlink" Id="rId28" Target="./assumptions.md#a15" TargetMode="External" /><Relationship Type="http://schemas.openxmlformats.org/officeDocument/2006/relationships/hyperlink" Id="rId31" Target="./assumptions.md#a28" TargetMode="External" /><Relationship Type="http://schemas.openxmlformats.org/officeDocument/2006/relationships/hyperlink" Id="rId10" Target="./sources.md#s06" TargetMode="External" /><Relationship Type="http://schemas.openxmlformats.org/officeDocument/2006/relationships/hyperlink" Id="rId9" Target="./sources.md#s09" TargetMode="External" /><Relationship Type="http://schemas.openxmlformats.org/officeDocument/2006/relationships/hyperlink" Id="rId12" Target="./sources.md#s15" TargetMode="External" /><Relationship Type="http://schemas.openxmlformats.org/officeDocument/2006/relationships/hyperlink" Id="rId11" Target="./sources.md#s16" TargetMode="External" /><Relationship Type="http://schemas.openxmlformats.org/officeDocument/2006/relationships/hyperlink" Id="rId19" Target="./sources.md#s18" TargetMode="External" /><Relationship Type="http://schemas.openxmlformats.org/officeDocument/2006/relationships/hyperlink" Id="rId14" Target="./sources.md#s26" TargetMode="External" /><Relationship Type="http://schemas.openxmlformats.org/officeDocument/2006/relationships/hyperlink" Id="rId15" Target="./sources.md#s2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/assumptions.md#a14" TargetMode="External" /><Relationship Type="http://schemas.openxmlformats.org/officeDocument/2006/relationships/hyperlink" Id="rId28" Target="./assumptions.md#a15" TargetMode="External" /><Relationship Type="http://schemas.openxmlformats.org/officeDocument/2006/relationships/hyperlink" Id="rId31" Target="./assumptions.md#a28" TargetMode="External" /><Relationship Type="http://schemas.openxmlformats.org/officeDocument/2006/relationships/hyperlink" Id="rId10" Target="./sources.md#s06" TargetMode="External" /><Relationship Type="http://schemas.openxmlformats.org/officeDocument/2006/relationships/hyperlink" Id="rId9" Target="./sources.md#s09" TargetMode="External" /><Relationship Type="http://schemas.openxmlformats.org/officeDocument/2006/relationships/hyperlink" Id="rId12" Target="./sources.md#s15" TargetMode="External" /><Relationship Type="http://schemas.openxmlformats.org/officeDocument/2006/relationships/hyperlink" Id="rId11" Target="./sources.md#s16" TargetMode="External" /><Relationship Type="http://schemas.openxmlformats.org/officeDocument/2006/relationships/hyperlink" Id="rId19" Target="./sources.md#s18" TargetMode="External" /><Relationship Type="http://schemas.openxmlformats.org/officeDocument/2006/relationships/hyperlink" Id="rId14" Target="./sources.md#s26" TargetMode="External" /><Relationship Type="http://schemas.openxmlformats.org/officeDocument/2006/relationships/hyperlink" Id="rId15" Target="./sources.md#s2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2026-04-24T11:16:27Z</dcterms:created>
  <dcterms:modified xsi:type="dcterms:W3CDTF">2026-04-24T11:16:27Z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