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pestel-analysis---yallarent-algeria"/>
    <w:p>
      <w:pPr>
        <w:pStyle w:val="Heading1"/>
      </w:pPr>
      <w:r>
        <w:t xml:space="preserve">PESTEL Analysis - YallaRent (Algeria)</w:t>
      </w:r>
    </w:p>
    <w:bookmarkStart w:id="15" w:name="context-snapshot"/>
    <w:p>
      <w:pPr>
        <w:pStyle w:val="Heading2"/>
      </w:pPr>
      <w:r>
        <w:t xml:space="preserve">Context Snapshot</w:t>
      </w:r>
    </w:p>
    <w:p>
      <w:pPr>
        <w:pStyle w:val="Compact"/>
        <w:numPr>
          <w:ilvl w:val="0"/>
          <w:numId w:val="1001"/>
        </w:numPr>
      </w:pPr>
      <w:r>
        <w:t xml:space="preserve">Population: 46,814,308</w:t>
      </w:r>
      <w:r>
        <w:t xml:space="preserve"> </w:t>
      </w:r>
      <w:hyperlink r:id="rId9">
        <w:r>
          <w:rPr>
            <w:rStyle w:val="Hyperlink"/>
          </w:rPr>
          <w:t xml:space="preserve">S01</w:t>
        </w:r>
      </w:hyperlink>
    </w:p>
    <w:p>
      <w:pPr>
        <w:pStyle w:val="Compact"/>
        <w:numPr>
          <w:ilvl w:val="0"/>
          <w:numId w:val="1001"/>
        </w:numPr>
      </w:pPr>
      <w:r>
        <w:t xml:space="preserve">University enrollment (core demand base): 1,530,230</w:t>
      </w:r>
      <w:r>
        <w:t xml:space="preserve"> </w:t>
      </w:r>
      <w:hyperlink r:id="rId10">
        <w:r>
          <w:rPr>
            <w:rStyle w:val="Hyperlink"/>
          </w:rPr>
          <w:t xml:space="preserve">S09</w:t>
        </w:r>
      </w:hyperlink>
    </w:p>
    <w:p>
      <w:pPr>
        <w:pStyle w:val="Compact"/>
        <w:numPr>
          <w:ilvl w:val="0"/>
          <w:numId w:val="1001"/>
        </w:numPr>
      </w:pPr>
      <w:r>
        <w:t xml:space="preserve">Youth unemployment: 29.444%</w:t>
      </w:r>
      <w:r>
        <w:t xml:space="preserve"> </w:t>
      </w:r>
      <w:hyperlink r:id="rId11">
        <w:r>
          <w:rPr>
            <w:rStyle w:val="Hyperlink"/>
          </w:rPr>
          <w:t xml:space="preserve">S06</w:t>
        </w:r>
      </w:hyperlink>
    </w:p>
    <w:p>
      <w:pPr>
        <w:pStyle w:val="Compact"/>
        <w:numPr>
          <w:ilvl w:val="0"/>
          <w:numId w:val="1001"/>
        </w:numPr>
      </w:pPr>
      <w:r>
        <w:t xml:space="preserve">Inflation: 4.046%</w:t>
      </w:r>
      <w:r>
        <w:t xml:space="preserve"> </w:t>
      </w:r>
      <w:hyperlink r:id="rId12">
        <w:r>
          <w:rPr>
            <w:rStyle w:val="Hyperlink"/>
          </w:rPr>
          <w:t xml:space="preserve">S07</w:t>
        </w:r>
      </w:hyperlink>
    </w:p>
    <w:p>
      <w:pPr>
        <w:pStyle w:val="Compact"/>
        <w:numPr>
          <w:ilvl w:val="0"/>
          <w:numId w:val="1001"/>
        </w:numPr>
      </w:pPr>
      <w:r>
        <w:t xml:space="preserve">Internet users: 36.2 million (76.9%)</w:t>
      </w:r>
      <w:r>
        <w:t xml:space="preserve"> </w:t>
      </w:r>
      <w:hyperlink r:id="rId13">
        <w:r>
          <w:rPr>
            <w:rStyle w:val="Hyperlink"/>
          </w:rPr>
          <w:t xml:space="preserve">S16</w:t>
        </w:r>
      </w:hyperlink>
    </w:p>
    <w:p>
      <w:pPr>
        <w:pStyle w:val="Compact"/>
        <w:numPr>
          <w:ilvl w:val="0"/>
          <w:numId w:val="1001"/>
        </w:numPr>
      </w:pPr>
      <w:r>
        <w:t xml:space="preserve">Mobile connections: 54.8 million (116%)</w:t>
      </w:r>
      <w:r>
        <w:t xml:space="preserve"> </w:t>
      </w:r>
      <w:hyperlink r:id="rId14">
        <w:r>
          <w:rPr>
            <w:rStyle w:val="Hyperlink"/>
          </w:rPr>
          <w:t xml:space="preserve">S15</w:t>
        </w:r>
      </w:hyperlink>
    </w:p>
    <w:bookmarkEnd w:id="15"/>
    <w:bookmarkStart w:id="29" w:name="pestel-matrix"/>
    <w:p>
      <w:pPr>
        <w:pStyle w:val="Heading2"/>
      </w:pPr>
      <w:r>
        <w:t xml:space="preserve">PESTEL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Evidence and Numbers</w:t>
            </w:r>
          </w:p>
        </w:tc>
        <w:tc>
          <w:tcPr/>
          <w:p>
            <w:pPr>
              <w:pStyle w:val="Compact"/>
            </w:pPr>
            <w:r>
              <w:t xml:space="preserve">Business Implication (Pilot)</w:t>
            </w:r>
          </w:p>
        </w:tc>
        <w:tc>
          <w:tcPr/>
          <w:p>
            <w:pPr>
              <w:pStyle w:val="Compact"/>
            </w:pPr>
            <w:r>
              <w:t xml:space="preserve">Business Implication (Scale)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Political</w:t>
            </w:r>
          </w:p>
        </w:tc>
        <w:tc>
          <w:tcPr/>
          <w:p>
            <w:pPr>
              <w:pStyle w:val="Compact"/>
            </w:pPr>
            <w:r>
              <w:t xml:space="preserve">Startup label ecosystem allows a 4-year renewable label tied to decree framework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S24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S25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Build legal entity and public-facing legitimacy early for campus and partner discussions.</w:t>
            </w:r>
          </w:p>
        </w:tc>
        <w:tc>
          <w:tcPr/>
          <w:p>
            <w:pPr>
              <w:pStyle w:val="Compact"/>
            </w:pPr>
            <w:r>
              <w:t xml:space="preserve">Use compliant status to expand multi-campus agreements and funding credibility.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Economic</w:t>
            </w:r>
          </w:p>
        </w:tc>
        <w:tc>
          <w:tcPr/>
          <w:p>
            <w:pPr>
              <w:pStyle w:val="Compact"/>
            </w:pPr>
            <w:r>
              <w:t xml:space="preserve">GDP per capita is $5,752.99; youth unemployment is 29.444%; inflation is 4.046%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S03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S06</w:t>
              </w:r>
            </w:hyperlink>
            <w:r>
              <w:t xml:space="preserve">,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S07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Keep entry pricing low and push bundles that lower upfront costs.</w:t>
            </w:r>
          </w:p>
        </w:tc>
        <w:tc>
          <w:tcPr/>
          <w:p>
            <w:pPr>
              <w:pStyle w:val="Compact"/>
            </w:pPr>
            <w:r>
              <w:t xml:space="preserve">Protect margins through utilization and refurbishment, not aggressive price hikes.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1,530,230 enrolled students; 63% female share; 117 higher-ed institutions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S09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S10</w:t>
              </w:r>
            </w:hyperlink>
            <w:r>
              <w:t xml:space="preserve">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S12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Focus on one campus cluster and use student ambassadors for trust.</w:t>
            </w:r>
          </w:p>
        </w:tc>
        <w:tc>
          <w:tcPr/>
          <w:p>
            <w:pPr>
              <w:pStyle w:val="Compact"/>
            </w:pPr>
            <w:r>
              <w:t xml:space="preserve">Segment offers by residence type, city, and demand seasonality across institutions.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Technological</w:t>
            </w:r>
          </w:p>
        </w:tc>
        <w:tc>
          <w:tcPr/>
          <w:p>
            <w:pPr>
              <w:pStyle w:val="Compact"/>
            </w:pPr>
            <w:r>
              <w:t xml:space="preserve">36.2M internet users; 54.8M mobile connections; median mobile speed 23.42 Mbps; fixed speed 15.05 Mbps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S16</w:t>
              </w:r>
            </w:hyperlink>
            <w:r>
              <w:t xml:space="preserve">,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S15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S18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S19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Mobile-first UX and lightweight booking flows are mandatory.</w:t>
            </w:r>
          </w:p>
        </w:tc>
        <w:tc>
          <w:tcPr/>
          <w:p>
            <w:pPr>
              <w:pStyle w:val="Compact"/>
            </w:pPr>
            <w:r>
              <w:t xml:space="preserve">Add richer dashboards as connectivity improves (+9.6% mobile speed YoY, +22.2% fixed)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S20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S21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Environmental</w:t>
            </w:r>
          </w:p>
        </w:tc>
        <w:tc>
          <w:tcPr/>
          <w:p>
            <w:pPr>
              <w:pStyle w:val="Compact"/>
            </w:pPr>
            <w:r>
              <w:t xml:space="preserve">Reuse/rental model reduces forced one-time purchases and extends product lifecycle (model logic; no external lifecycle coefficient used).</w:t>
            </w:r>
          </w:p>
        </w:tc>
        <w:tc>
          <w:tcPr/>
          <w:p>
            <w:pPr>
              <w:pStyle w:val="Compact"/>
            </w:pPr>
            <w:r>
              <w:t xml:space="preserve">Introduce refurbishment and resale process from day one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A20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A21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Publish circular-economy KPIs to support partnerships and branding.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Law 18-07 governs personal data processing and references consent requirements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S22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S23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Build consent-aware onboarding and data-minimization flows before launch.</w:t>
            </w:r>
          </w:p>
        </w:tc>
        <w:tc>
          <w:tcPr/>
          <w:p>
            <w:pPr>
              <w:pStyle w:val="Compact"/>
            </w:pPr>
            <w:r>
              <w:t xml:space="preserve">Scale with compliance audits, retention policies, and incident response governance.</w:t>
            </w:r>
          </w:p>
        </w:tc>
      </w:tr>
    </w:tbl>
    <w:bookmarkEnd w:id="29"/>
    <w:bookmarkStart w:id="30" w:name="detailed-factor-notes"/>
    <w:p>
      <w:pPr>
        <w:pStyle w:val="Heading2"/>
      </w:pPr>
      <w:r>
        <w:t xml:space="preserve">Detailed Factor Notes</w:t>
      </w:r>
    </w:p>
    <w:bookmarkEnd w:id="30"/>
    <w:bookmarkStart w:id="34" w:name="p---political"/>
    <w:p>
      <w:pPr>
        <w:pStyle w:val="Heading2"/>
      </w:pPr>
      <w:r>
        <w:t xml:space="preserve">P - Political</w:t>
      </w:r>
    </w:p>
    <w:bookmarkStart w:id="31" w:name="opportunities"/>
    <w:p>
      <w:pPr>
        <w:pStyle w:val="Heading3"/>
      </w:pPr>
      <w:r>
        <w:t xml:space="preserve">Opportunities</w:t>
      </w:r>
    </w:p>
    <w:p>
      <w:pPr>
        <w:pStyle w:val="Compact"/>
        <w:numPr>
          <w:ilvl w:val="0"/>
          <w:numId w:val="1002"/>
        </w:numPr>
      </w:pPr>
      <w:r>
        <w:t xml:space="preserve">Startup policy instruments can improve institutional confidence in early-stage ventures</w:t>
      </w:r>
      <w:r>
        <w:t xml:space="preserve"> </w:t>
      </w:r>
      <w:hyperlink r:id="rId16">
        <w:r>
          <w:rPr>
            <w:rStyle w:val="Hyperlink"/>
          </w:rPr>
          <w:t xml:space="preserve">S24</w:t>
        </w:r>
      </w:hyperlink>
      <w:r>
        <w:t xml:space="preserve">.</w:t>
      </w:r>
    </w:p>
    <w:bookmarkEnd w:id="31"/>
    <w:bookmarkStart w:id="32" w:name="risks"/>
    <w:p>
      <w:pPr>
        <w:pStyle w:val="Heading3"/>
      </w:pPr>
      <w:r>
        <w:t xml:space="preserve">Risks</w:t>
      </w:r>
    </w:p>
    <w:p>
      <w:pPr>
        <w:pStyle w:val="Compact"/>
        <w:numPr>
          <w:ilvl w:val="0"/>
          <w:numId w:val="1003"/>
        </w:numPr>
      </w:pPr>
      <w:r>
        <w:t xml:space="preserve">Campus operations may still require institution-specific permissions and process alignment.</w:t>
      </w:r>
    </w:p>
    <w:bookmarkEnd w:id="32"/>
    <w:bookmarkStart w:id="33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04"/>
        </w:numPr>
      </w:pPr>
      <w:r>
        <w:t xml:space="preserve">Pilot with near-campus hubs while formalizing institutional MOUs for expansion.</w:t>
      </w:r>
    </w:p>
    <w:bookmarkEnd w:id="33"/>
    <w:bookmarkEnd w:id="34"/>
    <w:bookmarkStart w:id="40" w:name="e---economic"/>
    <w:p>
      <w:pPr>
        <w:pStyle w:val="Heading2"/>
      </w:pPr>
      <w:r>
        <w:t xml:space="preserve">E - Economic</w:t>
      </w:r>
    </w:p>
    <w:bookmarkStart w:id="35" w:name="opportunities-1"/>
    <w:p>
      <w:pPr>
        <w:pStyle w:val="Heading3"/>
      </w:pPr>
      <w:r>
        <w:t xml:space="preserve">Opportunities</w:t>
      </w:r>
    </w:p>
    <w:p>
      <w:pPr>
        <w:pStyle w:val="Compact"/>
        <w:numPr>
          <w:ilvl w:val="0"/>
          <w:numId w:val="1005"/>
        </w:numPr>
      </w:pPr>
      <w:r>
        <w:t xml:space="preserve">High cost pressure increases demand for temporary access models over ownership</w:t>
      </w:r>
      <w:r>
        <w:t xml:space="preserve"> </w:t>
      </w:r>
      <w:hyperlink r:id="rId11">
        <w:r>
          <w:rPr>
            <w:rStyle w:val="Hyperlink"/>
          </w:rPr>
          <w:t xml:space="preserve">S06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S07</w:t>
        </w:r>
      </w:hyperlink>
      <w:r>
        <w:t xml:space="preserve">.</w:t>
      </w:r>
    </w:p>
    <w:bookmarkEnd w:id="35"/>
    <w:bookmarkStart w:id="36" w:name="risks-1"/>
    <w:p>
      <w:pPr>
        <w:pStyle w:val="Heading3"/>
      </w:pPr>
      <w:r>
        <w:t xml:space="preserve">Risks</w:t>
      </w:r>
    </w:p>
    <w:p>
      <w:pPr>
        <w:pStyle w:val="Compact"/>
        <w:numPr>
          <w:ilvl w:val="0"/>
          <w:numId w:val="1006"/>
        </w:numPr>
      </w:pPr>
      <w:r>
        <w:t xml:space="preserve">Inflation can compress unit margins if pricing is not updated carefully.</w:t>
      </w:r>
    </w:p>
    <w:bookmarkEnd w:id="36"/>
    <w:bookmarkStart w:id="39" w:name="actions-1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07"/>
        </w:numPr>
      </w:pPr>
      <w:r>
        <w:t xml:space="preserve">Quarterly pricing review tied to CPI context</w:t>
      </w:r>
      <w:r>
        <w:t xml:space="preserve"> </w:t>
      </w:r>
      <w:hyperlink r:id="rId12">
        <w:r>
          <w:rPr>
            <w:rStyle w:val="Hyperlink"/>
          </w:rPr>
          <w:t xml:space="preserve">S07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Diversify revenue: rentals + logistics + subscriptions + resale</w:t>
      </w:r>
      <w:r>
        <w:t xml:space="preserve"> </w:t>
      </w:r>
      <w:hyperlink r:id="rId37">
        <w:r>
          <w:rPr>
            <w:rStyle w:val="Hyperlink"/>
          </w:rPr>
          <w:t xml:space="preserve">A31</w:t>
        </w:r>
      </w:hyperlink>
      <w:r>
        <w:t xml:space="preserve"> </w:t>
      </w:r>
      <w:r>
        <w:t xml:space="preserve">to</w:t>
      </w:r>
      <w:r>
        <w:t xml:space="preserve"> </w:t>
      </w:r>
      <w:hyperlink r:id="rId38">
        <w:r>
          <w:rPr>
            <w:rStyle w:val="Hyperlink"/>
          </w:rPr>
          <w:t xml:space="preserve">A37</w:t>
        </w:r>
      </w:hyperlink>
      <w:r>
        <w:t xml:space="preserve">.</w:t>
      </w:r>
    </w:p>
    <w:bookmarkEnd w:id="39"/>
    <w:bookmarkEnd w:id="40"/>
    <w:bookmarkStart w:id="44" w:name="s---social"/>
    <w:p>
      <w:pPr>
        <w:pStyle w:val="Heading2"/>
      </w:pPr>
      <w:r>
        <w:t xml:space="preserve">S - Social</w:t>
      </w:r>
    </w:p>
    <w:bookmarkStart w:id="41" w:name="opportunities-2"/>
    <w:p>
      <w:pPr>
        <w:pStyle w:val="Heading3"/>
      </w:pPr>
      <w:r>
        <w:t xml:space="preserve">Opportunities</w:t>
      </w:r>
    </w:p>
    <w:p>
      <w:pPr>
        <w:pStyle w:val="Compact"/>
        <w:numPr>
          <w:ilvl w:val="0"/>
          <w:numId w:val="1008"/>
        </w:numPr>
      </w:pPr>
      <w:r>
        <w:t xml:space="preserve">Large and concentrated student base creates a dense user pool</w:t>
      </w:r>
      <w:r>
        <w:t xml:space="preserve"> </w:t>
      </w:r>
      <w:hyperlink r:id="rId10">
        <w:r>
          <w:rPr>
            <w:rStyle w:val="Hyperlink"/>
          </w:rPr>
          <w:t xml:space="preserve">S09</w:t>
        </w:r>
      </w:hyperlink>
      <w:r>
        <w:t xml:space="preserve">.</w:t>
      </w:r>
    </w:p>
    <w:bookmarkEnd w:id="41"/>
    <w:bookmarkStart w:id="42" w:name="risks-2"/>
    <w:p>
      <w:pPr>
        <w:pStyle w:val="Heading3"/>
      </w:pPr>
      <w:r>
        <w:t xml:space="preserve">Risks</w:t>
      </w:r>
    </w:p>
    <w:p>
      <w:pPr>
        <w:pStyle w:val="Compact"/>
        <w:numPr>
          <w:ilvl w:val="0"/>
          <w:numId w:val="1009"/>
        </w:numPr>
      </w:pPr>
      <w:r>
        <w:t xml:space="preserve">Trust deficit in informal renting can reduce conversion.</w:t>
      </w:r>
    </w:p>
    <w:bookmarkEnd w:id="42"/>
    <w:bookmarkStart w:id="43" w:name="actions-2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0"/>
        </w:numPr>
      </w:pPr>
      <w:r>
        <w:t xml:space="preserve">Use verification and transparent return inspection as key trust differentiators.</w:t>
      </w:r>
    </w:p>
    <w:bookmarkEnd w:id="43"/>
    <w:bookmarkEnd w:id="44"/>
    <w:bookmarkStart w:id="48" w:name="t---technological"/>
    <w:p>
      <w:pPr>
        <w:pStyle w:val="Heading2"/>
      </w:pPr>
      <w:r>
        <w:t xml:space="preserve">T - Technological</w:t>
      </w:r>
    </w:p>
    <w:bookmarkStart w:id="45" w:name="opportunities-3"/>
    <w:p>
      <w:pPr>
        <w:pStyle w:val="Heading3"/>
      </w:pPr>
      <w:r>
        <w:t xml:space="preserve">Opportunities</w:t>
      </w:r>
    </w:p>
    <w:p>
      <w:pPr>
        <w:pStyle w:val="Compact"/>
        <w:numPr>
          <w:ilvl w:val="0"/>
          <w:numId w:val="1011"/>
        </w:numPr>
      </w:pPr>
      <w:r>
        <w:t xml:space="preserve">Strong mobile base enables low-cost demand capture</w:t>
      </w:r>
      <w:r>
        <w:t xml:space="preserve"> </w:t>
      </w:r>
      <w:hyperlink r:id="rId14">
        <w:r>
          <w:rPr>
            <w:rStyle w:val="Hyperlink"/>
          </w:rPr>
          <w:t xml:space="preserve">S15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Improving speeds support richer onboarding and support workflows</w:t>
      </w:r>
      <w:r>
        <w:t xml:space="preserve"> </w:t>
      </w:r>
      <w:hyperlink r:id="rId23">
        <w:r>
          <w:rPr>
            <w:rStyle w:val="Hyperlink"/>
          </w:rPr>
          <w:t xml:space="preserve">S20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S21</w:t>
        </w:r>
      </w:hyperlink>
      <w:r>
        <w:t xml:space="preserve">.</w:t>
      </w:r>
    </w:p>
    <w:bookmarkEnd w:id="45"/>
    <w:bookmarkStart w:id="46" w:name="risks-3"/>
    <w:p>
      <w:pPr>
        <w:pStyle w:val="Heading3"/>
      </w:pPr>
      <w:r>
        <w:t xml:space="preserve">Risks</w:t>
      </w:r>
    </w:p>
    <w:p>
      <w:pPr>
        <w:pStyle w:val="Compact"/>
        <w:numPr>
          <w:ilvl w:val="0"/>
          <w:numId w:val="1012"/>
        </w:numPr>
      </w:pPr>
      <w:r>
        <w:t xml:space="preserve">Device diversity and patchy connectivity still require lightweight architecture.</w:t>
      </w:r>
    </w:p>
    <w:bookmarkEnd w:id="46"/>
    <w:bookmarkStart w:id="47" w:name="actions-3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3"/>
        </w:numPr>
      </w:pPr>
      <w:r>
        <w:t xml:space="preserve">Prioritize mobile performance budgets and asynchronous workflows.</w:t>
      </w:r>
    </w:p>
    <w:bookmarkEnd w:id="47"/>
    <w:bookmarkEnd w:id="48"/>
    <w:bookmarkStart w:id="54" w:name="e---environmental"/>
    <w:p>
      <w:pPr>
        <w:pStyle w:val="Heading2"/>
      </w:pPr>
      <w:r>
        <w:t xml:space="preserve">E - Environmental</w:t>
      </w:r>
    </w:p>
    <w:bookmarkStart w:id="49" w:name="opportunities-4"/>
    <w:p>
      <w:pPr>
        <w:pStyle w:val="Heading3"/>
      </w:pPr>
      <w:r>
        <w:t xml:space="preserve">Opportunities</w:t>
      </w:r>
    </w:p>
    <w:p>
      <w:pPr>
        <w:pStyle w:val="Compact"/>
        <w:numPr>
          <w:ilvl w:val="0"/>
          <w:numId w:val="1014"/>
        </w:numPr>
      </w:pPr>
      <w:r>
        <w:t xml:space="preserve">Rental + refurbishment + resale can reduce waste and improve affordability.</w:t>
      </w:r>
    </w:p>
    <w:bookmarkEnd w:id="49"/>
    <w:bookmarkStart w:id="50" w:name="risks-4"/>
    <w:p>
      <w:pPr>
        <w:pStyle w:val="Heading3"/>
      </w:pPr>
      <w:r>
        <w:t xml:space="preserve">Risks</w:t>
      </w:r>
    </w:p>
    <w:p>
      <w:pPr>
        <w:pStyle w:val="Compact"/>
        <w:numPr>
          <w:ilvl w:val="0"/>
          <w:numId w:val="1015"/>
        </w:numPr>
      </w:pPr>
      <w:r>
        <w:t xml:space="preserve">Poor reverse-logistics execution can offset sustainability and margin goals.</w:t>
      </w:r>
    </w:p>
    <w:bookmarkEnd w:id="50"/>
    <w:bookmarkStart w:id="53" w:name="actions-4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6"/>
        </w:numPr>
      </w:pPr>
      <w:r>
        <w:t xml:space="preserve">Track inventory utilization and non-recoverable damage rate</w:t>
      </w:r>
      <w:r>
        <w:t xml:space="preserve"> </w:t>
      </w:r>
      <w:hyperlink r:id="rId51">
        <w:r>
          <w:rPr>
            <w:rStyle w:val="Hyperlink"/>
          </w:rPr>
          <w:t xml:space="preserve">A22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A23</w:t>
        </w:r>
      </w:hyperlink>
      <w:r>
        <w:t xml:space="preserve">.</w:t>
      </w:r>
    </w:p>
    <w:bookmarkEnd w:id="53"/>
    <w:bookmarkEnd w:id="54"/>
    <w:bookmarkStart w:id="58" w:name="l---legal"/>
    <w:p>
      <w:pPr>
        <w:pStyle w:val="Heading2"/>
      </w:pPr>
      <w:r>
        <w:t xml:space="preserve">L - Legal</w:t>
      </w:r>
    </w:p>
    <w:bookmarkStart w:id="55" w:name="opportunities-5"/>
    <w:p>
      <w:pPr>
        <w:pStyle w:val="Heading3"/>
      </w:pPr>
      <w:r>
        <w:t xml:space="preserve">Opportunities</w:t>
      </w:r>
    </w:p>
    <w:p>
      <w:pPr>
        <w:pStyle w:val="Compact"/>
        <w:numPr>
          <w:ilvl w:val="0"/>
          <w:numId w:val="1017"/>
        </w:numPr>
      </w:pPr>
      <w:r>
        <w:t xml:space="preserve">Compliance-first positioning increases trust with universities and parents.</w:t>
      </w:r>
    </w:p>
    <w:bookmarkEnd w:id="55"/>
    <w:bookmarkStart w:id="56" w:name="risks-5"/>
    <w:p>
      <w:pPr>
        <w:pStyle w:val="Heading3"/>
      </w:pPr>
      <w:r>
        <w:t xml:space="preserve">Risks</w:t>
      </w:r>
    </w:p>
    <w:p>
      <w:pPr>
        <w:pStyle w:val="Compact"/>
        <w:numPr>
          <w:ilvl w:val="0"/>
          <w:numId w:val="1018"/>
        </w:numPr>
      </w:pPr>
      <w:r>
        <w:t xml:space="preserve">Weak consent handling or retention policy gaps can create legal exposure.</w:t>
      </w:r>
    </w:p>
    <w:bookmarkEnd w:id="56"/>
    <w:bookmarkStart w:id="57" w:name="actions-5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9"/>
        </w:numPr>
      </w:pPr>
      <w:r>
        <w:t xml:space="preserve">Explicit consent checkpoints for profile, listing, and dispute data</w:t>
      </w:r>
      <w:r>
        <w:t xml:space="preserve"> </w:t>
      </w:r>
      <w:hyperlink r:id="rId28">
        <w:r>
          <w:rPr>
            <w:rStyle w:val="Hyperlink"/>
          </w:rPr>
          <w:t xml:space="preserve">S23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Data governance SOPs aligned to local law</w:t>
      </w:r>
      <w:r>
        <w:t xml:space="preserve"> </w:t>
      </w:r>
      <w:hyperlink r:id="rId27">
        <w:r>
          <w:rPr>
            <w:rStyle w:val="Hyperlink"/>
          </w:rPr>
          <w:t xml:space="preserve">S22</w:t>
        </w:r>
      </w:hyperlink>
      <w:r>
        <w:t xml:space="preserve">.</w:t>
      </w:r>
    </w:p>
    <w:bookmarkEnd w:id="57"/>
    <w:bookmarkEnd w:id="58"/>
    <w:bookmarkStart w:id="59" w:name="pilot-to-scale-priority-ranking"/>
    <w:p>
      <w:pPr>
        <w:pStyle w:val="Heading2"/>
      </w:pPr>
      <w:r>
        <w:t xml:space="preserve">Pilot-to-Scale Priority Ranking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PESTEL Driver</w:t>
            </w:r>
          </w:p>
        </w:tc>
        <w:tc>
          <w:tcPr/>
          <w:p>
            <w:pPr>
              <w:pStyle w:val="Compact"/>
            </w:pPr>
            <w:r>
              <w:t xml:space="preserve">Why Ranked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Economic</w:t>
            </w:r>
          </w:p>
        </w:tc>
        <w:tc>
          <w:tcPr/>
          <w:p>
            <w:pPr>
              <w:pStyle w:val="Compact"/>
            </w:pPr>
            <w:r>
              <w:t xml:space="preserve">Directly impacts pricing, adoption speed, and churn under student budget pressure.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Trust and behavior determine repeat rentals in campus communities.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Compliance is a prerequisite for institutional partnerships and safe scaling.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Technological</w:t>
            </w:r>
          </w:p>
        </w:tc>
        <w:tc>
          <w:tcPr/>
          <w:p>
            <w:pPr>
              <w:pStyle w:val="Compact"/>
            </w:pPr>
            <w:r>
              <w:t xml:space="preserve">Strong enabler; less likely to be a hard blocker with current penetration levels.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Political</w:t>
            </w:r>
          </w:p>
        </w:tc>
        <w:tc>
          <w:tcPr/>
          <w:p>
            <w:pPr>
              <w:pStyle w:val="Compact"/>
            </w:pPr>
            <w:r>
              <w:t xml:space="preserve">Mostly enabling, but less day-to-day than economics/social fit.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</w:pPr>
            <w:r>
              <w:t xml:space="preserve">Strategic differentiator; immediate financial effect is secondary in early years.</w:t>
            </w:r>
          </w:p>
        </w:tc>
      </w:tr>
    </w:tbl>
    <w:bookmarkEnd w:id="59"/>
    <w:bookmarkStart w:id="6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YallaRent is macro-compatible with Algeria’s demand and digital conditions, but success is highly sensitive to affordability design, trust operations, and legal compliance discipline.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/assumptions.md#a20" TargetMode="External" /><Relationship Type="http://schemas.openxmlformats.org/officeDocument/2006/relationships/hyperlink" Id="rId26" Target="./assumptions.md#a21" TargetMode="External" /><Relationship Type="http://schemas.openxmlformats.org/officeDocument/2006/relationships/hyperlink" Id="rId51" Target="./assumptions.md#a22" TargetMode="External" /><Relationship Type="http://schemas.openxmlformats.org/officeDocument/2006/relationships/hyperlink" Id="rId52" Target="./assumptions.md#a23" TargetMode="External" /><Relationship Type="http://schemas.openxmlformats.org/officeDocument/2006/relationships/hyperlink" Id="rId37" Target="./assumptions.md#a31" TargetMode="External" /><Relationship Type="http://schemas.openxmlformats.org/officeDocument/2006/relationships/hyperlink" Id="rId38" Target="./assumptions.md#a37" TargetMode="External" /><Relationship Type="http://schemas.openxmlformats.org/officeDocument/2006/relationships/hyperlink" Id="rId9" Target="./sources.md#s01" TargetMode="External" /><Relationship Type="http://schemas.openxmlformats.org/officeDocument/2006/relationships/hyperlink" Id="rId18" Target="./sources.md#s03" TargetMode="External" /><Relationship Type="http://schemas.openxmlformats.org/officeDocument/2006/relationships/hyperlink" Id="rId11" Target="./sources.md#s06" TargetMode="External" /><Relationship Type="http://schemas.openxmlformats.org/officeDocument/2006/relationships/hyperlink" Id="rId12" Target="./sources.md#s07" TargetMode="External" /><Relationship Type="http://schemas.openxmlformats.org/officeDocument/2006/relationships/hyperlink" Id="rId10" Target="./sources.md#s09" TargetMode="External" /><Relationship Type="http://schemas.openxmlformats.org/officeDocument/2006/relationships/hyperlink" Id="rId19" Target="./sources.md#s10" TargetMode="External" /><Relationship Type="http://schemas.openxmlformats.org/officeDocument/2006/relationships/hyperlink" Id="rId20" Target="./sources.md#s12" TargetMode="External" /><Relationship Type="http://schemas.openxmlformats.org/officeDocument/2006/relationships/hyperlink" Id="rId14" Target="./sources.md#s15" TargetMode="External" /><Relationship Type="http://schemas.openxmlformats.org/officeDocument/2006/relationships/hyperlink" Id="rId13" Target="./sources.md#s16" TargetMode="External" /><Relationship Type="http://schemas.openxmlformats.org/officeDocument/2006/relationships/hyperlink" Id="rId21" Target="./sources.md#s18" TargetMode="External" /><Relationship Type="http://schemas.openxmlformats.org/officeDocument/2006/relationships/hyperlink" Id="rId22" Target="./sources.md#s19" TargetMode="External" /><Relationship Type="http://schemas.openxmlformats.org/officeDocument/2006/relationships/hyperlink" Id="rId23" Target="./sources.md#s20" TargetMode="External" /><Relationship Type="http://schemas.openxmlformats.org/officeDocument/2006/relationships/hyperlink" Id="rId24" Target="./sources.md#s21" TargetMode="External" /><Relationship Type="http://schemas.openxmlformats.org/officeDocument/2006/relationships/hyperlink" Id="rId27" Target="./sources.md#s22" TargetMode="External" /><Relationship Type="http://schemas.openxmlformats.org/officeDocument/2006/relationships/hyperlink" Id="rId28" Target="./sources.md#s23" TargetMode="External" /><Relationship Type="http://schemas.openxmlformats.org/officeDocument/2006/relationships/hyperlink" Id="rId16" Target="./sources.md#s24" TargetMode="External" /><Relationship Type="http://schemas.openxmlformats.org/officeDocument/2006/relationships/hyperlink" Id="rId17" Target="./sources.md#s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/assumptions.md#a20" TargetMode="External" /><Relationship Type="http://schemas.openxmlformats.org/officeDocument/2006/relationships/hyperlink" Id="rId26" Target="./assumptions.md#a21" TargetMode="External" /><Relationship Type="http://schemas.openxmlformats.org/officeDocument/2006/relationships/hyperlink" Id="rId51" Target="./assumptions.md#a22" TargetMode="External" /><Relationship Type="http://schemas.openxmlformats.org/officeDocument/2006/relationships/hyperlink" Id="rId52" Target="./assumptions.md#a23" TargetMode="External" /><Relationship Type="http://schemas.openxmlformats.org/officeDocument/2006/relationships/hyperlink" Id="rId37" Target="./assumptions.md#a31" TargetMode="External" /><Relationship Type="http://schemas.openxmlformats.org/officeDocument/2006/relationships/hyperlink" Id="rId38" Target="./assumptions.md#a37" TargetMode="External" /><Relationship Type="http://schemas.openxmlformats.org/officeDocument/2006/relationships/hyperlink" Id="rId9" Target="./sources.md#s01" TargetMode="External" /><Relationship Type="http://schemas.openxmlformats.org/officeDocument/2006/relationships/hyperlink" Id="rId18" Target="./sources.md#s03" TargetMode="External" /><Relationship Type="http://schemas.openxmlformats.org/officeDocument/2006/relationships/hyperlink" Id="rId11" Target="./sources.md#s06" TargetMode="External" /><Relationship Type="http://schemas.openxmlformats.org/officeDocument/2006/relationships/hyperlink" Id="rId12" Target="./sources.md#s07" TargetMode="External" /><Relationship Type="http://schemas.openxmlformats.org/officeDocument/2006/relationships/hyperlink" Id="rId10" Target="./sources.md#s09" TargetMode="External" /><Relationship Type="http://schemas.openxmlformats.org/officeDocument/2006/relationships/hyperlink" Id="rId19" Target="./sources.md#s10" TargetMode="External" /><Relationship Type="http://schemas.openxmlformats.org/officeDocument/2006/relationships/hyperlink" Id="rId20" Target="./sources.md#s12" TargetMode="External" /><Relationship Type="http://schemas.openxmlformats.org/officeDocument/2006/relationships/hyperlink" Id="rId14" Target="./sources.md#s15" TargetMode="External" /><Relationship Type="http://schemas.openxmlformats.org/officeDocument/2006/relationships/hyperlink" Id="rId13" Target="./sources.md#s16" TargetMode="External" /><Relationship Type="http://schemas.openxmlformats.org/officeDocument/2006/relationships/hyperlink" Id="rId21" Target="./sources.md#s18" TargetMode="External" /><Relationship Type="http://schemas.openxmlformats.org/officeDocument/2006/relationships/hyperlink" Id="rId22" Target="./sources.md#s19" TargetMode="External" /><Relationship Type="http://schemas.openxmlformats.org/officeDocument/2006/relationships/hyperlink" Id="rId23" Target="./sources.md#s20" TargetMode="External" /><Relationship Type="http://schemas.openxmlformats.org/officeDocument/2006/relationships/hyperlink" Id="rId24" Target="./sources.md#s21" TargetMode="External" /><Relationship Type="http://schemas.openxmlformats.org/officeDocument/2006/relationships/hyperlink" Id="rId27" Target="./sources.md#s22" TargetMode="External" /><Relationship Type="http://schemas.openxmlformats.org/officeDocument/2006/relationships/hyperlink" Id="rId28" Target="./sources.md#s23" TargetMode="External" /><Relationship Type="http://schemas.openxmlformats.org/officeDocument/2006/relationships/hyperlink" Id="rId16" Target="./sources.md#s24" TargetMode="External" /><Relationship Type="http://schemas.openxmlformats.org/officeDocument/2006/relationships/hyperlink" Id="rId17" Target="./sources.md#s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2026-04-24T11:16:28Z</dcterms:created>
  <dcterms:modified xsi:type="dcterms:W3CDTF">2026-04-24T11:16:28Z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