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a12fc2ddc910177d77863489b528324dd82cbcd"/>
    <w:p>
      <w:pPr>
        <w:pStyle w:val="Heading1"/>
      </w:pPr>
      <w:r>
        <w:t xml:space="preserve">PORTER 5+1 Analysis - YallaRent (Algeria, Pilot-First)</w:t>
      </w:r>
    </w:p>
    <w:bookmarkStart w:id="12" w:name="scope-and-method"/>
    <w:p>
      <w:pPr>
        <w:pStyle w:val="Heading2"/>
      </w:pPr>
      <w:r>
        <w:t xml:space="preserve">Scope and Method</w:t>
      </w:r>
    </w:p>
    <w:p>
      <w:pPr>
        <w:pStyle w:val="Compact"/>
        <w:numPr>
          <w:ilvl w:val="0"/>
          <w:numId w:val="1001"/>
        </w:numPr>
      </w:pPr>
      <w:r>
        <w:t xml:space="preserve">Framework: Porter 5 Forces + 1 complementor force.</w:t>
      </w:r>
    </w:p>
    <w:p>
      <w:pPr>
        <w:pStyle w:val="Compact"/>
        <w:numPr>
          <w:ilvl w:val="0"/>
          <w:numId w:val="1001"/>
        </w:numPr>
      </w:pPr>
      <w:r>
        <w:t xml:space="preserve">Sector: Student equipment rental and sharing infrastructure for Algerian higher education.</w:t>
      </w:r>
    </w:p>
    <w:p>
      <w:pPr>
        <w:pStyle w:val="Compact"/>
        <w:numPr>
          <w:ilvl w:val="0"/>
          <w:numId w:val="1001"/>
        </w:numPr>
      </w:pPr>
      <w:r>
        <w:t xml:space="preserve">Timeframe: Launch AY 2026/2027 through Year 5 rollout.</w:t>
      </w:r>
    </w:p>
    <w:p>
      <w:pPr>
        <w:pStyle w:val="Compact"/>
        <w:numPr>
          <w:ilvl w:val="0"/>
          <w:numId w:val="1001"/>
        </w:numPr>
      </w:pPr>
      <w:r>
        <w:t xml:space="preserve">Market baseline:</w:t>
      </w:r>
    </w:p>
    <w:p>
      <w:pPr>
        <w:pStyle w:val="Compact"/>
        <w:numPr>
          <w:ilvl w:val="1"/>
          <w:numId w:val="1002"/>
        </w:numPr>
      </w:pPr>
      <w:r>
        <w:t xml:space="preserve">1,530,230 enrolled university students in 2024/2025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</w:p>
    <w:p>
      <w:pPr>
        <w:pStyle w:val="Compact"/>
        <w:numPr>
          <w:ilvl w:val="1"/>
          <w:numId w:val="1002"/>
        </w:numPr>
      </w:pPr>
      <w:r>
        <w:t xml:space="preserve">54.8 million mobile connections in early 2025</w:t>
      </w:r>
      <w:r>
        <w:t xml:space="preserve"> </w:t>
      </w:r>
      <w:hyperlink r:id="rId10">
        <w:r>
          <w:rPr>
            <w:rStyle w:val="Hyperlink"/>
          </w:rPr>
          <w:t xml:space="preserve">S15</w:t>
        </w:r>
      </w:hyperlink>
    </w:p>
    <w:p>
      <w:pPr>
        <w:pStyle w:val="Compact"/>
        <w:numPr>
          <w:ilvl w:val="1"/>
          <w:numId w:val="1002"/>
        </w:numPr>
      </w:pPr>
      <w:r>
        <w:t xml:space="preserve">36.2 million internet users in early 2025</w:t>
      </w:r>
      <w:r>
        <w:t xml:space="preserve"> </w:t>
      </w:r>
      <w:hyperlink r:id="rId11">
        <w:r>
          <w:rPr>
            <w:rStyle w:val="Hyperlink"/>
          </w:rPr>
          <w:t xml:space="preserve">S16</w:t>
        </w:r>
      </w:hyperlink>
    </w:p>
    <w:bookmarkEnd w:id="12"/>
    <w:bookmarkStart w:id="17" w:name="force-intensity-snapshot"/>
    <w:p>
      <w:pPr>
        <w:pStyle w:val="Heading2"/>
      </w:pPr>
      <w:r>
        <w:t xml:space="preserve">Force Intensity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Intensity (1-5)</w:t>
            </w:r>
          </w:p>
        </w:tc>
        <w:tc>
          <w:tcPr/>
          <w:p>
            <w:pPr>
              <w:pStyle w:val="Compact"/>
            </w:pPr>
            <w:r>
              <w:t xml:space="preserve">Why It Matters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Inventory, repair capacity, and campus-adjacent storage are operationally critical in early years.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Student budgets are constrained by high youth unemployment and inflation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S06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S07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of Substitutes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Informal buy/sell channels already exist (classifieds and social channels)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S26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S27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of New Entrants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Product can be copied digitally, but trust + logistics + compliance create execution barriers.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Rivalry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Local players are fragmented by category (classifieds vs. equipment rental vs. furniture).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Complementors (+1)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 (positive)</w:t>
            </w:r>
          </w:p>
        </w:tc>
        <w:tc>
          <w:tcPr/>
          <w:p>
            <w:pPr>
              <w:pStyle w:val="Compact"/>
            </w:pPr>
            <w:r>
              <w:t xml:space="preserve">Universities, delivery partners, and repair networks can materially accelerate adoption.</w:t>
            </w:r>
          </w:p>
        </w:tc>
      </w:tr>
    </w:tbl>
    <w:bookmarkEnd w:id="17"/>
    <w:bookmarkStart w:id="21" w:name="supplier-power-medium"/>
    <w:p>
      <w:pPr>
        <w:pStyle w:val="Heading2"/>
      </w:pPr>
      <w:r>
        <w:t xml:space="preserve">1) Supplier Power (Medium)</w:t>
      </w:r>
    </w:p>
    <w:bookmarkStart w:id="18" w:name="main-supplier-groups"/>
    <w:p>
      <w:pPr>
        <w:pStyle w:val="Heading3"/>
      </w:pPr>
      <w:r>
        <w:t xml:space="preserve">Main supplier groups</w:t>
      </w:r>
    </w:p>
    <w:p>
      <w:pPr>
        <w:pStyle w:val="Compact"/>
        <w:numPr>
          <w:ilvl w:val="0"/>
          <w:numId w:val="1003"/>
        </w:numPr>
      </w:pPr>
      <w:r>
        <w:t xml:space="preserve">Equipment suppliers and second-hand channels for desks/fans/fridges.</w:t>
      </w:r>
    </w:p>
    <w:p>
      <w:pPr>
        <w:pStyle w:val="Compact"/>
        <w:numPr>
          <w:ilvl w:val="0"/>
          <w:numId w:val="1003"/>
        </w:numPr>
      </w:pPr>
      <w:r>
        <w:t xml:space="preserve">Hub and storage operators near campuses.</w:t>
      </w:r>
    </w:p>
    <w:p>
      <w:pPr>
        <w:pStyle w:val="Compact"/>
        <w:numPr>
          <w:ilvl w:val="0"/>
          <w:numId w:val="1003"/>
        </w:numPr>
      </w:pPr>
      <w:r>
        <w:t xml:space="preserve">Repair technicians and refurbishment capacity.</w:t>
      </w:r>
    </w:p>
    <w:p>
      <w:pPr>
        <w:pStyle w:val="Compact"/>
        <w:numPr>
          <w:ilvl w:val="0"/>
          <w:numId w:val="1003"/>
        </w:numPr>
      </w:pPr>
      <w:r>
        <w:t xml:space="preserve">Cloud/infra and payment providers.</w:t>
      </w:r>
    </w:p>
    <w:bookmarkEnd w:id="18"/>
    <w:bookmarkStart w:id="19" w:name="quantitative-signals"/>
    <w:p>
      <w:pPr>
        <w:pStyle w:val="Heading3"/>
      </w:pPr>
      <w:r>
        <w:t xml:space="preserve">Quantitative signals</w:t>
      </w:r>
    </w:p>
    <w:p>
      <w:pPr>
        <w:pStyle w:val="Compact"/>
        <w:numPr>
          <w:ilvl w:val="0"/>
          <w:numId w:val="1004"/>
        </w:numPr>
      </w:pPr>
      <w:r>
        <w:t xml:space="preserve">Scale runway exists: Algeria’s student base is 1,530,230</w:t>
      </w:r>
      <w:r>
        <w:t xml:space="preserve"> </w:t>
      </w:r>
      <w:hyperlink r:id="rId9">
        <w:r>
          <w:rPr>
            <w:rStyle w:val="Hyperlink"/>
          </w:rPr>
          <w:t xml:space="preserve">S09</w:t>
        </w:r>
      </w:hyperlink>
      <w:r>
        <w:t xml:space="preserve">, allowing procurement diversification across campuses.</w:t>
      </w:r>
    </w:p>
    <w:p>
      <w:pPr>
        <w:pStyle w:val="Compact"/>
        <w:numPr>
          <w:ilvl w:val="0"/>
          <w:numId w:val="1004"/>
        </w:numPr>
      </w:pPr>
      <w:r>
        <w:t xml:space="preserve">Inflation pressure (4.046%) increases replacement and procurement risk</w:t>
      </w:r>
      <w:r>
        <w:t xml:space="preserve"> </w:t>
      </w:r>
      <w:hyperlink r:id="rId14">
        <w:r>
          <w:rPr>
            <w:rStyle w:val="Hyperlink"/>
          </w:rPr>
          <w:t xml:space="preserve">S07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Mobile-led access (54.8M connections) supports lower digital distribution cost but not lower hardware cost</w:t>
      </w:r>
      <w:r>
        <w:t xml:space="preserve"> </w:t>
      </w:r>
      <w:hyperlink r:id="rId10">
        <w:r>
          <w:rPr>
            <w:rStyle w:val="Hyperlink"/>
          </w:rPr>
          <w:t xml:space="preserve">S15</w:t>
        </w:r>
      </w:hyperlink>
      <w:r>
        <w:t xml:space="preserve">.</w:t>
      </w:r>
    </w:p>
    <w:bookmarkEnd w:id="19"/>
    <w:bookmarkStart w:id="20" w:name="net-assessment"/>
    <w:p>
      <w:pPr>
        <w:pStyle w:val="Heading3"/>
      </w:pPr>
      <w:r>
        <w:t xml:space="preserve">Net assessment</w:t>
      </w:r>
    </w:p>
    <w:p>
      <w:pPr>
        <w:pStyle w:val="FirstParagraph"/>
      </w:pPr>
      <w:r>
        <w:t xml:space="preserve">Supplier power is not extreme because categories are broad and substitutable, but pilot-stage operations are vulnerable to stockouts in high-demand seasons.</w:t>
      </w:r>
    </w:p>
    <w:bookmarkEnd w:id="20"/>
    <w:bookmarkEnd w:id="21"/>
    <w:bookmarkStart w:id="26" w:name="buyer-power-high"/>
    <w:p>
      <w:pPr>
        <w:pStyle w:val="Heading2"/>
      </w:pPr>
      <w:r>
        <w:t xml:space="preserve">2) Buyer Power (High)</w:t>
      </w:r>
    </w:p>
    <w:bookmarkStart w:id="23" w:name="demand-side-realities"/>
    <w:p>
      <w:pPr>
        <w:pStyle w:val="Heading3"/>
      </w:pPr>
      <w:r>
        <w:t xml:space="preserve">Demand-side realities</w:t>
      </w:r>
    </w:p>
    <w:p>
      <w:pPr>
        <w:pStyle w:val="Compact"/>
        <w:numPr>
          <w:ilvl w:val="0"/>
          <w:numId w:val="1005"/>
        </w:numPr>
      </w:pPr>
      <w:r>
        <w:t xml:space="preserve">Affordability pressure is high: youth unemployment is 29.444% and total unemployment is 11.633%</w:t>
      </w:r>
      <w:r>
        <w:t xml:space="preserve"> </w:t>
      </w:r>
      <w:hyperlink r:id="rId13">
        <w:r>
          <w:rPr>
            <w:rStyle w:val="Hyperlink"/>
          </w:rPr>
          <w:t xml:space="preserve">S06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S05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Student users can defer or switch to informal options quickly when price or trust is poor.</w:t>
      </w:r>
    </w:p>
    <w:p>
      <w:pPr>
        <w:pStyle w:val="Compact"/>
        <w:numPr>
          <w:ilvl w:val="0"/>
          <w:numId w:val="1005"/>
        </w:numPr>
      </w:pPr>
      <w:r>
        <w:t xml:space="preserve">Digital expectations are strong due high internet penetration (76.9%)</w:t>
      </w:r>
      <w:r>
        <w:t xml:space="preserve"> </w:t>
      </w:r>
      <w:hyperlink r:id="rId11">
        <w:r>
          <w:rPr>
            <w:rStyle w:val="Hyperlink"/>
          </w:rPr>
          <w:t xml:space="preserve">S16</w:t>
        </w:r>
      </w:hyperlink>
      <w:r>
        <w:t xml:space="preserve">.</w:t>
      </w:r>
    </w:p>
    <w:bookmarkEnd w:id="23"/>
    <w:bookmarkStart w:id="24" w:name="implications-for-yallarent"/>
    <w:p>
      <w:pPr>
        <w:pStyle w:val="Heading3"/>
      </w:pPr>
      <w:r>
        <w:t xml:space="preserve">Implications for YallaRent</w:t>
      </w:r>
    </w:p>
    <w:p>
      <w:pPr>
        <w:pStyle w:val="Compact"/>
        <w:numPr>
          <w:ilvl w:val="0"/>
          <w:numId w:val="1006"/>
        </w:numPr>
      </w:pPr>
      <w:r>
        <w:t xml:space="preserve">Price elasticity is meaningful in core categories.</w:t>
      </w:r>
    </w:p>
    <w:p>
      <w:pPr>
        <w:pStyle w:val="Compact"/>
        <w:numPr>
          <w:ilvl w:val="0"/>
          <w:numId w:val="1006"/>
        </w:numPr>
      </w:pPr>
      <w:r>
        <w:t xml:space="preserve">Trust and convenience must offset price-only alternatives.</w:t>
      </w:r>
    </w:p>
    <w:p>
      <w:pPr>
        <w:pStyle w:val="Compact"/>
        <w:numPr>
          <w:ilvl w:val="0"/>
          <w:numId w:val="1006"/>
        </w:numPr>
      </w:pPr>
      <w:r>
        <w:t xml:space="preserve">Bundles and subscriptions reduce monthly decision friction.</w:t>
      </w:r>
    </w:p>
    <w:bookmarkEnd w:id="24"/>
    <w:bookmarkStart w:id="25" w:name="net-assessment-1"/>
    <w:p>
      <w:pPr>
        <w:pStyle w:val="Heading3"/>
      </w:pPr>
      <w:r>
        <w:t xml:space="preserve">Net assessment</w:t>
      </w:r>
    </w:p>
    <w:p>
      <w:pPr>
        <w:pStyle w:val="FirstParagraph"/>
      </w:pPr>
      <w:r>
        <w:t xml:space="preserve">Buyer power remains high throughout Years 1-3; value must be defended through reliability, bundle economics, and safer transactions.</w:t>
      </w:r>
    </w:p>
    <w:bookmarkEnd w:id="25"/>
    <w:bookmarkEnd w:id="26"/>
    <w:bookmarkStart w:id="31" w:name="threat-of-substitutes-very-high"/>
    <w:p>
      <w:pPr>
        <w:pStyle w:val="Heading2"/>
      </w:pPr>
      <w:r>
        <w:t xml:space="preserve">3) Threat of Substitutes (Very High)</w:t>
      </w:r>
    </w:p>
    <w:bookmarkStart w:id="28" w:name="substitute-channels"/>
    <w:p>
      <w:pPr>
        <w:pStyle w:val="Heading3"/>
      </w:pPr>
      <w:r>
        <w:t xml:space="preserve">Substitute channels</w:t>
      </w:r>
    </w:p>
    <w:p>
      <w:pPr>
        <w:pStyle w:val="Compact"/>
        <w:numPr>
          <w:ilvl w:val="0"/>
          <w:numId w:val="1007"/>
        </w:numPr>
      </w:pPr>
      <w:r>
        <w:t xml:space="preserve">Ouedkniss classified market presence</w:t>
      </w:r>
      <w:r>
        <w:t xml:space="preserve"> </w:t>
      </w:r>
      <w:hyperlink r:id="rId15">
        <w:r>
          <w:rPr>
            <w:rStyle w:val="Hyperlink"/>
          </w:rPr>
          <w:t xml:space="preserve">S26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OpenSooq furniture listings for Algeria</w:t>
      </w:r>
      <w:r>
        <w:t xml:space="preserve"> </w:t>
      </w:r>
      <w:hyperlink r:id="rId16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Informal social and neighborhood lending/selling.</w:t>
      </w:r>
    </w:p>
    <w:p>
      <w:pPr>
        <w:pStyle w:val="Compact"/>
        <w:numPr>
          <w:ilvl w:val="0"/>
          <w:numId w:val="1007"/>
        </w:numPr>
      </w:pPr>
      <w:r>
        <w:t xml:space="preserve">Category-specific rental (e.g., equipment rental model from Dirleco)</w:t>
      </w:r>
      <w:r>
        <w:t xml:space="preserve"> </w:t>
      </w:r>
      <w:hyperlink r:id="rId27">
        <w:r>
          <w:rPr>
            <w:rStyle w:val="Hyperlink"/>
          </w:rPr>
          <w:t xml:space="preserve">S28</w:t>
        </w:r>
      </w:hyperlink>
      <w:r>
        <w:t xml:space="preserve">.</w:t>
      </w:r>
    </w:p>
    <w:bookmarkEnd w:id="28"/>
    <w:bookmarkStart w:id="29" w:name="why-substitute-risk-is-elevated"/>
    <w:p>
      <w:pPr>
        <w:pStyle w:val="Heading3"/>
      </w:pPr>
      <w:r>
        <w:t xml:space="preserve">Why substitute risk is elevated</w:t>
      </w:r>
    </w:p>
    <w:p>
      <w:pPr>
        <w:pStyle w:val="Compact"/>
        <w:numPr>
          <w:ilvl w:val="0"/>
          <w:numId w:val="1008"/>
        </w:numPr>
      </w:pPr>
      <w:r>
        <w:t xml:space="preserve">Switching cost is near-zero for many student decisions.</w:t>
      </w:r>
    </w:p>
    <w:p>
      <w:pPr>
        <w:pStyle w:val="Compact"/>
        <w:numPr>
          <w:ilvl w:val="0"/>
          <w:numId w:val="1008"/>
        </w:numPr>
      </w:pPr>
      <w:r>
        <w:t xml:space="preserve">Informal channels often appear cheaper upfront.</w:t>
      </w:r>
    </w:p>
    <w:p>
      <w:pPr>
        <w:pStyle w:val="Compact"/>
        <w:numPr>
          <w:ilvl w:val="0"/>
          <w:numId w:val="1008"/>
        </w:numPr>
      </w:pPr>
      <w:r>
        <w:t xml:space="preserve">Substitutes do not require platform onboarding.</w:t>
      </w:r>
    </w:p>
    <w:bookmarkEnd w:id="29"/>
    <w:bookmarkStart w:id="30" w:name="yallarent-defense"/>
    <w:p>
      <w:pPr>
        <w:pStyle w:val="Heading3"/>
      </w:pPr>
      <w:r>
        <w:t xml:space="preserve">YallaRent defense</w:t>
      </w:r>
    </w:p>
    <w:p>
      <w:pPr>
        <w:pStyle w:val="Compact"/>
        <w:numPr>
          <w:ilvl w:val="0"/>
          <w:numId w:val="1009"/>
        </w:numPr>
      </w:pPr>
      <w:r>
        <w:t xml:space="preserve">Verified identities and structured return workflow.</w:t>
      </w:r>
    </w:p>
    <w:p>
      <w:pPr>
        <w:pStyle w:val="Compact"/>
        <w:numPr>
          <w:ilvl w:val="0"/>
          <w:numId w:val="1009"/>
        </w:numPr>
      </w:pPr>
      <w:r>
        <w:t xml:space="preserve">Deposit + protection + condition checks.</w:t>
      </w:r>
    </w:p>
    <w:p>
      <w:pPr>
        <w:pStyle w:val="Compact"/>
        <w:numPr>
          <w:ilvl w:val="0"/>
          <w:numId w:val="1009"/>
        </w:numPr>
      </w:pPr>
      <w:r>
        <w:t xml:space="preserve">Campus hub convenience and bundled kits.</w:t>
      </w:r>
    </w:p>
    <w:bookmarkEnd w:id="30"/>
    <w:bookmarkEnd w:id="31"/>
    <w:bookmarkStart w:id="39" w:name="threat-of-new-entrants-medium-high"/>
    <w:p>
      <w:pPr>
        <w:pStyle w:val="Heading2"/>
      </w:pPr>
      <w:r>
        <w:t xml:space="preserve">4) Threat of New Entrants (Medium-High)</w:t>
      </w:r>
    </w:p>
    <w:bookmarkStart w:id="34" w:name="entry-barriers"/>
    <w:p>
      <w:pPr>
        <w:pStyle w:val="Heading3"/>
      </w:pPr>
      <w:r>
        <w:t xml:space="preserve">Entry barriers</w:t>
      </w:r>
    </w:p>
    <w:p>
      <w:pPr>
        <w:pStyle w:val="Compact"/>
        <w:numPr>
          <w:ilvl w:val="0"/>
          <w:numId w:val="1010"/>
        </w:numPr>
      </w:pPr>
      <w:r>
        <w:t xml:space="preserve">Software entry barrier is moderate due mobile access and commodity cloud stack.</w:t>
      </w:r>
    </w:p>
    <w:p>
      <w:pPr>
        <w:pStyle w:val="Compact"/>
        <w:numPr>
          <w:ilvl w:val="0"/>
          <w:numId w:val="1010"/>
        </w:numPr>
      </w:pPr>
      <w:r>
        <w:t xml:space="preserve">Operational barrier is higher: physical inventory, inspection workflow, and campus logistics are harder to replicate quickly.</w:t>
      </w:r>
    </w:p>
    <w:p>
      <w:pPr>
        <w:pStyle w:val="Compact"/>
        <w:numPr>
          <w:ilvl w:val="0"/>
          <w:numId w:val="1010"/>
        </w:numPr>
      </w:pPr>
      <w:r>
        <w:t xml:space="preserve">Legal/compliance barrier: personal-data obligations under Law 18-07, including consent and regulatory controls</w:t>
      </w:r>
      <w:r>
        <w:t xml:space="preserve"> </w:t>
      </w:r>
      <w:hyperlink r:id="rId32">
        <w:r>
          <w:rPr>
            <w:rStyle w:val="Hyperlink"/>
          </w:rPr>
          <w:t xml:space="preserve">S22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S23</w:t>
        </w:r>
      </w:hyperlink>
      <w:r>
        <w:t xml:space="preserve">.</w:t>
      </w:r>
    </w:p>
    <w:bookmarkEnd w:id="34"/>
    <w:bookmarkStart w:id="37" w:name="entry-accelerators"/>
    <w:p>
      <w:pPr>
        <w:pStyle w:val="Heading3"/>
      </w:pPr>
      <w:r>
        <w:t xml:space="preserve">Entry accelerators</w:t>
      </w:r>
    </w:p>
    <w:p>
      <w:pPr>
        <w:pStyle w:val="Compact"/>
        <w:numPr>
          <w:ilvl w:val="0"/>
          <w:numId w:val="1011"/>
        </w:numPr>
      </w:pPr>
      <w:r>
        <w:t xml:space="preserve">Startup labeling support (4-year label renewable once) can lower initial institutional friction for new players</w:t>
      </w:r>
      <w:r>
        <w:t xml:space="preserve"> </w:t>
      </w:r>
      <w:hyperlink r:id="rId35">
        <w:r>
          <w:rPr>
            <w:rStyle w:val="Hyperlink"/>
          </w:rPr>
          <w:t xml:space="preserve">S24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S25</w:t>
        </w:r>
      </w:hyperlink>
      <w:r>
        <w:t xml:space="preserve">.</w:t>
      </w:r>
    </w:p>
    <w:bookmarkEnd w:id="37"/>
    <w:bookmarkStart w:id="38" w:name="net-assessment-2"/>
    <w:p>
      <w:pPr>
        <w:pStyle w:val="Heading3"/>
      </w:pPr>
      <w:r>
        <w:t xml:space="preserve">Net assessment</w:t>
      </w:r>
    </w:p>
    <w:p>
      <w:pPr>
        <w:pStyle w:val="FirstParagraph"/>
      </w:pPr>
      <w:r>
        <w:t xml:space="preserve">Entrants can launch apps quickly, but scaling trustworthy campus operations remains the true barrier.</w:t>
      </w:r>
    </w:p>
    <w:bookmarkEnd w:id="38"/>
    <w:bookmarkEnd w:id="39"/>
    <w:bookmarkStart w:id="44" w:name="competitive-rivalry-medium"/>
    <w:p>
      <w:pPr>
        <w:pStyle w:val="Heading2"/>
      </w:pPr>
      <w:r>
        <w:t xml:space="preserve">5) Competitive Rivalry (Medium)</w:t>
      </w:r>
    </w:p>
    <w:bookmarkStart w:id="42" w:name="current-rivalry-shape"/>
    <w:p>
      <w:pPr>
        <w:pStyle w:val="Heading3"/>
      </w:pPr>
      <w:r>
        <w:t xml:space="preserve">Current rivalry shape</w:t>
      </w:r>
    </w:p>
    <w:p>
      <w:pPr>
        <w:pStyle w:val="Compact"/>
        <w:numPr>
          <w:ilvl w:val="0"/>
          <w:numId w:val="1012"/>
        </w:numPr>
      </w:pPr>
      <w:r>
        <w:t xml:space="preserve">Fragmented rivalry across formats, not one dominant student-rental specialist.</w:t>
      </w:r>
    </w:p>
    <w:p>
      <w:pPr>
        <w:pStyle w:val="Compact"/>
        <w:numPr>
          <w:ilvl w:val="0"/>
          <w:numId w:val="1012"/>
        </w:numPr>
      </w:pPr>
      <w:r>
        <w:t xml:space="preserve">Local alternatives are broad marketplaces (classifieds/listings), not full campus infrastructure stacks</w:t>
      </w:r>
      <w:r>
        <w:t xml:space="preserve"> </w:t>
      </w:r>
      <w:hyperlink r:id="rId15">
        <w:r>
          <w:rPr>
            <w:rStyle w:val="Hyperlink"/>
          </w:rPr>
          <w:t xml:space="preserve">S26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S27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International references (e.g., student packages) validate demand mechanics and packaging discipline</w:t>
      </w:r>
      <w:r>
        <w:t xml:space="preserve"> </w:t>
      </w:r>
      <w:hyperlink r:id="rId40">
        <w:r>
          <w:rPr>
            <w:rStyle w:val="Hyperlink"/>
          </w:rPr>
          <w:t xml:space="preserve">S29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S30</w:t>
        </w:r>
      </w:hyperlink>
      <w:r>
        <w:t xml:space="preserve">.</w:t>
      </w:r>
    </w:p>
    <w:bookmarkEnd w:id="42"/>
    <w:bookmarkStart w:id="43" w:name="rivalry-trend-over-5-years"/>
    <w:p>
      <w:pPr>
        <w:pStyle w:val="Heading3"/>
      </w:pPr>
      <w:r>
        <w:t xml:space="preserve">Rivalry trend over 5 years</w:t>
      </w:r>
    </w:p>
    <w:p>
      <w:pPr>
        <w:pStyle w:val="Compact"/>
        <w:numPr>
          <w:ilvl w:val="0"/>
          <w:numId w:val="1013"/>
        </w:numPr>
      </w:pPr>
      <w:r>
        <w:t xml:space="preserve">Expected to increase after visible pilot traction (Year 2+).</w:t>
      </w:r>
    </w:p>
    <w:p>
      <w:pPr>
        <w:pStyle w:val="Compact"/>
        <w:numPr>
          <w:ilvl w:val="0"/>
          <w:numId w:val="1013"/>
        </w:numPr>
      </w:pPr>
      <w:r>
        <w:t xml:space="preserve">Rivalry shifts from catalog breadth to reliability and operational density near campuses.</w:t>
      </w:r>
    </w:p>
    <w:bookmarkEnd w:id="43"/>
    <w:bookmarkEnd w:id="44"/>
    <w:bookmarkStart w:id="50" w:name="complementors-high-positive-force"/>
    <w:p>
      <w:pPr>
        <w:pStyle w:val="Heading2"/>
      </w:pPr>
      <w:r>
        <w:t xml:space="preserve">+1) Complementors (High Positive Force)</w:t>
      </w:r>
    </w:p>
    <w:bookmarkStart w:id="45" w:name="key-complementors"/>
    <w:p>
      <w:pPr>
        <w:pStyle w:val="Heading3"/>
      </w:pPr>
      <w:r>
        <w:t xml:space="preserve">Key complementors</w:t>
      </w:r>
    </w:p>
    <w:p>
      <w:pPr>
        <w:pStyle w:val="Compact"/>
        <w:numPr>
          <w:ilvl w:val="0"/>
          <w:numId w:val="1014"/>
        </w:numPr>
      </w:pPr>
      <w:r>
        <w:t xml:space="preserve">University administrations and student services.</w:t>
      </w:r>
    </w:p>
    <w:p>
      <w:pPr>
        <w:pStyle w:val="Compact"/>
        <w:numPr>
          <w:ilvl w:val="0"/>
          <w:numId w:val="1014"/>
        </w:numPr>
      </w:pPr>
      <w:r>
        <w:t xml:space="preserve">Student clubs and ambassadors.</w:t>
      </w:r>
    </w:p>
    <w:p>
      <w:pPr>
        <w:pStyle w:val="Compact"/>
        <w:numPr>
          <w:ilvl w:val="0"/>
          <w:numId w:val="1014"/>
        </w:numPr>
      </w:pPr>
      <w:r>
        <w:t xml:space="preserve">Local delivery and repair partners.</w:t>
      </w:r>
    </w:p>
    <w:p>
      <w:pPr>
        <w:pStyle w:val="Compact"/>
        <w:numPr>
          <w:ilvl w:val="0"/>
          <w:numId w:val="1014"/>
        </w:numPr>
      </w:pPr>
      <w:r>
        <w:t xml:space="preserve">Payment and identity-verification ecosystem.</w:t>
      </w:r>
    </w:p>
    <w:bookmarkEnd w:id="45"/>
    <w:bookmarkStart w:id="48" w:name="quantitative-leverage-points"/>
    <w:p>
      <w:pPr>
        <w:pStyle w:val="Heading3"/>
      </w:pPr>
      <w:r>
        <w:t xml:space="preserve">Quantitative leverage points</w:t>
      </w:r>
    </w:p>
    <w:p>
      <w:pPr>
        <w:pStyle w:val="Compact"/>
        <w:numPr>
          <w:ilvl w:val="0"/>
          <w:numId w:val="1015"/>
        </w:numPr>
      </w:pPr>
      <w:r>
        <w:t xml:space="preserve">Algeria’s higher-education network includes 117 institutions</w:t>
      </w:r>
      <w:r>
        <w:t xml:space="preserve"> </w:t>
      </w:r>
      <w:hyperlink r:id="rId46">
        <w:r>
          <w:rPr>
            <w:rStyle w:val="Hyperlink"/>
          </w:rPr>
          <w:t xml:space="preserve">S12</w:t>
        </w:r>
      </w:hyperlink>
      <w:r>
        <w:t xml:space="preserve">, enabling phased expansion playbooks.</w:t>
      </w:r>
    </w:p>
    <w:p>
      <w:pPr>
        <w:pStyle w:val="Compact"/>
        <w:numPr>
          <w:ilvl w:val="0"/>
          <w:numId w:val="1015"/>
        </w:numPr>
      </w:pPr>
      <w:r>
        <w:t xml:space="preserve">University housing and mobility context supports hub-based service models at scale</w:t>
      </w:r>
      <w:r>
        <w:t xml:space="preserve"> </w:t>
      </w:r>
      <w:hyperlink r:id="rId47">
        <w:r>
          <w:rPr>
            <w:rStyle w:val="Hyperlink"/>
          </w:rPr>
          <w:t xml:space="preserve">S14</w:t>
        </w:r>
      </w:hyperlink>
      <w:r>
        <w:t xml:space="preserve">.</w:t>
      </w:r>
    </w:p>
    <w:bookmarkEnd w:id="48"/>
    <w:bookmarkStart w:id="49" w:name="net-assessment-3"/>
    <w:p>
      <w:pPr>
        <w:pStyle w:val="Heading3"/>
      </w:pPr>
      <w:r>
        <w:t xml:space="preserve">Net assessment</w:t>
      </w:r>
    </w:p>
    <w:p>
      <w:pPr>
        <w:pStyle w:val="FirstParagraph"/>
      </w:pPr>
      <w:r>
        <w:t xml:space="preserve">Complementor execution quality is a major determinant of defensibility and rollout speed.</w:t>
      </w:r>
    </w:p>
    <w:bookmarkEnd w:id="49"/>
    <w:bookmarkEnd w:id="50"/>
    <w:bookmarkStart w:id="52" w:name="strategic-priorities-from-porter-output"/>
    <w:p>
      <w:pPr>
        <w:pStyle w:val="Heading2"/>
      </w:pPr>
      <w:r>
        <w:t xml:space="preserve">Strategic Priorities from Porter Output</w:t>
      </w:r>
    </w:p>
    <w:p>
      <w:pPr>
        <w:pStyle w:val="Compact"/>
        <w:numPr>
          <w:ilvl w:val="0"/>
          <w:numId w:val="1016"/>
        </w:numPr>
      </w:pPr>
      <w:r>
        <w:t xml:space="preserve">Win on operational trust, not only listing volume.</w:t>
      </w:r>
    </w:p>
    <w:p>
      <w:pPr>
        <w:pStyle w:val="Compact"/>
        <w:numPr>
          <w:ilvl w:val="0"/>
          <w:numId w:val="1016"/>
        </w:numPr>
      </w:pPr>
      <w:r>
        <w:t xml:space="preserve">Keep low-friction, budget-aware price architecture due high buyer power.</w:t>
      </w:r>
    </w:p>
    <w:p>
      <w:pPr>
        <w:pStyle w:val="Compact"/>
        <w:numPr>
          <w:ilvl w:val="0"/>
          <w:numId w:val="1016"/>
        </w:numPr>
      </w:pPr>
      <w:r>
        <w:t xml:space="preserve">Build defensibility through hub density, inspections, and service-level consistency.</w:t>
      </w:r>
    </w:p>
    <w:p>
      <w:pPr>
        <w:pStyle w:val="Compact"/>
        <w:numPr>
          <w:ilvl w:val="0"/>
          <w:numId w:val="1016"/>
        </w:numPr>
      </w:pPr>
      <w:r>
        <w:t xml:space="preserve">Use complementor partnerships as a moat multiplier.</w:t>
      </w:r>
    </w:p>
    <w:p>
      <w:pPr>
        <w:pStyle w:val="Compact"/>
        <w:numPr>
          <w:ilvl w:val="0"/>
          <w:numId w:val="1016"/>
        </w:numPr>
      </w:pPr>
      <w:r>
        <w:t xml:space="preserve">Preserve no-commission P2P positioning while monetizing operational add-ons</w:t>
      </w:r>
      <w:r>
        <w:t xml:space="preserve"> </w:t>
      </w:r>
      <w:hyperlink r:id="rId51">
        <w:r>
          <w:rPr>
            <w:rStyle w:val="Hyperlink"/>
          </w:rPr>
          <w:t xml:space="preserve">A28</w:t>
        </w:r>
      </w:hyperlink>
      <w:r>
        <w:t xml:space="preserve">.</w:t>
      </w:r>
    </w:p>
    <w:bookmarkEnd w:id="52"/>
    <w:bookmarkStart w:id="53" w:name="force-to-action-matrix"/>
    <w:p>
      <w:pPr>
        <w:pStyle w:val="Heading2"/>
      </w:pPr>
      <w:r>
        <w:t xml:space="preserve">Force-to-Action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Main Risk</w:t>
            </w:r>
          </w:p>
        </w:tc>
        <w:tc>
          <w:tcPr/>
          <w:p>
            <w:pPr>
              <w:pStyle w:val="Compact"/>
            </w:pPr>
            <w:r>
              <w:t xml:space="preserve">Mitigation Action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Power</w:t>
            </w:r>
          </w:p>
        </w:tc>
        <w:tc>
          <w:tcPr/>
          <w:p>
            <w:pPr>
              <w:pStyle w:val="Compact"/>
            </w:pPr>
            <w:r>
              <w:t xml:space="preserve">Seasonal stockouts</w:t>
            </w:r>
          </w:p>
        </w:tc>
        <w:tc>
          <w:tcPr/>
          <w:p>
            <w:pPr>
              <w:pStyle w:val="Compact"/>
            </w:pPr>
            <w:r>
              <w:t xml:space="preserve">Multi-source procurement + refurbishment buffer</w:t>
            </w:r>
          </w:p>
        </w:tc>
        <w:tc>
          <w:tcPr/>
          <w:p>
            <w:pPr>
              <w:pStyle w:val="Compact"/>
            </w:pPr>
            <w:r>
              <w:t xml:space="preserve">Fill-rate by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Power</w:t>
            </w:r>
          </w:p>
        </w:tc>
        <w:tc>
          <w:tcPr/>
          <w:p>
            <w:pPr>
              <w:pStyle w:val="Compact"/>
            </w:pPr>
            <w:r>
              <w:t xml:space="preserve">Price switching</w:t>
            </w:r>
          </w:p>
        </w:tc>
        <w:tc>
          <w:tcPr/>
          <w:p>
            <w:pPr>
              <w:pStyle w:val="Compact"/>
            </w:pPr>
            <w:r>
              <w:t xml:space="preserve">Bundle tiers + transparent fees + semester discounts</w:t>
            </w:r>
          </w:p>
        </w:tc>
        <w:tc>
          <w:tcPr/>
          <w:p>
            <w:pPr>
              <w:pStyle w:val="Compact"/>
            </w:pPr>
            <w:r>
              <w:t xml:space="preserve">Conversion rate by price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Substitutes</w:t>
            </w:r>
          </w:p>
        </w:tc>
        <w:tc>
          <w:tcPr/>
          <w:p>
            <w:pPr>
              <w:pStyle w:val="Compact"/>
            </w:pPr>
            <w:r>
              <w:t xml:space="preserve">Informal channel leakage</w:t>
            </w:r>
          </w:p>
        </w:tc>
        <w:tc>
          <w:tcPr/>
          <w:p>
            <w:pPr>
              <w:pStyle w:val="Compact"/>
            </w:pPr>
            <w:r>
              <w:t xml:space="preserve">Trust layer and guaranteed workflow</w:t>
            </w:r>
          </w:p>
        </w:tc>
        <w:tc>
          <w:tcPr/>
          <w:p>
            <w:pPr>
              <w:pStyle w:val="Compact"/>
            </w:pPr>
            <w:r>
              <w:t xml:space="preserve">Repeat rental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Entrants</w:t>
            </w:r>
          </w:p>
        </w:tc>
        <w:tc>
          <w:tcPr/>
          <w:p>
            <w:pPr>
              <w:pStyle w:val="Compact"/>
            </w:pPr>
            <w:r>
              <w:t xml:space="preserve">Feature copy</w:t>
            </w:r>
          </w:p>
        </w:tc>
        <w:tc>
          <w:tcPr/>
          <w:p>
            <w:pPr>
              <w:pStyle w:val="Compact"/>
            </w:pPr>
            <w:r>
              <w:t xml:space="preserve">Logistics moat and partner contracts</w:t>
            </w:r>
          </w:p>
        </w:tc>
        <w:tc>
          <w:tcPr/>
          <w:p>
            <w:pPr>
              <w:pStyle w:val="Compact"/>
            </w:pPr>
            <w:r>
              <w:t xml:space="preserve">Time-to-onboard new campus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Rivalry</w:t>
            </w:r>
          </w:p>
        </w:tc>
        <w:tc>
          <w:tcPr/>
          <w:p>
            <w:pPr>
              <w:pStyle w:val="Compact"/>
            </w:pPr>
            <w:r>
              <w:t xml:space="preserve">Price pressure</w:t>
            </w:r>
          </w:p>
        </w:tc>
        <w:tc>
          <w:tcPr/>
          <w:p>
            <w:pPr>
              <w:pStyle w:val="Compact"/>
            </w:pPr>
            <w:r>
              <w:t xml:space="preserve">Service differentiation and reliability SLAs</w:t>
            </w:r>
          </w:p>
        </w:tc>
        <w:tc>
          <w:tcPr/>
          <w:p>
            <w:pPr>
              <w:pStyle w:val="Compact"/>
            </w:pPr>
            <w:r>
              <w:t xml:space="preserve">NPS and dispute 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Complementors</w:t>
            </w:r>
          </w:p>
        </w:tc>
        <w:tc>
          <w:tcPr/>
          <w:p>
            <w:pPr>
              <w:pStyle w:val="Compact"/>
            </w:pPr>
            <w:r>
              <w:t xml:space="preserve">Weak partner execution</w:t>
            </w:r>
          </w:p>
        </w:tc>
        <w:tc>
          <w:tcPr/>
          <w:p>
            <w:pPr>
              <w:pStyle w:val="Compact"/>
            </w:pPr>
            <w:r>
              <w:t xml:space="preserve">Standardized onboarding kits and joint KPIs</w:t>
            </w:r>
          </w:p>
        </w:tc>
        <w:tc>
          <w:tcPr/>
          <w:p>
            <w:pPr>
              <w:pStyle w:val="Compact"/>
            </w:pPr>
            <w:r>
              <w:t xml:space="preserve">Partner activation rate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./assumptions.md#a28" TargetMode="External" /><Relationship Type="http://schemas.openxmlformats.org/officeDocument/2006/relationships/hyperlink" Id="rId22" Target="./sources.md#s05" TargetMode="External" /><Relationship Type="http://schemas.openxmlformats.org/officeDocument/2006/relationships/hyperlink" Id="rId13" Target="./sources.md#s06" TargetMode="External" /><Relationship Type="http://schemas.openxmlformats.org/officeDocument/2006/relationships/hyperlink" Id="rId14" Target="./sources.md#s07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46" Target="./sources.md#s12" TargetMode="External" /><Relationship Type="http://schemas.openxmlformats.org/officeDocument/2006/relationships/hyperlink" Id="rId47" Target="./sources.md#s14" TargetMode="External" /><Relationship Type="http://schemas.openxmlformats.org/officeDocument/2006/relationships/hyperlink" Id="rId10" Target="./sources.md#s15" TargetMode="External" /><Relationship Type="http://schemas.openxmlformats.org/officeDocument/2006/relationships/hyperlink" Id="rId11" Target="./sources.md#s16" TargetMode="External" /><Relationship Type="http://schemas.openxmlformats.org/officeDocument/2006/relationships/hyperlink" Id="rId32" Target="./sources.md#s22" TargetMode="External" /><Relationship Type="http://schemas.openxmlformats.org/officeDocument/2006/relationships/hyperlink" Id="rId33" Target="./sources.md#s23" TargetMode="External" /><Relationship Type="http://schemas.openxmlformats.org/officeDocument/2006/relationships/hyperlink" Id="rId35" Target="./sources.md#s24" TargetMode="External" /><Relationship Type="http://schemas.openxmlformats.org/officeDocument/2006/relationships/hyperlink" Id="rId36" Target="./sources.md#s25" TargetMode="External" /><Relationship Type="http://schemas.openxmlformats.org/officeDocument/2006/relationships/hyperlink" Id="rId15" Target="./sources.md#s26" TargetMode="External" /><Relationship Type="http://schemas.openxmlformats.org/officeDocument/2006/relationships/hyperlink" Id="rId16" Target="./sources.md#s27" TargetMode="External" /><Relationship Type="http://schemas.openxmlformats.org/officeDocument/2006/relationships/hyperlink" Id="rId27" Target="./sources.md#s28" TargetMode="External" /><Relationship Type="http://schemas.openxmlformats.org/officeDocument/2006/relationships/hyperlink" Id="rId40" Target="./sources.md#s29" TargetMode="External" /><Relationship Type="http://schemas.openxmlformats.org/officeDocument/2006/relationships/hyperlink" Id="rId41" Target="./sources.md#s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/assumptions.md#a28" TargetMode="External" /><Relationship Type="http://schemas.openxmlformats.org/officeDocument/2006/relationships/hyperlink" Id="rId22" Target="./sources.md#s05" TargetMode="External" /><Relationship Type="http://schemas.openxmlformats.org/officeDocument/2006/relationships/hyperlink" Id="rId13" Target="./sources.md#s06" TargetMode="External" /><Relationship Type="http://schemas.openxmlformats.org/officeDocument/2006/relationships/hyperlink" Id="rId14" Target="./sources.md#s07" TargetMode="External" /><Relationship Type="http://schemas.openxmlformats.org/officeDocument/2006/relationships/hyperlink" Id="rId9" Target="./sources.md#s09" TargetMode="External" /><Relationship Type="http://schemas.openxmlformats.org/officeDocument/2006/relationships/hyperlink" Id="rId46" Target="./sources.md#s12" TargetMode="External" /><Relationship Type="http://schemas.openxmlformats.org/officeDocument/2006/relationships/hyperlink" Id="rId47" Target="./sources.md#s14" TargetMode="External" /><Relationship Type="http://schemas.openxmlformats.org/officeDocument/2006/relationships/hyperlink" Id="rId10" Target="./sources.md#s15" TargetMode="External" /><Relationship Type="http://schemas.openxmlformats.org/officeDocument/2006/relationships/hyperlink" Id="rId11" Target="./sources.md#s16" TargetMode="External" /><Relationship Type="http://schemas.openxmlformats.org/officeDocument/2006/relationships/hyperlink" Id="rId32" Target="./sources.md#s22" TargetMode="External" /><Relationship Type="http://schemas.openxmlformats.org/officeDocument/2006/relationships/hyperlink" Id="rId33" Target="./sources.md#s23" TargetMode="External" /><Relationship Type="http://schemas.openxmlformats.org/officeDocument/2006/relationships/hyperlink" Id="rId35" Target="./sources.md#s24" TargetMode="External" /><Relationship Type="http://schemas.openxmlformats.org/officeDocument/2006/relationships/hyperlink" Id="rId36" Target="./sources.md#s25" TargetMode="External" /><Relationship Type="http://schemas.openxmlformats.org/officeDocument/2006/relationships/hyperlink" Id="rId15" Target="./sources.md#s26" TargetMode="External" /><Relationship Type="http://schemas.openxmlformats.org/officeDocument/2006/relationships/hyperlink" Id="rId16" Target="./sources.md#s27" TargetMode="External" /><Relationship Type="http://schemas.openxmlformats.org/officeDocument/2006/relationships/hyperlink" Id="rId27" Target="./sources.md#s28" TargetMode="External" /><Relationship Type="http://schemas.openxmlformats.org/officeDocument/2006/relationships/hyperlink" Id="rId40" Target="./sources.md#s29" TargetMode="External" /><Relationship Type="http://schemas.openxmlformats.org/officeDocument/2006/relationships/hyperlink" Id="rId41" Target="./sources.md#s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2026-04-24T11:16:27Z</dcterms:created>
  <dcterms:modified xsi:type="dcterms:W3CDTF">2026-04-24T11:16:27Z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