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7F1E" w14:textId="067EB04D" w:rsidR="00207BAE" w:rsidRDefault="00000000">
      <w:pPr>
        <w:spacing w:after="200"/>
      </w:pPr>
      <w:r>
        <w:rPr>
          <w:b/>
          <w:bCs/>
          <w:sz w:val="26"/>
          <w:szCs w:val="26"/>
        </w:rPr>
        <w:t>Literature Survey</w:t>
      </w:r>
    </w:p>
    <w:p w14:paraId="48A65586" w14:textId="77777777" w:rsidR="00207BAE" w:rsidRDefault="00000000">
      <w:pPr>
        <w:spacing w:after="160" w:line="276" w:lineRule="auto"/>
        <w:jc w:val="both"/>
      </w:pPr>
      <w:r>
        <w:t>This section reviews ten research papers that are closely related to the Civic Open-Data Dashboard for Public Accountability. They cover four areas that the project brings together: open government data and its barriers, data quality, civic dashboards for transparency and accountability, and prediction from public data. For each paper, Table I gives its main work, how it connects to our project, and what our project adds or does differently.</w:t>
      </w:r>
    </w:p>
    <w:p w14:paraId="302BD54A" w14:textId="77777777" w:rsidR="00207BAE" w:rsidRDefault="00000000">
      <w:pPr>
        <w:keepNext/>
        <w:spacing w:before="120"/>
        <w:jc w:val="center"/>
      </w:pPr>
      <w:r>
        <w:rPr>
          <w:sz w:val="18"/>
          <w:szCs w:val="18"/>
        </w:rPr>
        <w:t>TABLE I</w:t>
      </w:r>
    </w:p>
    <w:p w14:paraId="1CA24908" w14:textId="77777777" w:rsidR="00207BAE" w:rsidRDefault="00000000">
      <w:pPr>
        <w:keepNext/>
        <w:spacing w:after="100"/>
        <w:jc w:val="center"/>
      </w:pPr>
      <w:r>
        <w:rPr>
          <w:smallCaps/>
          <w:sz w:val="18"/>
          <w:szCs w:val="18"/>
        </w:rPr>
        <w:t>Related Research Papers and Their Connection to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
        <w:gridCol w:w="1895"/>
        <w:gridCol w:w="2527"/>
        <w:gridCol w:w="1805"/>
        <w:gridCol w:w="2348"/>
      </w:tblGrid>
      <w:tr w:rsidR="00207BAE" w14:paraId="75C94164" w14:textId="77777777">
        <w:trPr>
          <w:tblHeader/>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D886E2" w14:textId="77777777" w:rsidR="00207BAE" w:rsidRDefault="00000000">
            <w:pPr>
              <w:jc w:val="center"/>
            </w:pPr>
            <w:r>
              <w:rPr>
                <w:b/>
                <w:bCs/>
                <w:sz w:val="18"/>
                <w:szCs w:val="18"/>
              </w:rPr>
              <w:t>No.</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BB50D0" w14:textId="77777777" w:rsidR="00207BAE" w:rsidRDefault="00000000">
            <w:r>
              <w:rPr>
                <w:b/>
                <w:bCs/>
                <w:sz w:val="18"/>
                <w:szCs w:val="18"/>
              </w:rPr>
              <w:t>Research paper</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1804B1" w14:textId="77777777" w:rsidR="00207BAE" w:rsidRDefault="00000000">
            <w:r>
              <w:rPr>
                <w:b/>
                <w:bCs/>
                <w:sz w:val="18"/>
                <w:szCs w:val="18"/>
              </w:rPr>
              <w:t>Main work in the paper</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78DEEE" w14:textId="77777777" w:rsidR="00207BAE" w:rsidRDefault="00000000">
            <w:r>
              <w:rPr>
                <w:b/>
                <w:bCs/>
                <w:sz w:val="18"/>
                <w:szCs w:val="18"/>
              </w:rPr>
              <w:t>Connection to our project</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0D2820" w14:textId="77777777" w:rsidR="00207BAE" w:rsidRDefault="00000000">
            <w:r>
              <w:rPr>
                <w:b/>
                <w:bCs/>
                <w:sz w:val="18"/>
                <w:szCs w:val="18"/>
              </w:rPr>
              <w:t>What our project adds / differs</w:t>
            </w:r>
          </w:p>
        </w:tc>
      </w:tr>
      <w:tr w:rsidR="00207BAE" w14:paraId="77CBD1F3"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DE9D80" w14:textId="77777777" w:rsidR="00207BAE" w:rsidRDefault="00000000">
            <w:pPr>
              <w:jc w:val="center"/>
            </w:pPr>
            <w:r>
              <w:rPr>
                <w:sz w:val="18"/>
                <w:szCs w:val="18"/>
              </w:rPr>
              <w:t>1</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4D213A" w14:textId="77777777" w:rsidR="00207BAE" w:rsidRDefault="00000000">
            <w:r>
              <w:rPr>
                <w:sz w:val="18"/>
                <w:szCs w:val="18"/>
              </w:rPr>
              <w:t>Benefits, Adoption Barriers and Myths of Open Data and Open Government [1]</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006CDC" w14:textId="77777777" w:rsidR="00207BAE" w:rsidRDefault="00000000">
            <w:r>
              <w:rPr>
                <w:sz w:val="18"/>
                <w:szCs w:val="18"/>
              </w:rPr>
              <w:t>Based on interviews and workshops with government officials and data users, the paper lists the benefits of open data and the barriers that stop people from using it, such as poor information quality, task complexity and missing skills. It also names common myths, for example that publishing data automatically creates value and that every citizen can use it.</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5D1601" w14:textId="77777777" w:rsidR="00207BAE" w:rsidRDefault="00000000">
            <w:r>
              <w:rPr>
                <w:sz w:val="18"/>
                <w:szCs w:val="18"/>
              </w:rPr>
              <w:t>Very high. It describes exactly the problem our project starts from: the data is open, but it is not usable as evidence.</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21F548" w14:textId="77777777" w:rsidR="00207BAE" w:rsidRDefault="00000000">
            <w:r>
              <w:rPr>
                <w:sz w:val="18"/>
                <w:szCs w:val="18"/>
              </w:rPr>
              <w:t>We work on the barriers in practice. Cleaning rules, quarantine and lineage deal with information quality, and separate views for the public, policy makers and administrators deal with differences in skill.</w:t>
            </w:r>
          </w:p>
        </w:tc>
      </w:tr>
      <w:tr w:rsidR="00207BAE" w14:paraId="08E9CC1A"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424EC9" w14:textId="77777777" w:rsidR="00207BAE" w:rsidRDefault="00000000">
            <w:pPr>
              <w:jc w:val="center"/>
            </w:pPr>
            <w:r>
              <w:rPr>
                <w:sz w:val="18"/>
                <w:szCs w:val="18"/>
              </w:rPr>
              <w:t>2</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D56A6F" w14:textId="77777777" w:rsidR="00207BAE" w:rsidRDefault="00000000">
            <w:r>
              <w:rPr>
                <w:sz w:val="18"/>
                <w:szCs w:val="18"/>
              </w:rPr>
              <w:t>Beyond Accuracy: What Data Quality Means to Data Consumers [2]</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60F000" w14:textId="77777777" w:rsidR="00207BAE" w:rsidRDefault="00000000">
            <w:r>
              <w:rPr>
                <w:sz w:val="18"/>
                <w:szCs w:val="18"/>
              </w:rPr>
              <w:t>Surveys data consumers to find what “good data” means to them and groups data quality into four categories: intrinsic, contextual, representational and accessibility.</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E41B5F" w14:textId="77777777" w:rsidR="00207BAE" w:rsidRDefault="00000000">
            <w:r>
              <w:rPr>
                <w:sz w:val="18"/>
                <w:szCs w:val="18"/>
              </w:rPr>
              <w:t>High. It gives the vocabulary for our data-quality rules and for the quality section of the EDA page.</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FAF083" w14:textId="77777777" w:rsidR="00207BAE" w:rsidRDefault="00000000">
            <w:r>
              <w:rPr>
                <w:sz w:val="18"/>
                <w:szCs w:val="18"/>
              </w:rPr>
              <w:t>We turn these ideas into rules that run on real Indian government files: missing values, duplicates, mixed units and double-counted totals, each reported with the number of rows affected.</w:t>
            </w:r>
          </w:p>
        </w:tc>
      </w:tr>
      <w:tr w:rsidR="00207BAE" w14:paraId="05D1AC3E"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C47B453" w14:textId="77777777" w:rsidR="00207BAE" w:rsidRDefault="00000000">
            <w:pPr>
              <w:jc w:val="center"/>
            </w:pPr>
            <w:r>
              <w:rPr>
                <w:sz w:val="18"/>
                <w:szCs w:val="18"/>
              </w:rPr>
              <w:t>3</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DD9471" w14:textId="77777777" w:rsidR="00207BAE" w:rsidRDefault="00000000">
            <w:r>
              <w:rPr>
                <w:sz w:val="18"/>
                <w:szCs w:val="18"/>
              </w:rPr>
              <w:t>Data Science Empowering the Public: Data-Driven Dashboards for Transparent and Accountable Decision-Making in Smart Cities [3]</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94870C" w14:textId="77777777" w:rsidR="00207BAE" w:rsidRDefault="00000000">
            <w:r>
              <w:rPr>
                <w:sz w:val="18"/>
                <w:szCs w:val="18"/>
              </w:rPr>
              <w:t>Reviews dashboards used in smart cities and shows that they can support transparent and accountable decisions. It also lists their main problems: low data quality, limited understanding of the data, weak analysis and wrong interpretation of results.</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0DA297" w14:textId="77777777" w:rsidR="00207BAE" w:rsidRDefault="00000000">
            <w:r>
              <w:rPr>
                <w:sz w:val="18"/>
                <w:szCs w:val="18"/>
              </w:rPr>
              <w:t>Very high. Our system has the same goal, a public dashboard for accountability.</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233C6A" w14:textId="77777777" w:rsidR="00207BAE" w:rsidRDefault="00000000">
            <w:r>
              <w:rPr>
                <w:sz w:val="18"/>
                <w:szCs w:val="18"/>
              </w:rPr>
              <w:t>Our dashboard makes the preparation steps visible (what was removed, merged or repaired) and adds predictions that are tested against simple baselines, not only a display of past data.</w:t>
            </w:r>
          </w:p>
        </w:tc>
      </w:tr>
      <w:tr w:rsidR="00207BAE" w14:paraId="1AEEB8BD"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97235" w14:textId="77777777" w:rsidR="00207BAE" w:rsidRDefault="00000000">
            <w:pPr>
              <w:jc w:val="center"/>
            </w:pPr>
            <w:r>
              <w:rPr>
                <w:sz w:val="18"/>
                <w:szCs w:val="18"/>
              </w:rPr>
              <w:t>4</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2F311F" w14:textId="77777777" w:rsidR="00207BAE" w:rsidRDefault="00000000">
            <w:r>
              <w:rPr>
                <w:sz w:val="18"/>
                <w:szCs w:val="18"/>
              </w:rPr>
              <w:t>Engaging Citizens with Open Government Data: The Value of Dashboards Compared to Individual Visualizations [4]</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7C523F" w14:textId="77777777" w:rsidR="00207BAE" w:rsidRDefault="00000000">
            <w:r>
              <w:rPr>
                <w:sz w:val="18"/>
                <w:szCs w:val="18"/>
              </w:rPr>
              <w:t>Compares dashboards with separate charts for citizens using open government data, turns the findings into design guidelines (context, audience, metrics, access to sources) and tests them on a municipal budget dashboard.</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6C0884" w14:textId="77777777" w:rsidR="00207BAE" w:rsidRDefault="00000000">
            <w:r>
              <w:rPr>
                <w:sz w:val="18"/>
                <w:szCs w:val="18"/>
              </w:rPr>
              <w:t>High. Guides the design of our public view: simple metrics, context and links to sources.</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8F6A52" w14:textId="77777777" w:rsidR="00207BAE" w:rsidRDefault="00000000">
            <w:r>
              <w:rPr>
                <w:sz w:val="18"/>
                <w:szCs w:val="18"/>
              </w:rPr>
              <w:t>We apply these guidelines across five datasets and three user roles. Every chart has a table view, a CSV download and a short note on how to read it honestly.</w:t>
            </w:r>
          </w:p>
        </w:tc>
      </w:tr>
      <w:tr w:rsidR="00207BAE" w14:paraId="26046C5B"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31E22E" w14:textId="77777777" w:rsidR="00207BAE" w:rsidRDefault="00000000">
            <w:pPr>
              <w:jc w:val="center"/>
            </w:pPr>
            <w:r>
              <w:rPr>
                <w:sz w:val="18"/>
                <w:szCs w:val="18"/>
              </w:rPr>
              <w:t>5</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BEEF67" w14:textId="77777777" w:rsidR="00207BAE" w:rsidRDefault="00000000">
            <w:r>
              <w:rPr>
                <w:sz w:val="18"/>
                <w:szCs w:val="18"/>
              </w:rPr>
              <w:t>Understanding Transparency and Accountability in Open Government Ecosystems: The Case of Health Data Visualizations in a State Government [5]</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F32374" w14:textId="77777777" w:rsidR="00207BAE" w:rsidRDefault="00000000">
            <w:r>
              <w:rPr>
                <w:sz w:val="18"/>
                <w:szCs w:val="18"/>
              </w:rPr>
              <w:t>A case study of health data visualisations in a U.S. state government. It shows that making data visible does not by itself make government accountable; users need indicators, context and a link to policy goals, often provided by data intermediaries.</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A3D53B" w14:textId="77777777" w:rsidR="00207BAE" w:rsidRDefault="00000000">
            <w:r>
              <w:rPr>
                <w:sz w:val="18"/>
                <w:szCs w:val="18"/>
              </w:rPr>
              <w:t>High. Supports our role-based design and our focus on indicators rather than raw tables.</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0382C33" w14:textId="77777777" w:rsidR="00207BAE" w:rsidRDefault="00000000">
            <w:r>
              <w:rPr>
                <w:sz w:val="18"/>
                <w:szCs w:val="18"/>
              </w:rPr>
              <w:t>Our platform plays the intermediary role: it checks data before publishing it and links every view back to its source rows.</w:t>
            </w:r>
          </w:p>
        </w:tc>
      </w:tr>
      <w:tr w:rsidR="00207BAE" w14:paraId="185CFE8B"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BDB202" w14:textId="77777777" w:rsidR="00207BAE" w:rsidRDefault="00000000">
            <w:pPr>
              <w:jc w:val="center"/>
            </w:pPr>
            <w:r>
              <w:rPr>
                <w:sz w:val="18"/>
                <w:szCs w:val="18"/>
              </w:rPr>
              <w:lastRenderedPageBreak/>
              <w:t>6</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62AD21" w14:textId="77777777" w:rsidR="00207BAE" w:rsidRDefault="00000000">
            <w:r>
              <w:rPr>
                <w:sz w:val="18"/>
                <w:szCs w:val="18"/>
              </w:rPr>
              <w:t>The Work of Infrastructural Bricoleurs in Building Civic Data Dashboards [6]</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987984" w14:textId="77777777" w:rsidR="00207BAE" w:rsidRDefault="00000000">
            <w:r>
              <w:rPr>
                <w:sz w:val="18"/>
                <w:szCs w:val="18"/>
              </w:rPr>
              <w:t>Studies the people who build civic data dashboards and the practical work involved: combining sources, maintenance and deciding what to show. In one case a correlation feature was removed because users kept reading it as cause and effect.</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7AB570" w14:textId="77777777" w:rsidR="00207BAE" w:rsidRDefault="00000000">
            <w:r>
              <w:rPr>
                <w:sz w:val="18"/>
                <w:szCs w:val="18"/>
              </w:rPr>
              <w:t>Very high for our relationship analysis, where the same risk exists.</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8F6687" w14:textId="77777777" w:rsidR="00207BAE" w:rsidRDefault="00000000">
            <w:r>
              <w:rPr>
                <w:sz w:val="18"/>
                <w:szCs w:val="18"/>
              </w:rPr>
              <w:t>Instead of removing correlations, we show them with confidence intervals, state-by-state detail and a warning when many tests are run, so users can judge their strength.</w:t>
            </w:r>
          </w:p>
        </w:tc>
      </w:tr>
      <w:tr w:rsidR="00207BAE" w14:paraId="7A280071"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9DE87F" w14:textId="77777777" w:rsidR="00207BAE" w:rsidRDefault="00000000">
            <w:pPr>
              <w:jc w:val="center"/>
            </w:pPr>
            <w:r>
              <w:rPr>
                <w:sz w:val="18"/>
                <w:szCs w:val="18"/>
              </w:rPr>
              <w:t>7</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ED38D9" w14:textId="77777777" w:rsidR="00207BAE" w:rsidRDefault="00000000">
            <w:r>
              <w:rPr>
                <w:sz w:val="18"/>
                <w:szCs w:val="18"/>
              </w:rPr>
              <w:t>Crop Yield Prediction Using Machine Learning: A Systematic Literature Review [7]</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DAAC3C9" w14:textId="77777777" w:rsidR="00207BAE" w:rsidRDefault="00000000">
            <w:r>
              <w:rPr>
                <w:sz w:val="18"/>
                <w:szCs w:val="18"/>
              </w:rPr>
              <w:t>Reviews machine-learning studies on crop-yield prediction. Temperature, rainfall and soil type are the most used features, and neural networks are the most applied method.</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25BF87" w14:textId="77777777" w:rsidR="00207BAE" w:rsidRDefault="00000000">
            <w:r>
              <w:rPr>
                <w:sz w:val="18"/>
                <w:szCs w:val="18"/>
              </w:rPr>
              <w:t>Very high. Directly related to our crop-yield module.</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3158C9" w14:textId="77777777" w:rsidR="00207BAE" w:rsidRDefault="00000000">
            <w:r>
              <w:rPr>
                <w:sz w:val="18"/>
                <w:szCs w:val="18"/>
              </w:rPr>
              <w:t>We work with coarse public Indian data (district, season and area only), predict yield classes (Low, Medium, High) and compare five models against baselines on later years.</w:t>
            </w:r>
          </w:p>
        </w:tc>
      </w:tr>
      <w:tr w:rsidR="00207BAE" w14:paraId="11282C8B"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BA5DEB1" w14:textId="77777777" w:rsidR="00207BAE" w:rsidRDefault="00000000">
            <w:pPr>
              <w:jc w:val="center"/>
            </w:pPr>
            <w:r>
              <w:rPr>
                <w:sz w:val="18"/>
                <w:szCs w:val="18"/>
              </w:rPr>
              <w:t>8</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5D1F04" w14:textId="77777777" w:rsidR="00207BAE" w:rsidRDefault="00000000">
            <w:r>
              <w:rPr>
                <w:sz w:val="18"/>
                <w:szCs w:val="18"/>
              </w:rPr>
              <w:t>The Indian Monsoon, GDP and Agriculture [8]</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7BB9E3" w14:textId="77777777" w:rsidR="00207BAE" w:rsidRDefault="00000000">
            <w:r>
              <w:rPr>
                <w:sz w:val="18"/>
                <w:szCs w:val="18"/>
              </w:rPr>
              <w:t>Analyses how the monsoon affects Indian agricultural output and GDP, and shows that droughts reduce output more than good rainfall years increase it.</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9726B6" w14:textId="77777777" w:rsidR="00207BAE" w:rsidRDefault="00000000">
            <w:r>
              <w:rPr>
                <w:sz w:val="18"/>
                <w:szCs w:val="18"/>
              </w:rPr>
              <w:t>High. It is the reason our project joins rainfall with crop production.</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B4E7AA" w14:textId="77777777" w:rsidR="00207BAE" w:rsidRDefault="00000000">
            <w:r>
              <w:rPr>
                <w:sz w:val="18"/>
                <w:szCs w:val="18"/>
              </w:rPr>
              <w:t>We measure the rainfall–yield link state by state, after removing each state’s long-term trend. The link is weak nationally (ρ = 0.19) but strong in rainfed states such as Chhattisgarh (ρ = 0.82).</w:t>
            </w:r>
          </w:p>
        </w:tc>
      </w:tr>
      <w:tr w:rsidR="00207BAE" w14:paraId="1E918FF7"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41846C" w14:textId="77777777" w:rsidR="00207BAE" w:rsidRDefault="00000000">
            <w:pPr>
              <w:jc w:val="center"/>
            </w:pPr>
            <w:r>
              <w:rPr>
                <w:sz w:val="18"/>
                <w:szCs w:val="18"/>
              </w:rPr>
              <w:t>9</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81F85A" w14:textId="77777777" w:rsidR="00207BAE" w:rsidRDefault="00000000">
            <w:r>
              <w:rPr>
                <w:sz w:val="18"/>
                <w:szCs w:val="18"/>
              </w:rPr>
              <w:t>Statistical and Machine Learning Forecasting Methods: Concerns and Ways Forward [9]</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217BB9" w14:textId="77777777" w:rsidR="00207BAE" w:rsidRDefault="00000000">
            <w:r>
              <w:rPr>
                <w:sz w:val="18"/>
                <w:szCs w:val="18"/>
              </w:rPr>
              <w:t>Compares statistical and machine-learning forecasting methods on a large set of time series and finds that simple statistical methods are often more accurate and much cheaper.</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9438AF" w14:textId="77777777" w:rsidR="00207BAE" w:rsidRDefault="00000000">
            <w:r>
              <w:rPr>
                <w:sz w:val="18"/>
                <w:szCs w:val="18"/>
              </w:rPr>
              <w:t>High. It shapes how we evaluate every model.</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4F4833" w14:textId="77777777" w:rsidR="00207BAE" w:rsidRDefault="00000000">
            <w:r>
              <w:rPr>
                <w:sz w:val="18"/>
                <w:szCs w:val="18"/>
              </w:rPr>
              <w:t>Each model is compared with simple baselines on later years. For suicide counts, last year’s value already decides most classes, and we report this honestly instead of claiming a strong ML result.</w:t>
            </w:r>
          </w:p>
        </w:tc>
      </w:tr>
      <w:tr w:rsidR="00207BAE" w14:paraId="14D2393F" w14:textId="77777777">
        <w:trPr>
          <w:cantSplit/>
        </w:trPr>
        <w:tc>
          <w:tcPr>
            <w:tcW w:w="451"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4CBC7D" w14:textId="77777777" w:rsidR="00207BAE" w:rsidRDefault="00000000">
            <w:pPr>
              <w:jc w:val="center"/>
            </w:pPr>
            <w:r>
              <w:rPr>
                <w:sz w:val="18"/>
                <w:szCs w:val="18"/>
              </w:rPr>
              <w:t>10</w:t>
            </w:r>
          </w:p>
        </w:tc>
        <w:tc>
          <w:tcPr>
            <w:tcW w:w="189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E7E560" w14:textId="77777777" w:rsidR="00207BAE" w:rsidRDefault="00000000">
            <w:r>
              <w:rPr>
                <w:sz w:val="18"/>
                <w:szCs w:val="18"/>
              </w:rPr>
              <w:t>Why Do Tree-Based Models Still Outperform Deep Learning on Typical Tabular Data? [10]</w:t>
            </w:r>
          </w:p>
        </w:tc>
        <w:tc>
          <w:tcPr>
            <w:tcW w:w="252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573ECF" w14:textId="77777777" w:rsidR="00207BAE" w:rsidRDefault="00000000">
            <w:r>
              <w:rPr>
                <w:sz w:val="18"/>
                <w:szCs w:val="18"/>
              </w:rPr>
              <w:t xml:space="preserve">Benchmarks models on 45 tabular datasets and finds that tree-based methods such as </w:t>
            </w:r>
            <w:proofErr w:type="spellStart"/>
            <w:r>
              <w:rPr>
                <w:sz w:val="18"/>
                <w:szCs w:val="18"/>
              </w:rPr>
              <w:t>XGBoost</w:t>
            </w:r>
            <w:proofErr w:type="spellEnd"/>
            <w:r>
              <w:rPr>
                <w:sz w:val="18"/>
                <w:szCs w:val="18"/>
              </w:rPr>
              <w:t xml:space="preserve"> and random forests still beat deep neural networks on medium-sized tables.</w:t>
            </w:r>
          </w:p>
        </w:tc>
        <w:tc>
          <w:tcPr>
            <w:tcW w:w="180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11681C" w14:textId="77777777" w:rsidR="00207BAE" w:rsidRDefault="00000000">
            <w:r>
              <w:rPr>
                <w:sz w:val="18"/>
                <w:szCs w:val="18"/>
              </w:rPr>
              <w:t>High. Justifies our choice of tree-based models.</w:t>
            </w:r>
          </w:p>
        </w:tc>
        <w:tc>
          <w:tcPr>
            <w:tcW w:w="2348"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D3DD02" w14:textId="77777777" w:rsidR="00207BAE" w:rsidRDefault="00000000">
            <w:r>
              <w:rPr>
                <w:sz w:val="18"/>
                <w:szCs w:val="18"/>
              </w:rPr>
              <w:t xml:space="preserve">We confirm this on our own data: </w:t>
            </w:r>
            <w:proofErr w:type="spellStart"/>
            <w:r>
              <w:rPr>
                <w:sz w:val="18"/>
                <w:szCs w:val="18"/>
              </w:rPr>
              <w:t>LightGBM</w:t>
            </w:r>
            <w:proofErr w:type="spellEnd"/>
            <w:r>
              <w:rPr>
                <w:sz w:val="18"/>
                <w:szCs w:val="18"/>
              </w:rPr>
              <w:t xml:space="preserve"> is best for crop yield and temperature, random forest for rain and diabetes, and </w:t>
            </w:r>
            <w:proofErr w:type="spellStart"/>
            <w:r>
              <w:rPr>
                <w:sz w:val="18"/>
                <w:szCs w:val="18"/>
              </w:rPr>
              <w:t>XGBoost</w:t>
            </w:r>
            <w:proofErr w:type="spellEnd"/>
            <w:r>
              <w:rPr>
                <w:sz w:val="18"/>
                <w:szCs w:val="18"/>
              </w:rPr>
              <w:t xml:space="preserve"> for suicide counts, without needing neural networks.</w:t>
            </w:r>
          </w:p>
        </w:tc>
      </w:tr>
    </w:tbl>
    <w:p w14:paraId="5FEADD1C" w14:textId="77777777" w:rsidR="00207BAE" w:rsidRDefault="00207BAE">
      <w:pPr>
        <w:spacing w:after="120"/>
      </w:pPr>
    </w:p>
    <w:p w14:paraId="503166FE" w14:textId="77777777" w:rsidR="00207BAE" w:rsidRDefault="00000000">
      <w:pPr>
        <w:spacing w:after="160" w:line="276" w:lineRule="auto"/>
        <w:jc w:val="both"/>
      </w:pPr>
      <w:r>
        <w:t>Taken together, these papers show three things. First, open data only becomes useful evidence after careful preparation, yet most dashboards hide that preparation from users [1]</w:t>
      </w:r>
      <w:proofErr w:type="gramStart"/>
      <w:r>
        <w:t>–[</w:t>
      </w:r>
      <w:proofErr w:type="gramEnd"/>
      <w:r>
        <w:t>3]. Second, dashboards help accountability only when they give context, suit their audience and are honest about what a relationship means [4]</w:t>
      </w:r>
      <w:proofErr w:type="gramStart"/>
      <w:r>
        <w:t>–[</w:t>
      </w:r>
      <w:proofErr w:type="gramEnd"/>
      <w:r>
        <w:t>6]. Third, predictions from public data should be tested against simple baselines and on later periods, and tree-based models are a sound choice for tabular data of this kind [7]</w:t>
      </w:r>
      <w:proofErr w:type="gramStart"/>
      <w:r>
        <w:t>–[</w:t>
      </w:r>
      <w:proofErr w:type="gramEnd"/>
      <w:r>
        <w:t>10]. Our project combines these lessons in one system: traceable data preparation, role-based views, relationships shown with their uncertainty, and models that are compared and selected on evidence.</w:t>
      </w:r>
    </w:p>
    <w:p w14:paraId="124906BA" w14:textId="77777777" w:rsidR="00207BAE" w:rsidRDefault="00000000">
      <w:pPr>
        <w:keepNext/>
        <w:spacing w:before="240" w:after="120"/>
      </w:pPr>
      <w:r>
        <w:rPr>
          <w:b/>
          <w:bCs/>
          <w:sz w:val="24"/>
          <w:szCs w:val="24"/>
        </w:rPr>
        <w:t>References</w:t>
      </w:r>
    </w:p>
    <w:p w14:paraId="1693C8FE" w14:textId="77777777" w:rsidR="00207BAE" w:rsidRDefault="00000000">
      <w:pPr>
        <w:tabs>
          <w:tab w:val="left" w:pos="480"/>
        </w:tabs>
        <w:spacing w:after="80"/>
        <w:ind w:left="480" w:hanging="480"/>
        <w:jc w:val="both"/>
      </w:pPr>
      <w:r>
        <w:rPr>
          <w:sz w:val="20"/>
          <w:szCs w:val="20"/>
        </w:rPr>
        <w:t>[1]</w:t>
      </w:r>
      <w:r>
        <w:rPr>
          <w:sz w:val="20"/>
          <w:szCs w:val="20"/>
        </w:rPr>
        <w:tab/>
        <w:t xml:space="preserve">M. Janssen, Y. </w:t>
      </w:r>
      <w:proofErr w:type="spellStart"/>
      <w:r>
        <w:rPr>
          <w:sz w:val="20"/>
          <w:szCs w:val="20"/>
        </w:rPr>
        <w:t>Charalabidis</w:t>
      </w:r>
      <w:proofErr w:type="spellEnd"/>
      <w:r>
        <w:rPr>
          <w:sz w:val="20"/>
          <w:szCs w:val="20"/>
        </w:rPr>
        <w:t xml:space="preserve">, and A. Zuiderwijk, “Benefits, adoption barriers and myths of open data and open government,” </w:t>
      </w:r>
      <w:r>
        <w:rPr>
          <w:i/>
          <w:iCs/>
          <w:sz w:val="20"/>
          <w:szCs w:val="20"/>
        </w:rPr>
        <w:t>Information Systems Management</w:t>
      </w:r>
      <w:r>
        <w:rPr>
          <w:sz w:val="20"/>
          <w:szCs w:val="20"/>
        </w:rPr>
        <w:t xml:space="preserve">, vol. 29, no. 4, pp. 258–268, 2012, </w:t>
      </w:r>
      <w:proofErr w:type="spellStart"/>
      <w:r>
        <w:rPr>
          <w:sz w:val="20"/>
          <w:szCs w:val="20"/>
        </w:rPr>
        <w:t>doi</w:t>
      </w:r>
      <w:proofErr w:type="spellEnd"/>
      <w:r>
        <w:rPr>
          <w:sz w:val="20"/>
          <w:szCs w:val="20"/>
        </w:rPr>
        <w:t>: 10.1080/10580530.2012.716740.</w:t>
      </w:r>
    </w:p>
    <w:p w14:paraId="3E926D53" w14:textId="77777777" w:rsidR="00207BAE" w:rsidRDefault="00000000">
      <w:pPr>
        <w:tabs>
          <w:tab w:val="left" w:pos="480"/>
        </w:tabs>
        <w:spacing w:after="80"/>
        <w:ind w:left="480" w:hanging="480"/>
        <w:jc w:val="both"/>
      </w:pPr>
      <w:r>
        <w:rPr>
          <w:sz w:val="20"/>
          <w:szCs w:val="20"/>
        </w:rPr>
        <w:t>[2]</w:t>
      </w:r>
      <w:r>
        <w:rPr>
          <w:sz w:val="20"/>
          <w:szCs w:val="20"/>
        </w:rPr>
        <w:tab/>
        <w:t xml:space="preserve">R. Y. Wang and D. M. Strong, “Beyond accuracy: What data quality means to data consumers,” </w:t>
      </w:r>
      <w:r>
        <w:rPr>
          <w:i/>
          <w:iCs/>
          <w:sz w:val="20"/>
          <w:szCs w:val="20"/>
        </w:rPr>
        <w:t>Journal of Management Information Systems</w:t>
      </w:r>
      <w:r>
        <w:rPr>
          <w:sz w:val="20"/>
          <w:szCs w:val="20"/>
        </w:rPr>
        <w:t xml:space="preserve">, vol. 12, no. 4, pp. 5–33, 1996, </w:t>
      </w:r>
      <w:proofErr w:type="spellStart"/>
      <w:r>
        <w:rPr>
          <w:sz w:val="20"/>
          <w:szCs w:val="20"/>
        </w:rPr>
        <w:t>doi</w:t>
      </w:r>
      <w:proofErr w:type="spellEnd"/>
      <w:r>
        <w:rPr>
          <w:sz w:val="20"/>
          <w:szCs w:val="20"/>
        </w:rPr>
        <w:t>: 10.1080/07421222.1996.11518099.</w:t>
      </w:r>
    </w:p>
    <w:p w14:paraId="1278D3B6" w14:textId="77777777" w:rsidR="00207BAE" w:rsidRDefault="00000000">
      <w:pPr>
        <w:tabs>
          <w:tab w:val="left" w:pos="480"/>
        </w:tabs>
        <w:spacing w:after="80"/>
        <w:ind w:left="480" w:hanging="480"/>
        <w:jc w:val="both"/>
      </w:pPr>
      <w:r>
        <w:rPr>
          <w:sz w:val="20"/>
          <w:szCs w:val="20"/>
        </w:rPr>
        <w:t>[3]</w:t>
      </w:r>
      <w:r>
        <w:rPr>
          <w:sz w:val="20"/>
          <w:szCs w:val="20"/>
        </w:rPr>
        <w:tab/>
        <w:t xml:space="preserve">R. Matheus, M. Janssen, and D. Maheshwari, “Data science empowering the public: Data-driven dashboards for transparent and accountable decision-making in smart cities,” </w:t>
      </w:r>
      <w:r>
        <w:rPr>
          <w:i/>
          <w:iCs/>
          <w:sz w:val="20"/>
          <w:szCs w:val="20"/>
        </w:rPr>
        <w:t>Government Information Quarterly</w:t>
      </w:r>
      <w:r>
        <w:rPr>
          <w:sz w:val="20"/>
          <w:szCs w:val="20"/>
        </w:rPr>
        <w:t xml:space="preserve">, vol. 37, no. 3, Art. no. 101284, 2020, </w:t>
      </w:r>
      <w:proofErr w:type="spellStart"/>
      <w:r>
        <w:rPr>
          <w:sz w:val="20"/>
          <w:szCs w:val="20"/>
        </w:rPr>
        <w:t>doi</w:t>
      </w:r>
      <w:proofErr w:type="spellEnd"/>
      <w:r>
        <w:rPr>
          <w:sz w:val="20"/>
          <w:szCs w:val="20"/>
        </w:rPr>
        <w:t>: 10.1016/j.giq.2018.01.006.</w:t>
      </w:r>
    </w:p>
    <w:p w14:paraId="405E9654" w14:textId="77777777" w:rsidR="00207BAE" w:rsidRDefault="00000000">
      <w:pPr>
        <w:tabs>
          <w:tab w:val="left" w:pos="480"/>
        </w:tabs>
        <w:spacing w:after="80"/>
        <w:ind w:left="480" w:hanging="480"/>
        <w:jc w:val="both"/>
      </w:pPr>
      <w:r>
        <w:rPr>
          <w:sz w:val="20"/>
          <w:szCs w:val="20"/>
        </w:rPr>
        <w:lastRenderedPageBreak/>
        <w:t>[4]</w:t>
      </w:r>
      <w:r>
        <w:rPr>
          <w:sz w:val="20"/>
          <w:szCs w:val="20"/>
        </w:rPr>
        <w:tab/>
        <w:t xml:space="preserve">A. P. Chokki, A. Simonofski, B. </w:t>
      </w:r>
      <w:proofErr w:type="spellStart"/>
      <w:r>
        <w:rPr>
          <w:sz w:val="20"/>
          <w:szCs w:val="20"/>
        </w:rPr>
        <w:t>Frénay</w:t>
      </w:r>
      <w:proofErr w:type="spellEnd"/>
      <w:r>
        <w:rPr>
          <w:sz w:val="20"/>
          <w:szCs w:val="20"/>
        </w:rPr>
        <w:t xml:space="preserve">, and B. </w:t>
      </w:r>
      <w:proofErr w:type="spellStart"/>
      <w:r>
        <w:rPr>
          <w:sz w:val="20"/>
          <w:szCs w:val="20"/>
        </w:rPr>
        <w:t>Vanderose</w:t>
      </w:r>
      <w:proofErr w:type="spellEnd"/>
      <w:r>
        <w:rPr>
          <w:sz w:val="20"/>
          <w:szCs w:val="20"/>
        </w:rPr>
        <w:t xml:space="preserve">, “Engaging citizens with open government data: The value of dashboards compared to individual visualizations,” </w:t>
      </w:r>
      <w:r>
        <w:rPr>
          <w:i/>
          <w:iCs/>
          <w:sz w:val="20"/>
          <w:szCs w:val="20"/>
        </w:rPr>
        <w:t>Digital Government: Research and Practice</w:t>
      </w:r>
      <w:r>
        <w:rPr>
          <w:sz w:val="20"/>
          <w:szCs w:val="20"/>
        </w:rPr>
        <w:t xml:space="preserve">, vol. 3, no. 3, Art. no. 21, pp. 1–20, 2022, </w:t>
      </w:r>
      <w:proofErr w:type="spellStart"/>
      <w:r>
        <w:rPr>
          <w:sz w:val="20"/>
          <w:szCs w:val="20"/>
        </w:rPr>
        <w:t>doi</w:t>
      </w:r>
      <w:proofErr w:type="spellEnd"/>
      <w:r>
        <w:rPr>
          <w:sz w:val="20"/>
          <w:szCs w:val="20"/>
        </w:rPr>
        <w:t>: 10.1145/3558099.</w:t>
      </w:r>
    </w:p>
    <w:p w14:paraId="07B9EA9D" w14:textId="77777777" w:rsidR="00207BAE" w:rsidRDefault="00000000">
      <w:pPr>
        <w:tabs>
          <w:tab w:val="left" w:pos="480"/>
        </w:tabs>
        <w:spacing w:after="80"/>
        <w:ind w:left="480" w:hanging="480"/>
        <w:jc w:val="both"/>
      </w:pPr>
      <w:r>
        <w:rPr>
          <w:sz w:val="20"/>
          <w:szCs w:val="20"/>
        </w:rPr>
        <w:t>[5]</w:t>
      </w:r>
      <w:r>
        <w:rPr>
          <w:sz w:val="20"/>
          <w:szCs w:val="20"/>
        </w:rPr>
        <w:tab/>
        <w:t xml:space="preserve">S. Park and J. R. Gil-Garcia, “Understanding transparency and accountability in open government ecosystems: The case of health data visualizations in a state government,” in </w:t>
      </w:r>
      <w:r>
        <w:rPr>
          <w:i/>
          <w:iCs/>
          <w:sz w:val="20"/>
          <w:szCs w:val="20"/>
        </w:rPr>
        <w:t>Proc. 18th Annu. Int. Conf. Digital Government Research (</w:t>
      </w:r>
      <w:proofErr w:type="spellStart"/>
      <w:proofErr w:type="gramStart"/>
      <w:r>
        <w:rPr>
          <w:i/>
          <w:iCs/>
          <w:sz w:val="20"/>
          <w:szCs w:val="20"/>
        </w:rPr>
        <w:t>dg.o</w:t>
      </w:r>
      <w:proofErr w:type="spellEnd"/>
      <w:proofErr w:type="gramEnd"/>
      <w:r>
        <w:rPr>
          <w:i/>
          <w:iCs/>
          <w:sz w:val="20"/>
          <w:szCs w:val="20"/>
        </w:rPr>
        <w:t xml:space="preserve"> ’17)</w:t>
      </w:r>
      <w:r>
        <w:rPr>
          <w:sz w:val="20"/>
          <w:szCs w:val="20"/>
        </w:rPr>
        <w:t xml:space="preserve">, 2017, pp. 39–47, </w:t>
      </w:r>
      <w:proofErr w:type="spellStart"/>
      <w:r>
        <w:rPr>
          <w:sz w:val="20"/>
          <w:szCs w:val="20"/>
        </w:rPr>
        <w:t>doi</w:t>
      </w:r>
      <w:proofErr w:type="spellEnd"/>
      <w:r>
        <w:rPr>
          <w:sz w:val="20"/>
          <w:szCs w:val="20"/>
        </w:rPr>
        <w:t>: 10.1145/3085228.3085318.</w:t>
      </w:r>
    </w:p>
    <w:p w14:paraId="026A3133" w14:textId="77777777" w:rsidR="00207BAE" w:rsidRDefault="00000000">
      <w:pPr>
        <w:tabs>
          <w:tab w:val="left" w:pos="480"/>
        </w:tabs>
        <w:spacing w:after="80"/>
        <w:ind w:left="480" w:hanging="480"/>
        <w:jc w:val="both"/>
      </w:pPr>
      <w:r>
        <w:rPr>
          <w:sz w:val="20"/>
          <w:szCs w:val="20"/>
        </w:rPr>
        <w:t>[6]</w:t>
      </w:r>
      <w:r>
        <w:rPr>
          <w:sz w:val="20"/>
          <w:szCs w:val="20"/>
        </w:rPr>
        <w:tab/>
        <w:t xml:space="preserve">F. Peer and C. DiSalvo, “The work of infrastructural bricoleurs in building civic data dashboards,” </w:t>
      </w:r>
      <w:r>
        <w:rPr>
          <w:i/>
          <w:iCs/>
          <w:sz w:val="20"/>
          <w:szCs w:val="20"/>
        </w:rPr>
        <w:t xml:space="preserve">Proc. ACM </w:t>
      </w:r>
      <w:proofErr w:type="gramStart"/>
      <w:r>
        <w:rPr>
          <w:i/>
          <w:iCs/>
          <w:sz w:val="20"/>
          <w:szCs w:val="20"/>
        </w:rPr>
        <w:t>Hum.-</w:t>
      </w:r>
      <w:proofErr w:type="spellStart"/>
      <w:proofErr w:type="gramEnd"/>
      <w:r>
        <w:rPr>
          <w:i/>
          <w:iCs/>
          <w:sz w:val="20"/>
          <w:szCs w:val="20"/>
        </w:rPr>
        <w:t>Comput</w:t>
      </w:r>
      <w:proofErr w:type="spellEnd"/>
      <w:r>
        <w:rPr>
          <w:i/>
          <w:iCs/>
          <w:sz w:val="20"/>
          <w:szCs w:val="20"/>
        </w:rPr>
        <w:t>. Interact.</w:t>
      </w:r>
      <w:r>
        <w:rPr>
          <w:sz w:val="20"/>
          <w:szCs w:val="20"/>
        </w:rPr>
        <w:t xml:space="preserve">, vol. 6, no. CSCW1, Art. no. 124, 2022, </w:t>
      </w:r>
      <w:proofErr w:type="spellStart"/>
      <w:r>
        <w:rPr>
          <w:sz w:val="20"/>
          <w:szCs w:val="20"/>
        </w:rPr>
        <w:t>doi</w:t>
      </w:r>
      <w:proofErr w:type="spellEnd"/>
      <w:r>
        <w:rPr>
          <w:sz w:val="20"/>
          <w:szCs w:val="20"/>
        </w:rPr>
        <w:t>: 10.1145/3512971.</w:t>
      </w:r>
    </w:p>
    <w:p w14:paraId="3EEE32CA" w14:textId="77777777" w:rsidR="00207BAE" w:rsidRDefault="00000000">
      <w:pPr>
        <w:tabs>
          <w:tab w:val="left" w:pos="480"/>
        </w:tabs>
        <w:spacing w:after="80"/>
        <w:ind w:left="480" w:hanging="480"/>
        <w:jc w:val="both"/>
      </w:pPr>
      <w:r>
        <w:rPr>
          <w:sz w:val="20"/>
          <w:szCs w:val="20"/>
        </w:rPr>
        <w:t>[7]</w:t>
      </w:r>
      <w:r>
        <w:rPr>
          <w:sz w:val="20"/>
          <w:szCs w:val="20"/>
        </w:rPr>
        <w:tab/>
        <w:t xml:space="preserve">T. van </w:t>
      </w:r>
      <w:proofErr w:type="spellStart"/>
      <w:r>
        <w:rPr>
          <w:sz w:val="20"/>
          <w:szCs w:val="20"/>
        </w:rPr>
        <w:t>Klompenburg</w:t>
      </w:r>
      <w:proofErr w:type="spellEnd"/>
      <w:r>
        <w:rPr>
          <w:sz w:val="20"/>
          <w:szCs w:val="20"/>
        </w:rPr>
        <w:t xml:space="preserve">, A. Kassahun, and C. </w:t>
      </w:r>
      <w:proofErr w:type="spellStart"/>
      <w:r>
        <w:rPr>
          <w:sz w:val="20"/>
          <w:szCs w:val="20"/>
        </w:rPr>
        <w:t>Catal</w:t>
      </w:r>
      <w:proofErr w:type="spellEnd"/>
      <w:r>
        <w:rPr>
          <w:sz w:val="20"/>
          <w:szCs w:val="20"/>
        </w:rPr>
        <w:t xml:space="preserve">, “Crop yield prediction using machine learning: A systematic literature review,” </w:t>
      </w:r>
      <w:r>
        <w:rPr>
          <w:i/>
          <w:iCs/>
          <w:sz w:val="20"/>
          <w:szCs w:val="20"/>
        </w:rPr>
        <w:t>Computers and Electronics in Agriculture</w:t>
      </w:r>
      <w:r>
        <w:rPr>
          <w:sz w:val="20"/>
          <w:szCs w:val="20"/>
        </w:rPr>
        <w:t xml:space="preserve">, vol. 177, Art. no. 105709, 2020, </w:t>
      </w:r>
      <w:proofErr w:type="spellStart"/>
      <w:r>
        <w:rPr>
          <w:sz w:val="20"/>
          <w:szCs w:val="20"/>
        </w:rPr>
        <w:t>doi</w:t>
      </w:r>
      <w:proofErr w:type="spellEnd"/>
      <w:r>
        <w:rPr>
          <w:sz w:val="20"/>
          <w:szCs w:val="20"/>
        </w:rPr>
        <w:t>: 10.1016/j.compag.2020.105709.</w:t>
      </w:r>
    </w:p>
    <w:p w14:paraId="531F513E" w14:textId="77777777" w:rsidR="00207BAE" w:rsidRDefault="00000000">
      <w:pPr>
        <w:tabs>
          <w:tab w:val="left" w:pos="480"/>
        </w:tabs>
        <w:spacing w:after="80"/>
        <w:ind w:left="480" w:hanging="480"/>
        <w:jc w:val="both"/>
      </w:pPr>
      <w:r>
        <w:rPr>
          <w:sz w:val="20"/>
          <w:szCs w:val="20"/>
        </w:rPr>
        <w:t>[8]</w:t>
      </w:r>
      <w:r>
        <w:rPr>
          <w:sz w:val="20"/>
          <w:szCs w:val="20"/>
        </w:rPr>
        <w:tab/>
        <w:t xml:space="preserve">S. Gadgil and S. Gadgil, “The Indian monsoon, GDP and agriculture,” </w:t>
      </w:r>
      <w:r>
        <w:rPr>
          <w:i/>
          <w:iCs/>
          <w:sz w:val="20"/>
          <w:szCs w:val="20"/>
        </w:rPr>
        <w:t>Economic and Political Weekly</w:t>
      </w:r>
      <w:r>
        <w:rPr>
          <w:sz w:val="20"/>
          <w:szCs w:val="20"/>
        </w:rPr>
        <w:t>, vol. 41, no. 47, pp. 4887–4895, 2006.</w:t>
      </w:r>
    </w:p>
    <w:p w14:paraId="737C8A8B" w14:textId="77777777" w:rsidR="00207BAE" w:rsidRDefault="00000000">
      <w:pPr>
        <w:tabs>
          <w:tab w:val="left" w:pos="480"/>
        </w:tabs>
        <w:spacing w:after="80"/>
        <w:ind w:left="480" w:hanging="480"/>
        <w:jc w:val="both"/>
      </w:pPr>
      <w:r>
        <w:rPr>
          <w:sz w:val="20"/>
          <w:szCs w:val="20"/>
        </w:rPr>
        <w:t>[9]</w:t>
      </w:r>
      <w:r>
        <w:rPr>
          <w:sz w:val="20"/>
          <w:szCs w:val="20"/>
        </w:rPr>
        <w:tab/>
        <w:t xml:space="preserve">S. </w:t>
      </w:r>
      <w:proofErr w:type="spellStart"/>
      <w:r>
        <w:rPr>
          <w:sz w:val="20"/>
          <w:szCs w:val="20"/>
        </w:rPr>
        <w:t>Makridakis</w:t>
      </w:r>
      <w:proofErr w:type="spellEnd"/>
      <w:r>
        <w:rPr>
          <w:sz w:val="20"/>
          <w:szCs w:val="20"/>
        </w:rPr>
        <w:t xml:space="preserve">, E. Spiliotis, and V. </w:t>
      </w:r>
      <w:proofErr w:type="spellStart"/>
      <w:r>
        <w:rPr>
          <w:sz w:val="20"/>
          <w:szCs w:val="20"/>
        </w:rPr>
        <w:t>Assimakopoulos</w:t>
      </w:r>
      <w:proofErr w:type="spellEnd"/>
      <w:r>
        <w:rPr>
          <w:sz w:val="20"/>
          <w:szCs w:val="20"/>
        </w:rPr>
        <w:t xml:space="preserve">, “Statistical and machine learning forecasting methods: Concerns and ways forward,” </w:t>
      </w:r>
      <w:r>
        <w:rPr>
          <w:i/>
          <w:iCs/>
          <w:sz w:val="20"/>
          <w:szCs w:val="20"/>
        </w:rPr>
        <w:t>PLOS ONE</w:t>
      </w:r>
      <w:r>
        <w:rPr>
          <w:sz w:val="20"/>
          <w:szCs w:val="20"/>
        </w:rPr>
        <w:t xml:space="preserve">, vol. 13, no. 3, Art. no. e0194889, 2018, </w:t>
      </w:r>
      <w:proofErr w:type="spellStart"/>
      <w:r>
        <w:rPr>
          <w:sz w:val="20"/>
          <w:szCs w:val="20"/>
        </w:rPr>
        <w:t>doi</w:t>
      </w:r>
      <w:proofErr w:type="spellEnd"/>
      <w:r>
        <w:rPr>
          <w:sz w:val="20"/>
          <w:szCs w:val="20"/>
        </w:rPr>
        <w:t>: 10.1371/journal.pone.0194889.</w:t>
      </w:r>
    </w:p>
    <w:p w14:paraId="0BDBDA3B" w14:textId="77777777" w:rsidR="00207BAE" w:rsidRDefault="00000000">
      <w:pPr>
        <w:tabs>
          <w:tab w:val="left" w:pos="480"/>
        </w:tabs>
        <w:spacing w:after="80"/>
        <w:ind w:left="480" w:hanging="480"/>
        <w:jc w:val="both"/>
      </w:pPr>
      <w:r>
        <w:rPr>
          <w:sz w:val="20"/>
          <w:szCs w:val="20"/>
        </w:rPr>
        <w:t>[10]</w:t>
      </w:r>
      <w:r>
        <w:rPr>
          <w:sz w:val="20"/>
          <w:szCs w:val="20"/>
        </w:rPr>
        <w:tab/>
        <w:t xml:space="preserve">L. </w:t>
      </w:r>
      <w:proofErr w:type="spellStart"/>
      <w:r>
        <w:rPr>
          <w:sz w:val="20"/>
          <w:szCs w:val="20"/>
        </w:rPr>
        <w:t>Grinsztajn</w:t>
      </w:r>
      <w:proofErr w:type="spellEnd"/>
      <w:r>
        <w:rPr>
          <w:sz w:val="20"/>
          <w:szCs w:val="20"/>
        </w:rPr>
        <w:t xml:space="preserve">, E. </w:t>
      </w:r>
      <w:proofErr w:type="spellStart"/>
      <w:r>
        <w:rPr>
          <w:sz w:val="20"/>
          <w:szCs w:val="20"/>
        </w:rPr>
        <w:t>Oyallon</w:t>
      </w:r>
      <w:proofErr w:type="spellEnd"/>
      <w:r>
        <w:rPr>
          <w:sz w:val="20"/>
          <w:szCs w:val="20"/>
        </w:rPr>
        <w:t xml:space="preserve">, and G. </w:t>
      </w:r>
      <w:proofErr w:type="spellStart"/>
      <w:r>
        <w:rPr>
          <w:sz w:val="20"/>
          <w:szCs w:val="20"/>
        </w:rPr>
        <w:t>Varoquaux</w:t>
      </w:r>
      <w:proofErr w:type="spellEnd"/>
      <w:r>
        <w:rPr>
          <w:sz w:val="20"/>
          <w:szCs w:val="20"/>
        </w:rPr>
        <w:t xml:space="preserve">, “Why do tree-based models still outperform deep learning on typical tabular data?” in </w:t>
      </w:r>
      <w:r>
        <w:rPr>
          <w:i/>
          <w:iCs/>
          <w:sz w:val="20"/>
          <w:szCs w:val="20"/>
        </w:rPr>
        <w:t>Advances in Neural Information Processing Systems 35 (Datasets and Benchmarks Track)</w:t>
      </w:r>
      <w:r>
        <w:rPr>
          <w:sz w:val="20"/>
          <w:szCs w:val="20"/>
        </w:rPr>
        <w:t>, 2022.</w:t>
      </w:r>
    </w:p>
    <w:sectPr w:rsidR="00207BA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129DF"/>
    <w:multiLevelType w:val="hybridMultilevel"/>
    <w:tmpl w:val="0386A0DA"/>
    <w:lvl w:ilvl="0" w:tplc="78FCEE7C" w:tentative="1">
      <w:start w:val="1"/>
      <w:numFmt w:val="bullet"/>
      <w:lvlText w:val="●"/>
      <w:lvlJc w:val="left"/>
      <w:pPr>
        <w:ind w:left="720" w:hanging="360"/>
      </w:pPr>
    </w:lvl>
    <w:lvl w:ilvl="1" w:tplc="A05A26B6" w:tentative="1">
      <w:start w:val="1"/>
      <w:numFmt w:val="bullet"/>
      <w:lvlText w:val="○"/>
      <w:lvlJc w:val="left"/>
      <w:pPr>
        <w:ind w:left="1440" w:hanging="360"/>
      </w:pPr>
    </w:lvl>
    <w:lvl w:ilvl="2" w:tplc="704EEA14" w:tentative="1">
      <w:start w:val="1"/>
      <w:numFmt w:val="bullet"/>
      <w:lvlText w:val="■"/>
      <w:lvlJc w:val="left"/>
      <w:pPr>
        <w:ind w:left="2160" w:hanging="360"/>
      </w:pPr>
    </w:lvl>
    <w:lvl w:ilvl="3" w:tplc="A12A3622" w:tentative="1">
      <w:start w:val="1"/>
      <w:numFmt w:val="bullet"/>
      <w:lvlText w:val="●"/>
      <w:lvlJc w:val="left"/>
      <w:pPr>
        <w:ind w:left="2880" w:hanging="360"/>
      </w:pPr>
    </w:lvl>
    <w:lvl w:ilvl="4" w:tplc="170C727C" w:tentative="1">
      <w:start w:val="1"/>
      <w:numFmt w:val="bullet"/>
      <w:lvlText w:val="○"/>
      <w:lvlJc w:val="left"/>
      <w:pPr>
        <w:ind w:left="3600" w:hanging="360"/>
      </w:pPr>
    </w:lvl>
    <w:lvl w:ilvl="5" w:tplc="8C7AB9EC" w:tentative="1">
      <w:start w:val="1"/>
      <w:numFmt w:val="bullet"/>
      <w:lvlText w:val="■"/>
      <w:lvlJc w:val="left"/>
      <w:pPr>
        <w:ind w:left="4320" w:hanging="360"/>
      </w:pPr>
    </w:lvl>
    <w:lvl w:ilvl="6" w:tplc="221E5E9A" w:tentative="1">
      <w:start w:val="1"/>
      <w:numFmt w:val="bullet"/>
      <w:lvlText w:val="●"/>
      <w:lvlJc w:val="left"/>
      <w:pPr>
        <w:ind w:left="5040" w:hanging="360"/>
      </w:pPr>
    </w:lvl>
    <w:lvl w:ilvl="7" w:tplc="AB52E11A" w:tentative="1">
      <w:start w:val="1"/>
      <w:numFmt w:val="bullet"/>
      <w:lvlText w:val="●"/>
      <w:lvlJc w:val="left"/>
      <w:pPr>
        <w:ind w:left="5760" w:hanging="360"/>
      </w:pPr>
    </w:lvl>
    <w:lvl w:ilvl="8" w:tplc="41CA6036" w:tentative="1">
      <w:start w:val="1"/>
      <w:numFmt w:val="bullet"/>
      <w:lvlText w:val="●"/>
      <w:lvlJc w:val="left"/>
      <w:pPr>
        <w:ind w:left="6480" w:hanging="360"/>
      </w:pPr>
    </w:lvl>
  </w:abstractNum>
  <w:num w:numId="1" w16cid:durableId="1881937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BAE"/>
    <w:rsid w:val="00207BAE"/>
    <w:rsid w:val="003E2F34"/>
    <w:rsid w:val="00DD1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79803"/>
  <w15:docId w15:val="{A2D6DE6B-79E9-471B-8FBF-ACBC923E1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1387</Words>
  <Characters>7910</Characters>
  <Application>Microsoft Office Word</Application>
  <DocSecurity>0</DocSecurity>
  <Lines>65</Lines>
  <Paragraphs>18</Paragraphs>
  <ScaleCrop>false</ScaleCrop>
  <Company/>
  <LinksUpToDate>false</LinksUpToDate>
  <CharactersWithSpaces>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Survey – Civic Open-Data Dashboard</dc:title>
  <dc:creator>P. V. Mohan Eswar</dc:creator>
  <cp:lastModifiedBy>mohan eswar puvvada venkata</cp:lastModifiedBy>
  <cp:revision>2</cp:revision>
  <dcterms:created xsi:type="dcterms:W3CDTF">2026-10-16T03:24:00Z</dcterms:created>
  <dcterms:modified xsi:type="dcterms:W3CDTF">2026-10-16T03:27:00Z</dcterms:modified>
</cp:coreProperties>
</file>