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2E74B5"/>
          <w:sz w:val="22"/>
        </w:rPr>
        <w:t>SECURE DOCUMENT VAULT</w:t>
      </w:r>
    </w:p>
    <w:p>
      <w:pPr>
        <w:pStyle w:val="Title"/>
      </w:pPr>
      <w:r>
        <w:t>V1 Product Requirements Baseline</w:t>
      </w:r>
    </w:p>
    <w:p>
      <w:r>
        <w:rPr>
          <w:rFonts w:ascii="Aptos" w:hAnsi="Aptos"/>
          <w:color w:val="595959"/>
          <w:sz w:val="28"/>
        </w:rPr>
        <w:t>Frozen functional, security, lifecycle and operational requirements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8"/>
              </w:rPr>
              <w:t>Project code name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Secure Document Vault (SDV)</w:t>
            </w:r>
          </w:p>
        </w:tc>
      </w:tr>
      <w:tr>
        <w:tc>
          <w:tcPr>
            <w:tcW w:type="dxa" w:w="5040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8"/>
              </w:rPr>
              <w:t>Document version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1.1</w:t>
            </w:r>
          </w:p>
        </w:tc>
      </w:tr>
      <w:tr>
        <w:tc>
          <w:tcPr>
            <w:tcW w:type="dxa" w:w="5040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8"/>
              </w:rPr>
              <w:t>Product baseline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Frozen V1</w:t>
            </w:r>
          </w:p>
        </w:tc>
      </w:tr>
      <w:tr>
        <w:tc>
          <w:tcPr>
            <w:tcW w:type="dxa" w:w="5040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8"/>
              </w:rPr>
              <w:t>Development status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Unit 0 candidate - runtime verification pending</w:t>
            </w:r>
          </w:p>
        </w:tc>
      </w:tr>
      <w:tr>
        <w:tc>
          <w:tcPr>
            <w:tcW w:type="dxa" w:w="5040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8"/>
              </w:rPr>
              <w:t>Updated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September 22, 2026</w:t>
            </w:r>
          </w:p>
        </w:tc>
      </w:tr>
    </w:tbl>
    <w:p/>
    <w:p>
      <w:r>
        <w:rPr>
          <w:rFonts w:ascii="Aptos" w:hAnsi="Aptos"/>
          <w:b/>
          <w:color w:val="1F3864"/>
        </w:rPr>
        <w:t>Purpose</w:t>
      </w:r>
    </w:p>
    <w:p>
      <w:r>
        <w:rPr>
          <w:rFonts w:ascii="Aptos" w:hAnsi="Aptos"/>
        </w:rPr>
        <w:t>This document reflects the complete SDV V1 product and development decisions agreed to date and is intended to be used as an authoritative project reference.</w:t>
      </w:r>
    </w:p>
    <w:p>
      <w:r>
        <w:br w:type="page"/>
      </w:r>
    </w:p>
    <w:p>
      <w:pPr>
        <w:pStyle w:val="Heading1"/>
        <w:keepNext/>
      </w:pPr>
      <w:r>
        <w:t>1. Purpose and Change Control</w:t>
      </w:r>
    </w:p>
    <w:p>
      <w:r>
        <w:rPr>
          <w:rFonts w:ascii="Aptos" w:hAnsi="Aptos"/>
        </w:rPr>
        <w:t>This document is the authoritative SDV V1 product behavior baseline. Frozen requirements are not to be silently changed during implementation. A conflict discovered during development must be classified as a defect, implementation detail, technical-attention item, future enhancement, or explicit V1 scope change.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F3864"/>
                <w:sz w:val="21"/>
              </w:rPr>
              <w:t>V1 product scope is frozen. Unit-level implementation details may evolve only when they preserve the frozen behavior.</w:t>
            </w:r>
          </w:p>
        </w:tc>
      </w:tr>
    </w:tbl>
    <w:p/>
    <w:p>
      <w:pPr>
        <w:pStyle w:val="Heading1"/>
        <w:keepNext/>
      </w:pPr>
      <w:r>
        <w:t>2. Roles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4"/>
              </w:rPr>
              <w:t>Capability</w:t>
            </w:r>
          </w:p>
        </w:tc>
        <w:tc>
          <w:tcPr>
            <w:tcW w:type="dxa" w:w="168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4"/>
              </w:rPr>
              <w:t>Business User</w:t>
            </w:r>
          </w:p>
        </w:tc>
        <w:tc>
          <w:tcPr>
            <w:tcW w:type="dxa" w:w="168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4"/>
              </w:rPr>
              <w:t>Document Steward</w:t>
            </w:r>
          </w:p>
        </w:tc>
        <w:tc>
          <w:tcPr>
            <w:tcW w:type="dxa" w:w="168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4"/>
              </w:rPr>
              <w:t>Business Admin</w:t>
            </w:r>
          </w:p>
        </w:tc>
        <w:tc>
          <w:tcPr>
            <w:tcW w:type="dxa" w:w="168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4"/>
              </w:rPr>
              <w:t>Tenant IT Admin</w:t>
            </w:r>
          </w:p>
        </w:tc>
        <w:tc>
          <w:tcPr>
            <w:tcW w:type="dxa" w:w="168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4"/>
              </w:rPr>
              <w:t>Platform Ops Admin</w:t>
            </w:r>
          </w:p>
        </w:tc>
      </w:tr>
      <w:tr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Search records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Yes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Yes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Optional additional permission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</w:tr>
      <w:tr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View PDFs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Yes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Yes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Optional additional permission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</w:tr>
      <w:tr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Permanent redaction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Yes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 by default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</w:tr>
      <w:tr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Download current PDF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 by default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Yes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 by default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</w:tr>
      <w:tr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Configure metadata/search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Yes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</w:tr>
      <w:tr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Configure retention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Yes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</w:tr>
      <w:tr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Configure business limits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Yes within technical ceiling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Technical ceiling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Platform ceiling</w:t>
            </w:r>
          </w:p>
        </w:tc>
      </w:tr>
      <w:tr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Configure ingestion sources/credentials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Yes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Hosted platform only</w:t>
            </w:r>
          </w:p>
        </w:tc>
      </w:tr>
      <w:tr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Configure tenant SSO/auth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Yes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Platform-level capabilities</w:t>
            </w:r>
          </w:p>
        </w:tc>
      </w:tr>
      <w:tr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Configure local storage/key provider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Yes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Hosted platform only</w:t>
            </w:r>
          </w:p>
        </w:tc>
      </w:tr>
      <w:tr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View technical failures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Limited business context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Yes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Yes</w:t>
            </w:r>
          </w:p>
        </w:tc>
      </w:tr>
      <w:tr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Platform configuration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Yes</w:t>
            </w:r>
          </w:p>
        </w:tc>
      </w:tr>
    </w:tbl>
    <w:p/>
    <w:p>
      <w:pPr>
        <w:pStyle w:val="Heading1"/>
        <w:keepNext/>
      </w:pPr>
      <w:r>
        <w:t>3. Default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Guardrail</w:t>
            </w:r>
          </w:p>
        </w:tc>
        <w:tc>
          <w:tcPr>
            <w:tcW w:type="dxa" w:w="336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Default</w:t>
            </w:r>
          </w:p>
        </w:tc>
        <w:tc>
          <w:tcPr>
            <w:tcW w:type="dxa" w:w="336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Notes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Maximum single PDF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250 MB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Configurable tenant guardrail; streaming required.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Maximum pages per PDF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2,000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Configurable resource protection.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Maximum documents per submission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100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Configurable.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Maximum aggregate submission size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2 GB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Logical total across independent document uploads.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Incomplete attention threshold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24 hours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Configurable; warning/status threshold, not deletion or forced closure.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Local volume capacity warning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90%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Configurable; visible to all logged-in users.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Local volume stop-write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95% initial recommendation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Configurable; new writes route elsewhere if possible.</w:t>
            </w:r>
          </w:p>
        </w:tc>
      </w:tr>
    </w:tbl>
    <w:p/>
    <w:p>
      <w:pPr>
        <w:pStyle w:val="Heading1"/>
        <w:keepNext/>
      </w:pPr>
      <w:r>
        <w:t>4. Requirements Catalogue</w:t>
      </w:r>
    </w:p>
    <w:p>
      <w:pPr>
        <w:pStyle w:val="Heading2"/>
        <w:keepNext/>
      </w:pPr>
      <w:r>
        <w:t>Product Independence and Tenancy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ID</w:t>
            </w:r>
          </w:p>
        </w:tc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Requirement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SDV-PRD-001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 is an independent product with no shared code, libraries, databases, schemas, internal IDs, domain models, deployment units, or runtime dependencies with LexaVault or another producer.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SDV-TEN-001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Every tenant-owned record and operation is tenant-scoped; cross-tenant access fails closed.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SDV-TEN-002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Tenants are cryptographically isolated; tenant protection-key material is never shared across tenants.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SDV-TEN-003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One business identifier/business record may accumulate multiple submissions and documents over time.</w:t>
            </w:r>
          </w:p>
        </w:tc>
      </w:tr>
    </w:tbl>
    <w:p/>
    <w:p>
      <w:pPr>
        <w:pStyle w:val="Heading2"/>
        <w:keepNext/>
      </w:pPr>
      <w:r>
        <w:t>API-Only Ingestion and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ID</w:t>
            </w:r>
          </w:p>
        </w:tc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Requirement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SDV-API-001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V1 ingestion is API-only. Scanner intake, watched folders, and manual filesystem pickup are not supported.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SDV-SRC-001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 tenant can configure multiple independently authenticated ingestion sources.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SDV-SRC-002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Each ingestion source may have a different configured metadata/search schema.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SDV-SRC-003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 APIs are integration-neutral. LexaVault is one possible source, not a dependency.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SDV-SRC-004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Source system, sourceSubmissionId, optional sourceDocumentId, and correlation references are retained for traceability but do not become SDV primary identities.</w:t>
            </w:r>
          </w:p>
        </w:tc>
      </w:tr>
    </w:tbl>
    <w:p/>
    <w:p>
      <w:pPr>
        <w:pStyle w:val="Heading2"/>
        <w:keepNext/>
      </w:pPr>
      <w:r>
        <w:t>Metadata and 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ID</w:t>
            </w:r>
          </w:p>
        </w:tc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Requirement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SDV-META-001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Business Admin configures field key, display label, type, required/optional, business-identifier flag, searchable flag, normalization, and validation rules.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SDV-META-002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The submitting source supplies all business metadata. SDV does not OCR, mine, infer, or AI-extract these fields.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SDV-META-003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The same configured schema drives ingestion validation and the source-aware search UI.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SDV-META-004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Configuration changes do not retroactively rewrite historical stored metadata.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SDV-SEA-001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Structured identifiers use exact matching by default with field-aware normalization and optional configurable prefix/partial search.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SDV-SEA-002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Person/entity name fields may support user-friendly partial/prefix search.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SDV-SEA-003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Search only exposes fields configured for the relevant source; SDV does not force one universal search schema.</w:t>
            </w:r>
          </w:p>
        </w:tc>
      </w:tr>
    </w:tbl>
    <w:p/>
    <w:p>
      <w:pPr>
        <w:pStyle w:val="Heading2"/>
        <w:keepNext/>
      </w:pPr>
      <w:r>
        <w:t>Submission, Acknowledgement and Retry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ID</w:t>
            </w:r>
          </w:p>
        </w:tc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Requirement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SDV-SUB-001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One SDV submission contains shared metadata plus 1..N expected PDFs and receives an SDV-generated submissionId.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SDV-SUB-002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The source should declare expected document count and, when available, stable sourceDocumentId manifest entries.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SDV-SUB-003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Documents are uploaded independently so network interruption does not invalidate previously received documents.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SDV-ACK-001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RECEIVED ACK is returned only after SDV has secure durable custody and has committed the receipt state; full downstream finalization may continue asynchronously.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SDV-SUB-004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Safe retry/idempotency prevents duplicate SDV documents if an ACK is lost and a source retries.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SDV-SUB-005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Authorized users may see AVAILABLE documents even while the submission remains incomplete.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SDV-SUB-006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Expected/received/missing counts and specific missing sourceDocumentIds are displayed only while a submission is incomplete.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SDV-SUB-007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Completed submissions behave normally; completion statistics are hidden from the standard business view.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SDV-SUB-008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Default 24-hour inactivity is an attention threshold only. It does not delete received documents or prevent later resumption with the same source submission identity.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SDV-SUB-009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Optional generic source notification/retrieval capability may be used for recovery; SDV must not depend on LexaVault-specific internal APIs.</w:t>
            </w:r>
          </w:p>
        </w:tc>
      </w:tr>
    </w:tbl>
    <w:p/>
    <w:p>
      <w:pPr>
        <w:pStyle w:val="Heading2"/>
        <w:keepNext/>
      </w:pPr>
      <w:r>
        <w:t>Duplicate 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ID</w:t>
            </w:r>
          </w:p>
        </w:tc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Requirement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SDV-DUP-001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 detects exact duplicate PDF content using a strong cryptographic fingerprint in the applicable context.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SDV-DUP-002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Filename never determines uniqueness; the same filename with different content is a distinct document.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SDV-DUP-003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Semantic, visual, OCR-based and near-duplicate detection are explicitly outside V1.</w:t>
            </w:r>
          </w:p>
        </w:tc>
      </w:tr>
    </w:tbl>
    <w:p/>
    <w:p>
      <w:pPr>
        <w:pStyle w:val="Heading2"/>
        <w:keepNext/>
      </w:pPr>
      <w:r>
        <w:t>Encryption and Keys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ID</w:t>
            </w:r>
          </w:p>
        </w:tc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Requirement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SDV-ENC-001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Readable PDF content is not persisted in configured final document storage.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SDV-ENC-002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V1 uses one versioned streaming authenticated-encryption profile, SDV-ENC-001, backed by mature cryptographic libraries rather than custom crypto.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SDV-ENC-003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Every stored document persists sufficient crypto profile/version/provider metadata to allow future crypto agility.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SDV-KEY-001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Each document uses a unique data-encryption key protected by a tenant-isolated key hierarchy.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SDV-KEY-002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Locally managed deployments use an external/self-hosted key-management approach behind KeyProtectionProvider; Vault-style Transit is the initial implementation direction.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SDV-KEY-003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Master/tenant protection keys are not stored beside encrypted document objects or as plaintext in the SDV database.</w:t>
            </w:r>
          </w:p>
        </w:tc>
      </w:tr>
    </w:tbl>
    <w:p/>
    <w:p>
      <w:pPr>
        <w:pStyle w:val="Heading2"/>
        <w:keepNext/>
      </w:pPr>
      <w:r>
        <w:t>Storage and Capacity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ID</w:t>
            </w:r>
          </w:p>
        </w:tc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Requirement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SDV-STO-001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Document persistence is behind StorageProvider. V1 local/demo uses local filesystem; S3/object storage remains a future provider without changing business logic.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SDV-STO-002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Database stores logical provider/volume ID plus opaque object key, not business identifiers or hard-coded absolute paths.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SDV-STO-003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Local storage supports multiple technical-admin-configured volumes/roots.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SDV-STO-004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Existing documents stay on their original volume when new capacity is added; V1 does not automatically migrate/rebalance existing content.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SDV-STO-005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Volume states support ACTIVE, READ_ONLY, and OFFLINE; DRAINING is future-ready.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SDV-STO-006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Default capacity-warning threshold is 90% and is configurable.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SDV-STO-007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When warning threshold is reached, all logged-in users see a prominent warning; Tenant IT/Platform Ops receive actionable volume details/configuration controls.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SDV-STO-008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 separate higher stop-write threshold (95% initial recommendation) prevents new placement on an unsafe volume and routes new content to another healthy volume when available.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SDV-STO-009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If no writable volume can guarantee durable custody, SDV fails ingestion safely and does not send a successful RECEIVED acknowledgement.</w:t>
            </w:r>
          </w:p>
        </w:tc>
      </w:tr>
    </w:tbl>
    <w:p/>
    <w:p>
      <w:pPr>
        <w:pStyle w:val="Heading2"/>
        <w:keepNext/>
      </w:pPr>
      <w:r>
        <w:t>Business View and Corrective Redaction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ID</w:t>
            </w:r>
          </w:p>
        </w:tc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Requirement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SDV-VIEW-001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Authorized users can search and open a Business Record View and securely view associated AVAILABLE PDFs page by page.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SDV-VIEW-002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View and download are separate permissions.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SDV-VIEW-003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Viewer avoids plaintext server-side temp persistence and applies appropriate session/cache protections.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SDV-RED-001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Only authorized Document Stewards can permanently redact in V1.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SDV-RED-002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User may mark multiple rectangular regions across one or multiple pages, provide a mandatory reason, and explicitly confirm the permanent operation.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SDV-RED-003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Redaction must truly sanitize/remove underlying PDF content; a visual-only overlay is unacceptable.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SDV-RED-004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After successful atomic replacement, SDV does not retain the previous pre-correction document version.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SDV-RED-005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Redaction audit records actor/time/page/region/reason/outcome/integrity evidence but never stores the removed sensitive text itself.</w:t>
            </w:r>
          </w:p>
        </w:tc>
      </w:tr>
    </w:tbl>
    <w:p/>
    <w:p>
      <w:pPr>
        <w:pStyle w:val="Heading2"/>
        <w:keepNext/>
      </w:pPr>
      <w:r>
        <w:t>Retention, Audit and Deletion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ID</w:t>
            </w:r>
          </w:p>
        </w:tc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Requirement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SDV-RET-001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Retention is indefinite by default; tenant may configure a finite period.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SDV-RET-002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Retention is snapshotted per document at ingestion; later tenant changes affect future documents only.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SDV-RET-003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Manual corrective redaction does not reset or extend the original expiration date.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SDV-RET-004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V1 provides no manual user/admin document deletion; expiration-driven deletion is automatic.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SDV-RET-005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At expiration, protected document content/key reference is removed while metadata/tombstone/audit remain indefinitely, including ingestion, expiration, deletion time and reason.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SDV-AUD-001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Audit retention is indefinite by default.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SDV-AUD-002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Audit covers ingestion, receipt, access/view, download, redaction, retention deletion, auth decisions, configuration changes and relevant technical/security events.</w:t>
            </w:r>
          </w:p>
        </w:tc>
      </w:tr>
    </w:tbl>
    <w:p/>
    <w:p>
      <w:pPr>
        <w:pStyle w:val="Heading2"/>
        <w:keepNext/>
      </w:pPr>
      <w:r>
        <w:t>Authentication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ID</w:t>
            </w:r>
          </w:p>
        </w:tc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Requirement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SDV-AUTH-001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Authentication is provider-neutral and supports common enterprise standards rather than vendor-specific identity code.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SDV-AUTH-002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Interactive authentication architecture supports OIDC/OAuth2/JWT-based enterprise SSO, SAML where required, and LDAP/Active Directory through an appropriate layer.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SDV-AUTH-003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Machine-to-machine ingestion supports common secure mechanisms such as OAuth2 client credentials/JWT bearer and mTLS.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SDV-RBAC-001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V1 roles are BUSINESS_USER, DOCUMENT_STEWARD, BUSINESS_ADMIN, TENANT_IT_ADMIN, PLATFORM_OPERATIONS_ADMIN.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SDV-RBAC-002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Administrative roles do not automatically receive document-view/download privileges; multiple roles may be explicitly assigned when needed.</w:t>
            </w:r>
          </w:p>
        </w:tc>
      </w:tr>
    </w:tbl>
    <w:p/>
    <w:p>
      <w:pPr>
        <w:pStyle w:val="Heading2"/>
        <w:keepNext/>
      </w:pPr>
      <w:r>
        <w:t>Operations, Availability and DR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ID</w:t>
            </w:r>
          </w:p>
        </w:tc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Requirement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SDV-OPS-001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V1 is single-region but application architecture is HA-ready and can support multiple stateless instances.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SDV-OPS-002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Multi-region active-active is outside V1.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SDV-OPS-003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Operational monitoring covers application, database, key service, storage reachability/writability/capacity, processing failures, and stuck/incomplete submissions.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SDV-DR-001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 recoverable SDV system requires coordinated restoration of PostgreSQL metadata, encrypted storage, key-management state, and necessary SDV configuration.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SDV-DR-002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Tenant IT owns backup/DR policy for tenant-managed deployments; Platform Operations owns it for operator-hosted deployments.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SDV-DR-003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 documentation provides a restore-validation procedure that verifies metadata, object, key, integrity/decryption and document serving.</w:t>
            </w:r>
          </w:p>
        </w:tc>
      </w:tr>
    </w:tbl>
    <w:p/>
    <w:p>
      <w:pPr>
        <w:pStyle w:val="Heading2"/>
        <w:keepNext/>
      </w:pPr>
      <w:r>
        <w:t>V1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ID</w:t>
            </w:r>
          </w:p>
        </w:tc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Requirement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SDV-NFR-001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Upload/page/document-count/aggregate thresholds are configurable resource/security controls and should be generous for normal business PDFs.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SDV-NFR-002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Local/demo development uses dedicated defaults: backend 8180, frontend 5183, PostgreSQL 5433 to coexist with LexaVault.</w:t>
            </w:r>
          </w:p>
        </w:tc>
      </w:tr>
    </w:tbl>
    <w:p/>
    <w:p>
      <w:pPr>
        <w:pStyle w:val="Heading1"/>
        <w:keepNext/>
      </w:pPr>
      <w:r>
        <w:t>5. V1 Non-Goals</w:t>
      </w:r>
    </w:p>
    <w:p>
      <w:pPr>
        <w:pStyle w:val="ListBullet"/>
      </w:pPr>
      <w:r>
        <w:rPr>
          <w:rFonts w:ascii="Aptos" w:hAnsi="Aptos"/>
        </w:rPr>
        <w:t>Scanner intake, watched folders, manual local pickup.</w:t>
      </w:r>
    </w:p>
    <w:p>
      <w:pPr>
        <w:pStyle w:val="ListBullet"/>
      </w:pPr>
      <w:r>
        <w:rPr>
          <w:rFonts w:ascii="Aptos" w:hAnsi="Aptos"/>
        </w:rPr>
        <w:t>OCR/AI metadata extraction or sensitive-data discovery.</w:t>
      </w:r>
    </w:p>
    <w:p>
      <w:pPr>
        <w:pStyle w:val="ListBullet"/>
      </w:pPr>
      <w:r>
        <w:rPr>
          <w:rFonts w:ascii="Aptos" w:hAnsi="Aptos"/>
        </w:rPr>
        <w:t>Semantic/visual/near-duplicate detection.</w:t>
      </w:r>
    </w:p>
    <w:p>
      <w:pPr>
        <w:pStyle w:val="ListBullet"/>
      </w:pPr>
      <w:r>
        <w:rPr>
          <w:rFonts w:ascii="Aptos" w:hAnsi="Aptos"/>
        </w:rPr>
        <w:t>General-purpose document editing, collaboration or annotation workflow.</w:t>
      </w:r>
    </w:p>
    <w:p>
      <w:pPr>
        <w:pStyle w:val="ListBullet"/>
      </w:pPr>
      <w:r>
        <w:rPr>
          <w:rFonts w:ascii="Aptos" w:hAnsi="Aptos"/>
        </w:rPr>
        <w:t>Automatic storage-volume migration/rebalancing.</w:t>
      </w:r>
    </w:p>
    <w:p>
      <w:pPr>
        <w:pStyle w:val="ListBullet"/>
      </w:pPr>
      <w:r>
        <w:rPr>
          <w:rFonts w:ascii="Aptos" w:hAnsi="Aptos"/>
        </w:rPr>
        <w:t>Multi-region active-active.</w:t>
      </w:r>
    </w:p>
    <w:p>
      <w:pPr>
        <w:pStyle w:val="ListBullet"/>
      </w:pPr>
      <w:r>
        <w:rPr>
          <w:rFonts w:ascii="Aptos" w:hAnsi="Aptos"/>
        </w:rPr>
        <w:t>Manual user/admin deletion of documents.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5"/>
      </w:rPr>
      <w:t>SDV V1 Product Baseline - Frozen | Unit 0 Candidate | v1.1 | September 22,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95959"/>
        <w:sz w:val="16"/>
      </w:rPr>
      <w:t>SECURE DOCUMENT VAULT (SDV)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E1E1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