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 Display" w:hAnsi="Aptos Display"/>
          <w:b/>
          <w:color w:val="2E74B5"/>
          <w:sz w:val="22"/>
        </w:rPr>
        <w:t>SECURE DOCUMENT VAULT</w:t>
      </w:r>
    </w:p>
    <w:p>
      <w:pPr>
        <w:pStyle w:val="Title"/>
      </w:pPr>
      <w:r>
        <w:t>Technical Architecture and Security Baseline</w:t>
      </w:r>
    </w:p>
    <w:p>
      <w:r>
        <w:rPr>
          <w:rFonts w:ascii="Aptos" w:hAnsi="Aptos"/>
          <w:color w:val="595959"/>
          <w:sz w:val="28"/>
        </w:rPr>
        <w:t>Implementation architecture for the independent SDV V1 product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F2F2F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sz w:val="18"/>
              </w:rPr>
              <w:t>Project code name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Secure Document Vault (SDV)</w:t>
            </w:r>
          </w:p>
        </w:tc>
      </w:tr>
      <w:tr>
        <w:tc>
          <w:tcPr>
            <w:tcW w:type="dxa" w:w="5040"/>
            <w:shd w:fill="F2F2F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sz w:val="18"/>
              </w:rPr>
              <w:t>Document version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1.1</w:t>
            </w:r>
          </w:p>
        </w:tc>
      </w:tr>
      <w:tr>
        <w:tc>
          <w:tcPr>
            <w:tcW w:type="dxa" w:w="5040"/>
            <w:shd w:fill="F2F2F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sz w:val="18"/>
              </w:rPr>
              <w:t>Product baseline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Frozen V1</w:t>
            </w:r>
          </w:p>
        </w:tc>
      </w:tr>
      <w:tr>
        <w:tc>
          <w:tcPr>
            <w:tcW w:type="dxa" w:w="5040"/>
            <w:shd w:fill="F2F2F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sz w:val="18"/>
              </w:rPr>
              <w:t>Development status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Unit 0 candidate - runtime verification pending</w:t>
            </w:r>
          </w:p>
        </w:tc>
      </w:tr>
      <w:tr>
        <w:tc>
          <w:tcPr>
            <w:tcW w:type="dxa" w:w="5040"/>
            <w:shd w:fill="F2F2F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sz w:val="18"/>
              </w:rPr>
              <w:t>Updated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sz w:val="18"/>
              </w:rPr>
              <w:t>September 22, 2026</w:t>
            </w:r>
          </w:p>
        </w:tc>
      </w:tr>
    </w:tbl>
    <w:p/>
    <w:p>
      <w:r>
        <w:rPr>
          <w:rFonts w:ascii="Aptos" w:hAnsi="Aptos"/>
          <w:b/>
          <w:color w:val="1F3864"/>
        </w:rPr>
        <w:t>Purpose</w:t>
      </w:r>
    </w:p>
    <w:p>
      <w:r>
        <w:rPr>
          <w:rFonts w:ascii="Aptos" w:hAnsi="Aptos"/>
        </w:rPr>
        <w:t>This document reflects the complete SDV V1 product and development decisions agreed to date and is intended to be used as an authoritative project reference.</w:t>
      </w:r>
    </w:p>
    <w:p>
      <w:r>
        <w:br w:type="page"/>
      </w:r>
    </w:p>
    <w:p>
      <w:pPr>
        <w:pStyle w:val="Heading1"/>
        <w:keepNext/>
      </w:pPr>
      <w:r>
        <w:t>1. Architecture Principles</w:t>
      </w:r>
    </w:p>
    <w:p>
      <w:pPr>
        <w:pStyle w:val="ListBullet"/>
      </w:pPr>
      <w:r>
        <w:rPr>
          <w:rFonts w:ascii="Aptos" w:hAnsi="Aptos"/>
        </w:rPr>
        <w:t>Independent product and repository; no shared LexaVault implementation.</w:t>
      </w:r>
    </w:p>
    <w:p>
      <w:pPr>
        <w:pStyle w:val="ListBullet"/>
      </w:pPr>
      <w:r>
        <w:rPr>
          <w:rFonts w:ascii="Aptos" w:hAnsi="Aptos"/>
        </w:rPr>
        <w:t>API-first and source-neutral.</w:t>
      </w:r>
    </w:p>
    <w:p>
      <w:pPr>
        <w:pStyle w:val="ListBullet"/>
      </w:pPr>
      <w:r>
        <w:rPr>
          <w:rFonts w:ascii="Aptos" w:hAnsi="Aptos"/>
        </w:rPr>
        <w:t>Tenant isolation is mandatory in persistence, authorization and cryptographic design.</w:t>
      </w:r>
    </w:p>
    <w:p>
      <w:pPr>
        <w:pStyle w:val="ListBullet"/>
      </w:pPr>
      <w:r>
        <w:rPr>
          <w:rFonts w:ascii="Aptos" w:hAnsi="Aptos"/>
        </w:rPr>
        <w:t>Storage access must not imply readable-document access.</w:t>
      </w:r>
    </w:p>
    <w:p>
      <w:pPr>
        <w:pStyle w:val="ListBullet"/>
      </w:pPr>
      <w:r>
        <w:rPr>
          <w:rFonts w:ascii="Aptos" w:hAnsi="Aptos"/>
        </w:rPr>
        <w:t>PostgreSQL is the system of record for metadata/state; document bytes live in StorageProvider.</w:t>
      </w:r>
    </w:p>
    <w:p>
      <w:pPr>
        <w:pStyle w:val="ListBullet"/>
      </w:pPr>
      <w:r>
        <w:rPr>
          <w:rFonts w:ascii="Aptos" w:hAnsi="Aptos"/>
        </w:rPr>
        <w:t>No readable PDF persistence in configured final storage or normal server temp files.</w:t>
      </w:r>
    </w:p>
    <w:p>
      <w:pPr>
        <w:pStyle w:val="ListBullet"/>
      </w:pPr>
      <w:r>
        <w:rPr>
          <w:rFonts w:ascii="Aptos" w:hAnsi="Aptos"/>
        </w:rPr>
        <w:t>Provider abstractions for storage, key protection and enterprise identity.</w:t>
      </w:r>
    </w:p>
    <w:p>
      <w:pPr>
        <w:pStyle w:val="ListBullet"/>
      </w:pPr>
      <w:r>
        <w:rPr>
          <w:rFonts w:ascii="Aptos" w:hAnsi="Aptos"/>
        </w:rPr>
        <w:t>Security/audit/state transitions are first-class behavior.</w:t>
      </w:r>
    </w:p>
    <w:p>
      <w:pPr>
        <w:pStyle w:val="Heading1"/>
        <w:keepNext/>
      </w:pPr>
      <w:r>
        <w:t>2. Technology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2F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F3864"/>
                <w:sz w:val="16"/>
              </w:rPr>
              <w:t>Layer</w:t>
            </w:r>
          </w:p>
        </w:tc>
        <w:tc>
          <w:tcPr>
            <w:tcW w:type="dxa" w:w="5040"/>
            <w:shd w:fill="D9E2F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F3864"/>
                <w:sz w:val="16"/>
              </w:rPr>
              <w:t>V1 direction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Backend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Java 21, Spring Boot, Maven multi-module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Database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PostgreSQL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Schema migration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Liquibase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Frontend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React + TypeScript + Vite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Local/demo storage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Filesystem StorageProvider with multiple volumes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Future storage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S3/object store via same abstraction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Crypto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SDV-ENC-001 versioned streaming authenticated encryption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Key management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KeyProtectionProvider; self-hosted Vault-style Transit first direction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Identity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Provider-neutral enterprise OIDC/OAuth2/JWT; SAML/LDAP integration patterns; OAuth2/mTLS M2M</w:t>
            </w:r>
          </w:p>
        </w:tc>
      </w:tr>
    </w:tbl>
    <w:p/>
    <w:p>
      <w:pPr>
        <w:pStyle w:val="Heading1"/>
        <w:keepNext/>
      </w:pPr>
      <w:r>
        <w:t>3. Local Development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2F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F3864"/>
                <w:sz w:val="18"/>
              </w:rPr>
              <w:t>Service</w:t>
            </w:r>
          </w:p>
        </w:tc>
        <w:tc>
          <w:tcPr>
            <w:tcW w:type="dxa" w:w="5040"/>
            <w:shd w:fill="D9E2F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F3864"/>
                <w:sz w:val="18"/>
              </w:rPr>
              <w:t>Default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SDV backend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localhost:8180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SDV frontend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localhost:5183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SDV PostgreSQL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8"/>
              </w:rPr>
              <w:t>localhost:5433</w:t>
            </w:r>
          </w:p>
        </w:tc>
      </w:tr>
    </w:tbl>
    <w:p/>
    <w:p>
      <w:r>
        <w:rPr>
          <w:rFonts w:ascii="Aptos" w:hAnsi="Aptos"/>
        </w:rPr>
        <w:t>These dedicated local ports allow SDV and LexaVault to run side by side without creating any runtime dependency.</w:t>
      </w:r>
    </w:p>
    <w:p>
      <w:pPr>
        <w:pStyle w:val="Heading1"/>
        <w:keepNext/>
      </w:pPr>
      <w:r>
        <w:t>4. Logical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2F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F3864"/>
                <w:sz w:val="16"/>
              </w:rPr>
              <w:t>Component</w:t>
            </w:r>
          </w:p>
        </w:tc>
        <w:tc>
          <w:tcPr>
            <w:tcW w:type="dxa" w:w="5040"/>
            <w:shd w:fill="D9E2F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F3864"/>
                <w:sz w:val="16"/>
              </w:rPr>
              <w:t>Responsibility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Submission API/Service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Create submission, expected manifest, traceability, status and resume semantics.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Document Intake Service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Independent PDF upload, validation, idempotency, fingerprint and durable-receipt ACK.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Metadata Configuration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Source-specific field definitions and validation/search rules.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Business Record/Search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Source-aware search and aggregation of submissions/documents over time.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Crypto Service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SDV-ENC profile selection, streaming encrypt/decrypt and integrity.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Key Protection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Per-document key and tenant-isolated provider operations.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Storage Service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Provider abstraction, volume placement, capacity and opaque keys.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Secure Document Service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Authorized stream/decrypt for view/download without plaintext file persistence.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Redaction Service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True PDF sanitization, confirmation, atomic encrypted replacement and audit.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Retention Service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Per-document expiry evaluation and system deletion/tombstone.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Audit Service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Append-oriented security/business/technical audit.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Operations Service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6"/>
              </w:rPr>
              <w:t>Health, capacity, processing failures, incomplete/stuck submissions.</w:t>
            </w:r>
          </w:p>
        </w:tc>
      </w:tr>
    </w:tbl>
    <w:p/>
    <w:p>
      <w:pPr>
        <w:pStyle w:val="Heading1"/>
        <w:keepNext/>
      </w:pPr>
      <w:r>
        <w:t>5. Conceptual Data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2F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F3864"/>
                <w:sz w:val="15"/>
              </w:rPr>
              <w:t>Entity</w:t>
            </w:r>
          </w:p>
        </w:tc>
        <w:tc>
          <w:tcPr>
            <w:tcW w:type="dxa" w:w="5040"/>
            <w:shd w:fill="D9E2F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Aptos" w:hAnsi="Aptos"/>
                <w:b/>
                <w:color w:val="1F3864"/>
                <w:sz w:val="15"/>
              </w:rPr>
              <w:t>Key data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Tenant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tenantId, status, retention default, business settings, technical ceilings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IngestionSource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sourceId, tenantId, auth profile, source-specific metadata schema, limits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MetadataFieldDefinition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fieldKey, label, type, required, identifier, searchable, normalization/search mode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Submission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submissionId, tenant/source, sourceSubmissionId, expected manifest/count, status, timestamps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SubmissionExpectedDocument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sourceDocumentId and expected/received state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Document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documentId, submission, sourceDocumentId, filename/type, fingerprint, status, ingestedAt/expiresAt/deletedAt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DocumentStorageRef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providerId, storageVolumeId, opaque objectKey, encrypted size/integrity metadata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DocumentCryptoMetadata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profile/version, protected data-key reference, key provider/version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BusinessMetadataValue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fieldKey, stored value and normalized/search form where allowed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StorageVolume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volumeId, root, state, priority, warning/stop thresholds, observed capacity</w:t>
            </w:r>
          </w:p>
        </w:tc>
      </w:tr>
      <w:tr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AuditEvent</w:t>
            </w:r>
          </w:p>
        </w:tc>
        <w:tc>
          <w:tcPr>
            <w:tcW w:type="dxa" w:w="5040"/>
            <w:tcMar>
              <w:top w:w="80" w:type="dxa"/>
              <w:start w:w="80" w:type="dxa"/>
              <w:bottom w:w="80" w:type="dxa"/>
              <w:end w:w="80" w:type="dxa"/>
            </w:tcMar>
            <w:vAlign w:val="top"/>
          </w:tcPr>
          <w:p>
            <w:r>
              <w:rPr>
                <w:rFonts w:ascii="Aptos" w:hAnsi="Aptos"/>
                <w:sz w:val="15"/>
              </w:rPr>
              <w:t>tenant, actor/source, action, target, time, correlation, outcome, safe details</w:t>
            </w:r>
          </w:p>
        </w:tc>
      </w:tr>
    </w:tbl>
    <w:p/>
    <w:p>
      <w:pPr>
        <w:pStyle w:val="Heading1"/>
        <w:keepNext/>
      </w:pPr>
      <w:r>
        <w:t>6. Submission and Document State</w:t>
      </w:r>
    </w:p>
    <w:p>
      <w:pPr>
        <w:pStyle w:val="Heading2"/>
        <w:keepNext/>
      </w:pPr>
      <w:r>
        <w:t>Document</w:t>
      </w:r>
    </w:p>
    <w:p>
      <w:r>
        <w:rPr>
          <w:rFonts w:ascii="Aptos" w:hAnsi="Aptos"/>
        </w:rPr>
        <w:t>RECEIVING -&gt; RECEIVED -&gt; PROCESSING -&gt; AVAILABLE. A durable document may enter PROCESSING_FAILED and be retried. After retention deletion it is represented by an EXPIRED_DELETED/tombstone state.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/>
                <w:b/>
                <w:color w:val="1F3864"/>
                <w:sz w:val="21"/>
              </w:rPr>
              <w:t>RECEIVED means SDV has secure durable custody and has committed the receipt state; it does not merely mean that network bytes arrived.</w:t>
            </w:r>
          </w:p>
        </w:tc>
      </w:tr>
    </w:tbl>
    <w:p/>
    <w:p>
      <w:pPr>
        <w:pStyle w:val="Heading2"/>
        <w:keepNext/>
      </w:pPr>
      <w:r>
        <w:t>Submission</w:t>
      </w:r>
    </w:p>
    <w:p>
      <w:r>
        <w:rPr>
          <w:rFonts w:ascii="Aptos" w:hAnsi="Aptos"/>
        </w:rPr>
        <w:t>OPEN/RECEIVING becomes COMPLETE when all expected documents are received. If the expected set remains incomplete, SDV marks/communicates INCOMPLETE after the configurable attention threshold; the same source submission can later resume and become COMPLETE.</w:t>
      </w:r>
    </w:p>
    <w:p>
      <w:pPr>
        <w:pStyle w:val="Heading1"/>
        <w:keepNext/>
      </w:pPr>
      <w:r>
        <w:t>7. Cryptographic Architecture</w:t>
      </w:r>
    </w:p>
    <w:p>
      <w:pPr>
        <w:pStyle w:val="ListNumber"/>
      </w:pPr>
      <w:r>
        <w:rPr>
          <w:rFonts w:ascii="Aptos" w:hAnsi="Aptos"/>
        </w:rPr>
        <w:t>Resolve tenant and authorized source/user context.</w:t>
      </w:r>
    </w:p>
    <w:p>
      <w:pPr>
        <w:pStyle w:val="ListNumber"/>
      </w:pPr>
      <w:r>
        <w:rPr>
          <w:rFonts w:ascii="Aptos" w:hAnsi="Aptos"/>
        </w:rPr>
        <w:t>Acquire a unique document data key through KeyProtectionProvider under the tenant key hierarchy.</w:t>
      </w:r>
    </w:p>
    <w:p>
      <w:pPr>
        <w:pStyle w:val="ListNumber"/>
      </w:pPr>
      <w:r>
        <w:rPr>
          <w:rFonts w:ascii="Aptos" w:hAnsi="Aptos"/>
        </w:rPr>
        <w:t>Encrypt using SDV-ENC-001 streaming authenticated encryption.</w:t>
      </w:r>
    </w:p>
    <w:p>
      <w:pPr>
        <w:pStyle w:val="ListNumber"/>
      </w:pPr>
      <w:r>
        <w:rPr>
          <w:rFonts w:ascii="Aptos" w:hAnsi="Aptos"/>
        </w:rPr>
        <w:t>Persist ciphertext only to document storage.</w:t>
      </w:r>
    </w:p>
    <w:p>
      <w:pPr>
        <w:pStyle w:val="ListNumber"/>
      </w:pPr>
      <w:r>
        <w:rPr>
          <w:rFonts w:ascii="Aptos" w:hAnsi="Aptos"/>
        </w:rPr>
        <w:t>Persist protected key reference and crypto profile/version/provider metadata in PostgreSQL.</w:t>
      </w:r>
    </w:p>
    <w:p>
      <w:pPr>
        <w:pStyle w:val="ListNumber"/>
      </w:pPr>
      <w:r>
        <w:rPr>
          <w:rFonts w:ascii="Aptos" w:hAnsi="Aptos"/>
        </w:rPr>
        <w:t>On authorized view/download/redaction, retrieve ciphertext, unprotect key and stream-decrypt through SDV.</w:t>
      </w:r>
    </w:p>
    <w:p>
      <w:pPr>
        <w:pStyle w:val="ListNumber"/>
      </w:pPr>
      <w:r>
        <w:rPr>
          <w:rFonts w:ascii="Aptos" w:hAnsi="Aptos"/>
        </w:rPr>
        <w:t>Never persist the reconstructed plaintext PDF to normal server filesystems.</w:t>
      </w:r>
    </w:p>
    <w:p>
      <w:pPr>
        <w:pStyle w:val="Heading1"/>
        <w:keepNext/>
      </w:pPr>
      <w:r>
        <w:t>8. Local Multi-Volume Storage</w:t>
      </w:r>
    </w:p>
    <w:p>
      <w:pPr>
        <w:pStyle w:val="ListBullet"/>
      </w:pPr>
      <w:r>
        <w:rPr>
          <w:rFonts w:ascii="Aptos" w:hAnsi="Aptos"/>
        </w:rPr>
        <w:t>Tenant IT Admin manages local volumes in tenant-hosted deployments; Platform Operations Admin manages them when operator hosted.</w:t>
      </w:r>
    </w:p>
    <w:p>
      <w:pPr>
        <w:pStyle w:val="ListBullet"/>
      </w:pPr>
      <w:r>
        <w:rPr>
          <w:rFonts w:ascii="Aptos" w:hAnsi="Aptos"/>
        </w:rPr>
        <w:t>Database stores storageVolumeId and opaque relative objectKey rather than an absolute drive path.</w:t>
      </w:r>
    </w:p>
    <w:p>
      <w:pPr>
        <w:pStyle w:val="ListBullet"/>
      </w:pPr>
      <w:r>
        <w:rPr>
          <w:rFonts w:ascii="Aptos" w:hAnsi="Aptos"/>
        </w:rPr>
        <w:t>ACTIVE volumes accept reads/writes; READ_ONLY accepts reads only; OFFLINE is unavailable; DRAINING is reserved for future migration functionality.</w:t>
      </w:r>
    </w:p>
    <w:p>
      <w:pPr>
        <w:pStyle w:val="ListBullet"/>
      </w:pPr>
      <w:r>
        <w:rPr>
          <w:rFonts w:ascii="Aptos" w:hAnsi="Aptos"/>
        </w:rPr>
        <w:t>Existing documents stay on their original volume when a new drive is added.</w:t>
      </w:r>
    </w:p>
    <w:p>
      <w:pPr>
        <w:pStyle w:val="ListBullet"/>
      </w:pPr>
      <w:r>
        <w:rPr>
          <w:rFonts w:ascii="Aptos" w:hAnsi="Aptos"/>
        </w:rPr>
        <w:t>New writes select a healthy ACTIVE volume by configured priority and safe available capacity.</w:t>
      </w:r>
    </w:p>
    <w:p>
      <w:pPr>
        <w:pStyle w:val="ListBullet"/>
      </w:pPr>
      <w:r>
        <w:rPr>
          <w:rFonts w:ascii="Aptos" w:hAnsi="Aptos"/>
        </w:rPr>
        <w:t>90% default utilization warning is configurable and shown to all logged-in users; technical admin gets actionable details.</w:t>
      </w:r>
    </w:p>
    <w:p>
      <w:pPr>
        <w:pStyle w:val="ListBullet"/>
      </w:pPr>
      <w:r>
        <w:rPr>
          <w:rFonts w:ascii="Aptos" w:hAnsi="Aptos"/>
        </w:rPr>
        <w:t>Separate configurable stop-write threshold protects the volume and routes writes elsewhere when possible.</w:t>
      </w:r>
    </w:p>
    <w:p>
      <w:pPr>
        <w:pStyle w:val="ListBullet"/>
      </w:pPr>
      <w:r>
        <w:rPr>
          <w:rFonts w:ascii="Aptos" w:hAnsi="Aptos"/>
        </w:rPr>
        <w:t>No healthy capacity means durable receipt fails and no successful ACK is returned.</w:t>
      </w:r>
    </w:p>
    <w:p>
      <w:pPr>
        <w:pStyle w:val="ListBullet"/>
      </w:pPr>
      <w:r>
        <w:rPr>
          <w:rFonts w:ascii="Aptos" w:hAnsi="Aptos"/>
        </w:rPr>
        <w:t>Automatic migration/rebalance is outside V1.</w:t>
      </w:r>
    </w:p>
    <w:p>
      <w:pPr>
        <w:pStyle w:val="Heading1"/>
        <w:keepNext/>
      </w:pPr>
      <w:r>
        <w:t>9. Search and Business Record</w:t>
      </w:r>
    </w:p>
    <w:p>
      <w:pPr>
        <w:pStyle w:val="ListBullet"/>
      </w:pPr>
      <w:r>
        <w:rPr>
          <w:rFonts w:ascii="Aptos" w:hAnsi="Aptos"/>
        </w:rPr>
        <w:t>Business Admin defines field schema; source supplies values.</w:t>
      </w:r>
    </w:p>
    <w:p>
      <w:pPr>
        <w:pStyle w:val="ListBullet"/>
      </w:pPr>
      <w:r>
        <w:rPr>
          <w:rFonts w:ascii="Aptos" w:hAnsi="Aptos"/>
        </w:rPr>
        <w:t>Identifier search is exact by default with normalization and optional prefix/partial behavior.</w:t>
      </w:r>
    </w:p>
    <w:p>
      <w:pPr>
        <w:pStyle w:val="ListBullet"/>
      </w:pPr>
      <w:r>
        <w:rPr>
          <w:rFonts w:ascii="Aptos" w:hAnsi="Aptos"/>
        </w:rPr>
        <w:t>Name/entity fields support user-friendly partial/prefix search.</w:t>
      </w:r>
    </w:p>
    <w:p>
      <w:pPr>
        <w:pStyle w:val="ListBullet"/>
      </w:pPr>
      <w:r>
        <w:rPr>
          <w:rFonts w:ascii="Aptos" w:hAnsi="Aptos"/>
        </w:rPr>
        <w:t>Search is source-aware because different producer configurations may expose different fields.</w:t>
      </w:r>
    </w:p>
    <w:p>
      <w:pPr>
        <w:pStyle w:val="ListBullet"/>
      </w:pPr>
      <w:r>
        <w:rPr>
          <w:rFonts w:ascii="Aptos" w:hAnsi="Aptos"/>
        </w:rPr>
        <w:t>Business Record View aggregates associated documents/submissions over time while enforcing tenant and permission boundaries.</w:t>
      </w:r>
    </w:p>
    <w:p>
      <w:pPr>
        <w:pStyle w:val="Heading1"/>
        <w:keepNext/>
      </w:pPr>
      <w:r>
        <w:t>10. Secure Viewer and Corrective Redaction</w:t>
      </w:r>
    </w:p>
    <w:p>
      <w:pPr>
        <w:pStyle w:val="ListBullet"/>
      </w:pPr>
      <w:r>
        <w:rPr>
          <w:rFonts w:ascii="Aptos" w:hAnsi="Aptos"/>
        </w:rPr>
        <w:t>Business User can search/view but not download/redact by default.</w:t>
      </w:r>
    </w:p>
    <w:p>
      <w:pPr>
        <w:pStyle w:val="ListBullet"/>
      </w:pPr>
      <w:r>
        <w:rPr>
          <w:rFonts w:ascii="Aptos" w:hAnsi="Aptos"/>
        </w:rPr>
        <w:t>Document Steward can search/view, permanently redact and download.</w:t>
      </w:r>
    </w:p>
    <w:p>
      <w:pPr>
        <w:pStyle w:val="ListBullet"/>
      </w:pPr>
      <w:r>
        <w:rPr>
          <w:rFonts w:ascii="Aptos" w:hAnsi="Aptos"/>
        </w:rPr>
        <w:t>Corrective redaction allows multiple rectangle selections across one/multiple pages, requires reason and confirmation, truly sanitizes content, atomically replaces encrypted content and does not retain the prior version.</w:t>
      </w:r>
    </w:p>
    <w:p>
      <w:pPr>
        <w:pStyle w:val="ListBullet"/>
      </w:pPr>
      <w:r>
        <w:rPr>
          <w:rFonts w:ascii="Aptos" w:hAnsi="Aptos"/>
        </w:rPr>
        <w:t>Audit records where/why/who/outcome, but not the removed sensitive text itself.</w:t>
      </w:r>
    </w:p>
    <w:p>
      <w:pPr>
        <w:pStyle w:val="ListBullet"/>
      </w:pPr>
      <w:r>
        <w:rPr>
          <w:rFonts w:ascii="Aptos" w:hAnsi="Aptos"/>
        </w:rPr>
        <w:t>Original expiration date remains unchanged after correction.</w:t>
      </w:r>
    </w:p>
    <w:p>
      <w:pPr>
        <w:pStyle w:val="Heading1"/>
        <w:keepNext/>
      </w:pPr>
      <w:r>
        <w:t>11. Retention, Availability and DR</w:t>
      </w:r>
    </w:p>
    <w:p>
      <w:pPr>
        <w:pStyle w:val="ListBullet"/>
      </w:pPr>
      <w:r>
        <w:rPr>
          <w:rFonts w:ascii="Aptos" w:hAnsi="Aptos"/>
        </w:rPr>
        <w:t>Indefinite default retention; per-document expiration snapshot at ingestion.</w:t>
      </w:r>
    </w:p>
    <w:p>
      <w:pPr>
        <w:pStyle w:val="ListBullet"/>
      </w:pPr>
      <w:r>
        <w:rPr>
          <w:rFonts w:ascii="Aptos" w:hAnsi="Aptos"/>
        </w:rPr>
        <w:t>System-driven expiry deletion only in V1; metadata/audit/tombstone persist indefinitely.</w:t>
      </w:r>
    </w:p>
    <w:p>
      <w:pPr>
        <w:pStyle w:val="ListBullet"/>
      </w:pPr>
      <w:r>
        <w:rPr>
          <w:rFonts w:ascii="Aptos" w:hAnsi="Aptos"/>
        </w:rPr>
        <w:t>Single-region V1 with HA-ready stateless application design; multi-region active-active is out.</w:t>
      </w:r>
    </w:p>
    <w:p>
      <w:pPr>
        <w:pStyle w:val="ListBullet"/>
      </w:pPr>
      <w:r>
        <w:rPr>
          <w:rFonts w:ascii="Aptos" w:hAnsi="Aptos"/>
        </w:rPr>
        <w:t>Recovery requires PostgreSQL metadata + encrypted storage + key-management state + required configuration.</w:t>
      </w:r>
    </w:p>
    <w:p>
      <w:pPr>
        <w:pStyle w:val="ListBullet"/>
      </w:pPr>
      <w:r>
        <w:rPr>
          <w:rFonts w:ascii="Aptos" w:hAnsi="Aptos"/>
        </w:rPr>
        <w:t>Restore validation must prove metadata lookup, object availability, key access, authenticated decryption/integrity and serving.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5959"/>
        <w:sz w:val="15"/>
      </w:rPr>
      <w:t>SDV V1 Product Baseline - Frozen | Unit 0 Candidate | v1.1 | September 22,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95959"/>
        <w:sz w:val="16"/>
      </w:rPr>
      <w:t>SECURE DOCUMENT VAULT (SDV)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86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E1E1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F3864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