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699713" w14:textId="77777777" w:rsidR="006B30FA" w:rsidRDefault="006B30FA"/>
    <w:p w14:paraId="5AFB0BB1" w14:textId="77777777" w:rsidR="006B30FA" w:rsidRDefault="006B30FA" w:rsidP="006B30FA">
      <w:pPr>
        <w:jc w:val="center"/>
      </w:pPr>
    </w:p>
    <w:p w14:paraId="4BC3BAC9" w14:textId="77777777" w:rsidR="006B30FA" w:rsidRDefault="006B30FA" w:rsidP="006B30FA">
      <w:pPr>
        <w:jc w:val="center"/>
      </w:pPr>
    </w:p>
    <w:p w14:paraId="1CBE756D" w14:textId="2D3438DB" w:rsidR="006B30FA" w:rsidRPr="006B30FA" w:rsidRDefault="006B30FA" w:rsidP="006B30FA">
      <w:pPr>
        <w:jc w:val="center"/>
        <w:rPr>
          <w:rFonts w:ascii="Times New Roman" w:hAnsi="Times New Roman" w:cs="Times New Roman"/>
          <w:sz w:val="56"/>
          <w:szCs w:val="56"/>
          <w:u w:val="single"/>
        </w:rPr>
      </w:pPr>
      <w:r w:rsidRPr="006B30FA">
        <w:rPr>
          <w:rFonts w:ascii="Times New Roman" w:hAnsi="Times New Roman" w:cs="Times New Roman"/>
          <w:b/>
          <w:bCs/>
          <w:sz w:val="56"/>
          <w:szCs w:val="56"/>
          <w:u w:val="single"/>
        </w:rPr>
        <w:t>DATA VISUALIZATION ISM 6419</w:t>
      </w:r>
    </w:p>
    <w:p w14:paraId="3DBD027D" w14:textId="77777777" w:rsidR="006B30FA" w:rsidRPr="006B30FA" w:rsidRDefault="006B30FA" w:rsidP="006B30FA">
      <w:pPr>
        <w:jc w:val="center"/>
        <w:rPr>
          <w:rFonts w:ascii="Times New Roman" w:hAnsi="Times New Roman" w:cs="Times New Roman"/>
          <w:sz w:val="56"/>
          <w:szCs w:val="56"/>
        </w:rPr>
      </w:pPr>
    </w:p>
    <w:p w14:paraId="254F35CA" w14:textId="259A03D3" w:rsidR="006B30FA" w:rsidRDefault="006B30FA" w:rsidP="006B30FA">
      <w:pPr>
        <w:jc w:val="center"/>
        <w:rPr>
          <w:rFonts w:ascii="Times New Roman" w:hAnsi="Times New Roman" w:cs="Times New Roman"/>
          <w:b/>
          <w:bCs/>
          <w:sz w:val="56"/>
          <w:szCs w:val="56"/>
          <w:u w:val="single"/>
        </w:rPr>
      </w:pPr>
      <w:r w:rsidRPr="006B30FA">
        <w:rPr>
          <w:rFonts w:ascii="Times New Roman" w:hAnsi="Times New Roman" w:cs="Times New Roman"/>
          <w:b/>
          <w:bCs/>
          <w:sz w:val="56"/>
          <w:szCs w:val="56"/>
          <w:u w:val="single"/>
        </w:rPr>
        <w:t>Global Healthcare Spending and Life Expectancy: An Efficiency Perspective</w:t>
      </w:r>
    </w:p>
    <w:p w14:paraId="1EC58530" w14:textId="77777777" w:rsidR="006B30FA" w:rsidRDefault="006B30FA" w:rsidP="006B30FA">
      <w:pPr>
        <w:jc w:val="center"/>
        <w:rPr>
          <w:rFonts w:ascii="Times New Roman" w:hAnsi="Times New Roman" w:cs="Times New Roman"/>
          <w:sz w:val="48"/>
          <w:szCs w:val="48"/>
        </w:rPr>
      </w:pPr>
    </w:p>
    <w:p w14:paraId="0E6E8CE5" w14:textId="21286E66" w:rsidR="006B30FA" w:rsidRDefault="006B30FA" w:rsidP="006B30FA">
      <w:pPr>
        <w:jc w:val="center"/>
        <w:rPr>
          <w:rFonts w:ascii="Times New Roman" w:hAnsi="Times New Roman" w:cs="Times New Roman"/>
          <w:sz w:val="48"/>
          <w:szCs w:val="48"/>
        </w:rPr>
      </w:pPr>
      <w:r>
        <w:rPr>
          <w:rFonts w:ascii="Times New Roman" w:hAnsi="Times New Roman" w:cs="Times New Roman"/>
          <w:sz w:val="48"/>
          <w:szCs w:val="48"/>
        </w:rPr>
        <w:t>Mohankumar Anem</w:t>
      </w:r>
    </w:p>
    <w:p w14:paraId="07D5F0BD" w14:textId="35813E4E" w:rsidR="006B30FA" w:rsidRDefault="006B30FA" w:rsidP="006B30FA">
      <w:pPr>
        <w:jc w:val="center"/>
        <w:rPr>
          <w:rFonts w:ascii="Times New Roman" w:hAnsi="Times New Roman" w:cs="Times New Roman"/>
          <w:sz w:val="48"/>
          <w:szCs w:val="48"/>
        </w:rPr>
      </w:pPr>
      <w:r>
        <w:rPr>
          <w:rFonts w:ascii="Times New Roman" w:hAnsi="Times New Roman" w:cs="Times New Roman"/>
          <w:sz w:val="48"/>
          <w:szCs w:val="48"/>
        </w:rPr>
        <w:t>U88099159</w:t>
      </w:r>
    </w:p>
    <w:p w14:paraId="4457FB70" w14:textId="77777777" w:rsidR="006B30FA" w:rsidRDefault="006B30FA" w:rsidP="006B30FA">
      <w:pPr>
        <w:jc w:val="center"/>
        <w:rPr>
          <w:rFonts w:ascii="Times New Roman" w:hAnsi="Times New Roman" w:cs="Times New Roman"/>
          <w:sz w:val="48"/>
          <w:szCs w:val="48"/>
        </w:rPr>
      </w:pPr>
    </w:p>
    <w:p w14:paraId="3BF5497E" w14:textId="77777777" w:rsidR="006B30FA" w:rsidRDefault="006B30FA" w:rsidP="006B30FA">
      <w:pPr>
        <w:jc w:val="center"/>
        <w:rPr>
          <w:rFonts w:ascii="Times New Roman" w:hAnsi="Times New Roman" w:cs="Times New Roman"/>
          <w:sz w:val="48"/>
          <w:szCs w:val="48"/>
        </w:rPr>
      </w:pPr>
    </w:p>
    <w:p w14:paraId="4D729280" w14:textId="77777777" w:rsidR="006B30FA" w:rsidRDefault="006B30FA" w:rsidP="006B30FA">
      <w:pPr>
        <w:jc w:val="center"/>
        <w:rPr>
          <w:rFonts w:ascii="Times New Roman" w:hAnsi="Times New Roman" w:cs="Times New Roman"/>
          <w:sz w:val="48"/>
          <w:szCs w:val="48"/>
        </w:rPr>
      </w:pPr>
    </w:p>
    <w:p w14:paraId="08B43067" w14:textId="77777777" w:rsidR="006B30FA" w:rsidRDefault="006B30FA" w:rsidP="006B30FA">
      <w:pPr>
        <w:jc w:val="center"/>
        <w:rPr>
          <w:rFonts w:ascii="Times New Roman" w:hAnsi="Times New Roman" w:cs="Times New Roman"/>
          <w:sz w:val="48"/>
          <w:szCs w:val="48"/>
        </w:rPr>
      </w:pPr>
    </w:p>
    <w:p w14:paraId="4FAA9DDC" w14:textId="77777777" w:rsidR="006B30FA" w:rsidRDefault="006B30FA" w:rsidP="006B30FA">
      <w:pPr>
        <w:jc w:val="center"/>
        <w:rPr>
          <w:rFonts w:ascii="Times New Roman" w:hAnsi="Times New Roman" w:cs="Times New Roman"/>
          <w:sz w:val="48"/>
          <w:szCs w:val="48"/>
        </w:rPr>
      </w:pPr>
    </w:p>
    <w:p w14:paraId="70BB5997" w14:textId="77777777" w:rsidR="006B30FA" w:rsidRDefault="006B30FA" w:rsidP="006B30FA">
      <w:pPr>
        <w:jc w:val="center"/>
        <w:rPr>
          <w:rFonts w:ascii="Times New Roman" w:hAnsi="Times New Roman" w:cs="Times New Roman"/>
          <w:sz w:val="48"/>
          <w:szCs w:val="48"/>
        </w:rPr>
      </w:pPr>
    </w:p>
    <w:p w14:paraId="7B9D703A" w14:textId="77777777" w:rsidR="006B30FA" w:rsidRDefault="006B30FA" w:rsidP="006B30FA">
      <w:pPr>
        <w:jc w:val="center"/>
        <w:rPr>
          <w:rFonts w:ascii="Times New Roman" w:hAnsi="Times New Roman" w:cs="Times New Roman"/>
          <w:sz w:val="48"/>
          <w:szCs w:val="48"/>
        </w:rPr>
      </w:pPr>
    </w:p>
    <w:p w14:paraId="5039B80E" w14:textId="5548AFCB" w:rsidR="006B30FA" w:rsidRPr="00D31730" w:rsidRDefault="00D31730" w:rsidP="00D31730">
      <w:pPr>
        <w:rPr>
          <w:rFonts w:ascii="Times New Roman" w:hAnsi="Times New Roman" w:cs="Times New Roman"/>
          <w:b/>
          <w:bCs/>
        </w:rPr>
      </w:pPr>
      <w:r>
        <w:rPr>
          <w:rFonts w:ascii="Times New Roman" w:hAnsi="Times New Roman" w:cs="Times New Roman"/>
          <w:b/>
          <w:bCs/>
        </w:rPr>
        <w:lastRenderedPageBreak/>
        <w:t>1.</w:t>
      </w:r>
      <w:r w:rsidR="006B30FA" w:rsidRPr="00D31730">
        <w:rPr>
          <w:rFonts w:ascii="Times New Roman" w:hAnsi="Times New Roman" w:cs="Times New Roman"/>
          <w:b/>
          <w:bCs/>
        </w:rPr>
        <w:t>Introduction:</w:t>
      </w:r>
      <w:r w:rsidR="006B30FA" w:rsidRPr="00D31730">
        <w:rPr>
          <w:rFonts w:ascii="Times New Roman" w:hAnsi="Times New Roman" w:cs="Times New Roman"/>
          <w:b/>
          <w:bCs/>
        </w:rPr>
        <w:br/>
      </w:r>
      <w:r w:rsidR="006B30FA" w:rsidRPr="00D31730">
        <w:rPr>
          <w:rFonts w:ascii="Times New Roman" w:hAnsi="Times New Roman" w:cs="Times New Roman"/>
        </w:rPr>
        <w:t>This report aims to understand</w:t>
      </w:r>
      <w:r w:rsidR="006B30FA" w:rsidRPr="00D31730">
        <w:rPr>
          <w:rFonts w:ascii="Times New Roman" w:hAnsi="Times New Roman" w:cs="Times New Roman"/>
        </w:rPr>
        <w:t xml:space="preserve"> the relationship between a country’s healthcare investment and its population’s life expectancy</w:t>
      </w:r>
      <w:r w:rsidR="006B30FA" w:rsidRPr="00D31730">
        <w:rPr>
          <w:rFonts w:ascii="Times New Roman" w:hAnsi="Times New Roman" w:cs="Times New Roman"/>
        </w:rPr>
        <w:t>. which</w:t>
      </w:r>
      <w:r w:rsidR="006B30FA" w:rsidRPr="00D31730">
        <w:rPr>
          <w:rFonts w:ascii="Times New Roman" w:hAnsi="Times New Roman" w:cs="Times New Roman"/>
        </w:rPr>
        <w:t xml:space="preserve"> is vital for public policy and resource optimization. This report explores how effectively different nations convert healthcare spending into health outcomes by analyzing global data from 2000 to 2020. It uses interactive Power BI dashboards to visualize trends, disparities, and efficiency gaps across countries and regions.</w:t>
      </w:r>
    </w:p>
    <w:p w14:paraId="6BA6EB77" w14:textId="7A266CD7" w:rsidR="006B30FA" w:rsidRPr="00D31730" w:rsidRDefault="00D31730" w:rsidP="00D31730">
      <w:pPr>
        <w:spacing w:after="0" w:line="240" w:lineRule="auto"/>
        <w:rPr>
          <w:rFonts w:ascii="Times New Roman" w:hAnsi="Times New Roman" w:cs="Times New Roman"/>
          <w:b/>
          <w:bCs/>
        </w:rPr>
      </w:pPr>
      <w:r>
        <w:rPr>
          <w:rFonts w:ascii="Times New Roman" w:hAnsi="Times New Roman" w:cs="Times New Roman"/>
          <w:b/>
          <w:bCs/>
        </w:rPr>
        <w:t>2.</w:t>
      </w:r>
      <w:r w:rsidR="006B30FA" w:rsidRPr="00D31730">
        <w:rPr>
          <w:rFonts w:ascii="Times New Roman" w:hAnsi="Times New Roman" w:cs="Times New Roman"/>
          <w:b/>
          <w:bCs/>
        </w:rPr>
        <w:t>Research Questions</w:t>
      </w:r>
      <w:r w:rsidR="006B30FA" w:rsidRPr="00D31730">
        <w:rPr>
          <w:rFonts w:ascii="Times New Roman" w:hAnsi="Times New Roman" w:cs="Times New Roman"/>
          <w:b/>
          <w:bCs/>
        </w:rPr>
        <w:t>:</w:t>
      </w:r>
    </w:p>
    <w:p w14:paraId="3A7F715B" w14:textId="77777777" w:rsidR="00185C4A" w:rsidRPr="001E07F1" w:rsidRDefault="00185C4A" w:rsidP="00D31730">
      <w:pPr>
        <w:spacing w:after="0" w:line="240" w:lineRule="auto"/>
        <w:ind w:left="720"/>
        <w:rPr>
          <w:rFonts w:ascii="Times New Roman" w:hAnsi="Times New Roman" w:cs="Times New Roman"/>
          <w:b/>
          <w:bCs/>
        </w:rPr>
      </w:pPr>
    </w:p>
    <w:p w14:paraId="4C0A147B" w14:textId="77777777" w:rsidR="001E07F1" w:rsidRPr="001E07F1" w:rsidRDefault="00185C4A" w:rsidP="00D31730">
      <w:pPr>
        <w:pStyle w:val="ListParagraph"/>
        <w:numPr>
          <w:ilvl w:val="1"/>
          <w:numId w:val="1"/>
        </w:numPr>
        <w:spacing w:after="0" w:line="240" w:lineRule="auto"/>
        <w:ind w:left="720"/>
        <w:rPr>
          <w:rFonts w:ascii="Times New Roman" w:eastAsia="Times New Roman" w:hAnsi="Times New Roman" w:cs="Times New Roman"/>
          <w:kern w:val="0"/>
          <w14:ligatures w14:val="none"/>
        </w:rPr>
      </w:pPr>
      <w:r w:rsidRPr="00185C4A">
        <w:rPr>
          <w:rFonts w:ascii="Times New Roman" w:eastAsia="Times New Roman" w:hAnsi="Times New Roman" w:cs="Times New Roman"/>
          <w:b/>
          <w:bCs/>
          <w:kern w:val="0"/>
          <w14:ligatures w14:val="none"/>
        </w:rPr>
        <w:t>What is the relationship between healthcare spending and life expectancy across countries?</w:t>
      </w:r>
    </w:p>
    <w:p w14:paraId="4435B284" w14:textId="4C113AD0" w:rsidR="00185C4A" w:rsidRDefault="00185C4A" w:rsidP="00D31730">
      <w:pPr>
        <w:pStyle w:val="ListParagraph"/>
        <w:spacing w:after="0" w:line="240" w:lineRule="auto"/>
        <w:rPr>
          <w:rFonts w:ascii="Times New Roman" w:eastAsia="Times New Roman" w:hAnsi="Times New Roman" w:cs="Times New Roman"/>
          <w:kern w:val="0"/>
          <w14:ligatures w14:val="none"/>
        </w:rPr>
      </w:pPr>
      <w:r w:rsidRPr="00185C4A">
        <w:rPr>
          <w:rFonts w:ascii="Times New Roman" w:eastAsia="Times New Roman" w:hAnsi="Times New Roman" w:cs="Times New Roman"/>
          <w:kern w:val="0"/>
          <w14:ligatures w14:val="none"/>
        </w:rPr>
        <w:br/>
        <w:t>By examining both health expenditure (as a percentage of GDP and in absolute terms) and life expectancy, this question explores whether higher spending correlates with better health outcomes. It also helps identify countries that achieve high life expectancy despite limited spending, revealing potential efficiencies in their health systems.</w:t>
      </w:r>
    </w:p>
    <w:p w14:paraId="1A74057A" w14:textId="77777777" w:rsidR="00185C4A" w:rsidRPr="00185C4A" w:rsidRDefault="00185C4A" w:rsidP="00D31730">
      <w:pPr>
        <w:pStyle w:val="ListParagraph"/>
        <w:spacing w:after="0" w:line="240" w:lineRule="auto"/>
        <w:rPr>
          <w:rFonts w:ascii="Times New Roman" w:eastAsia="Times New Roman" w:hAnsi="Times New Roman" w:cs="Times New Roman"/>
          <w:kern w:val="0"/>
          <w14:ligatures w14:val="none"/>
        </w:rPr>
      </w:pPr>
    </w:p>
    <w:p w14:paraId="19D0D2EB" w14:textId="77777777" w:rsidR="001E07F1" w:rsidRPr="001E07F1" w:rsidRDefault="00185C4A" w:rsidP="00D31730">
      <w:pPr>
        <w:pStyle w:val="ListParagraph"/>
        <w:numPr>
          <w:ilvl w:val="1"/>
          <w:numId w:val="1"/>
        </w:numPr>
        <w:spacing w:after="0" w:line="240" w:lineRule="auto"/>
        <w:ind w:left="720"/>
        <w:rPr>
          <w:rFonts w:ascii="Times New Roman" w:eastAsia="Times New Roman" w:hAnsi="Times New Roman" w:cs="Times New Roman"/>
          <w:kern w:val="0"/>
          <w14:ligatures w14:val="none"/>
        </w:rPr>
      </w:pPr>
      <w:r w:rsidRPr="00185C4A">
        <w:rPr>
          <w:rFonts w:ascii="Times New Roman" w:eastAsia="Times New Roman" w:hAnsi="Times New Roman" w:cs="Times New Roman"/>
          <w:b/>
          <w:bCs/>
          <w:kern w:val="0"/>
          <w14:ligatures w14:val="none"/>
        </w:rPr>
        <w:t>Which countries achieve the highest life expectancy relative to their healthcare spending?</w:t>
      </w:r>
    </w:p>
    <w:p w14:paraId="44B36649" w14:textId="5383D10F" w:rsidR="00185C4A" w:rsidRPr="001E07F1" w:rsidRDefault="00185C4A" w:rsidP="00D31730">
      <w:pPr>
        <w:pStyle w:val="ListParagraph"/>
        <w:spacing w:after="0" w:line="240" w:lineRule="auto"/>
        <w:rPr>
          <w:rFonts w:ascii="Times New Roman" w:eastAsia="Times New Roman" w:hAnsi="Times New Roman" w:cs="Times New Roman"/>
          <w:kern w:val="0"/>
          <w14:ligatures w14:val="none"/>
        </w:rPr>
      </w:pPr>
      <w:r w:rsidRPr="00185C4A">
        <w:rPr>
          <w:rFonts w:ascii="Times New Roman" w:eastAsia="Times New Roman" w:hAnsi="Times New Roman" w:cs="Times New Roman"/>
          <w:kern w:val="0"/>
          <w14:ligatures w14:val="none"/>
        </w:rPr>
        <w:br/>
        <w:t>This question aims to identify the most efficient countries — those that deliver the best health outcomes for the least investment. It highlights disparities in healthcare efficiency and uncovers potential best practices from high-performing nations.</w:t>
      </w:r>
    </w:p>
    <w:p w14:paraId="74ADA582" w14:textId="77777777" w:rsidR="00185C4A" w:rsidRPr="00185C4A" w:rsidRDefault="00185C4A" w:rsidP="00D31730">
      <w:pPr>
        <w:pStyle w:val="ListParagraph"/>
        <w:spacing w:after="0" w:line="240" w:lineRule="auto"/>
        <w:rPr>
          <w:rFonts w:ascii="Times New Roman" w:eastAsia="Times New Roman" w:hAnsi="Times New Roman" w:cs="Times New Roman"/>
          <w:kern w:val="0"/>
          <w14:ligatures w14:val="none"/>
        </w:rPr>
      </w:pPr>
    </w:p>
    <w:p w14:paraId="2A943FC0" w14:textId="77777777" w:rsidR="001E07F1" w:rsidRPr="001E07F1" w:rsidRDefault="00185C4A" w:rsidP="00D31730">
      <w:pPr>
        <w:pStyle w:val="ListParagraph"/>
        <w:numPr>
          <w:ilvl w:val="1"/>
          <w:numId w:val="1"/>
        </w:numPr>
        <w:spacing w:after="0" w:line="240" w:lineRule="auto"/>
        <w:ind w:left="720"/>
        <w:rPr>
          <w:rFonts w:ascii="Times New Roman" w:eastAsia="Times New Roman" w:hAnsi="Times New Roman" w:cs="Times New Roman"/>
          <w:kern w:val="0"/>
          <w14:ligatures w14:val="none"/>
        </w:rPr>
      </w:pPr>
      <w:r w:rsidRPr="00185C4A">
        <w:rPr>
          <w:rFonts w:ascii="Times New Roman" w:eastAsia="Times New Roman" w:hAnsi="Times New Roman" w:cs="Times New Roman"/>
          <w:b/>
          <w:bCs/>
          <w:kern w:val="0"/>
          <w14:ligatures w14:val="none"/>
        </w:rPr>
        <w:t>How do life expectancy and HALE (Healthy Life Expectancy) compare across regions and countries?</w:t>
      </w:r>
    </w:p>
    <w:p w14:paraId="50B1E312" w14:textId="53EF9E2E" w:rsidR="00185C4A" w:rsidRPr="001E07F1" w:rsidRDefault="00185C4A" w:rsidP="00D31730">
      <w:pPr>
        <w:pStyle w:val="ListParagraph"/>
        <w:spacing w:after="0" w:line="240" w:lineRule="auto"/>
        <w:rPr>
          <w:rFonts w:ascii="Times New Roman" w:eastAsia="Times New Roman" w:hAnsi="Times New Roman" w:cs="Times New Roman"/>
          <w:kern w:val="0"/>
          <w14:ligatures w14:val="none"/>
        </w:rPr>
      </w:pPr>
      <w:r w:rsidRPr="001E07F1">
        <w:rPr>
          <w:rFonts w:ascii="Times New Roman" w:eastAsia="Times New Roman" w:hAnsi="Times New Roman" w:cs="Times New Roman"/>
          <w:kern w:val="0"/>
          <w14:ligatures w14:val="none"/>
        </w:rPr>
        <w:br/>
        <w:t>This comparison sheds light on not just how long people live, but how many of those years are spent in good health. It allows us to assess quality vs. quantity of life and determine which regions may face greater burdens of chronic disease or disability.</w:t>
      </w:r>
    </w:p>
    <w:p w14:paraId="0E8BAE7A" w14:textId="77777777" w:rsidR="00185C4A" w:rsidRPr="00185C4A" w:rsidRDefault="00185C4A" w:rsidP="00D31730">
      <w:pPr>
        <w:pStyle w:val="ListParagraph"/>
        <w:spacing w:after="0" w:line="240" w:lineRule="auto"/>
        <w:rPr>
          <w:rFonts w:ascii="Times New Roman" w:eastAsia="Times New Roman" w:hAnsi="Times New Roman" w:cs="Times New Roman"/>
          <w:kern w:val="0"/>
          <w14:ligatures w14:val="none"/>
        </w:rPr>
      </w:pPr>
    </w:p>
    <w:p w14:paraId="09DB0B67" w14:textId="77777777" w:rsidR="001E07F1" w:rsidRPr="001E07F1" w:rsidRDefault="00185C4A" w:rsidP="00D31730">
      <w:pPr>
        <w:pStyle w:val="ListParagraph"/>
        <w:numPr>
          <w:ilvl w:val="1"/>
          <w:numId w:val="1"/>
        </w:numPr>
        <w:spacing w:after="0" w:line="240" w:lineRule="auto"/>
        <w:ind w:left="720"/>
        <w:rPr>
          <w:rFonts w:ascii="Times New Roman" w:eastAsia="Times New Roman" w:hAnsi="Times New Roman" w:cs="Times New Roman"/>
          <w:kern w:val="0"/>
          <w14:ligatures w14:val="none"/>
        </w:rPr>
      </w:pPr>
      <w:r w:rsidRPr="00185C4A">
        <w:rPr>
          <w:rFonts w:ascii="Times New Roman" w:eastAsia="Times New Roman" w:hAnsi="Times New Roman" w:cs="Times New Roman"/>
          <w:b/>
          <w:bCs/>
          <w:kern w:val="0"/>
          <w14:ligatures w14:val="none"/>
        </w:rPr>
        <w:t>How has global life expectancy evolved from 2000 to 2020, and where are the disparities?</w:t>
      </w:r>
    </w:p>
    <w:p w14:paraId="5140D112" w14:textId="1F8A1D0B" w:rsidR="006B30FA" w:rsidRPr="00D31730" w:rsidRDefault="00185C4A" w:rsidP="00D31730">
      <w:pPr>
        <w:pStyle w:val="ListParagraph"/>
        <w:spacing w:after="0" w:line="240" w:lineRule="auto"/>
        <w:rPr>
          <w:rFonts w:ascii="Times New Roman" w:eastAsia="Times New Roman" w:hAnsi="Times New Roman" w:cs="Times New Roman"/>
          <w:kern w:val="0"/>
          <w14:ligatures w14:val="none"/>
        </w:rPr>
      </w:pPr>
      <w:r w:rsidRPr="00185C4A">
        <w:rPr>
          <w:rFonts w:ascii="Times New Roman" w:eastAsia="Times New Roman" w:hAnsi="Times New Roman" w:cs="Times New Roman"/>
          <w:kern w:val="0"/>
          <w14:ligatures w14:val="none"/>
        </w:rPr>
        <w:br/>
        <w:t xml:space="preserve">Using a time-series analysis, this question tracks global progress in life expectancy over two decades and highlights regions or countries that have </w:t>
      </w:r>
      <w:proofErr w:type="gramStart"/>
      <w:r w:rsidRPr="00185C4A">
        <w:rPr>
          <w:rFonts w:ascii="Times New Roman" w:eastAsia="Times New Roman" w:hAnsi="Times New Roman" w:cs="Times New Roman"/>
          <w:kern w:val="0"/>
          <w14:ligatures w14:val="none"/>
        </w:rPr>
        <w:t>lagged behind</w:t>
      </w:r>
      <w:proofErr w:type="gramEnd"/>
      <w:r w:rsidRPr="00185C4A">
        <w:rPr>
          <w:rFonts w:ascii="Times New Roman" w:eastAsia="Times New Roman" w:hAnsi="Times New Roman" w:cs="Times New Roman"/>
          <w:kern w:val="0"/>
          <w14:ligatures w14:val="none"/>
        </w:rPr>
        <w:t>. It provides insight into both improvements and inequities in global health.</w:t>
      </w:r>
    </w:p>
    <w:p w14:paraId="742C43C1" w14:textId="77777777" w:rsidR="001E07F1" w:rsidRDefault="001E07F1" w:rsidP="006B30FA">
      <w:pPr>
        <w:ind w:left="720"/>
        <w:rPr>
          <w:rFonts w:ascii="Times New Roman" w:hAnsi="Times New Roman" w:cs="Times New Roman"/>
          <w:b/>
          <w:bCs/>
        </w:rPr>
      </w:pPr>
    </w:p>
    <w:p w14:paraId="71FA045F" w14:textId="77777777" w:rsidR="00D31730" w:rsidRDefault="00D31730" w:rsidP="006B30FA">
      <w:pPr>
        <w:ind w:left="720"/>
        <w:rPr>
          <w:rFonts w:ascii="Times New Roman" w:hAnsi="Times New Roman" w:cs="Times New Roman"/>
          <w:b/>
          <w:bCs/>
        </w:rPr>
      </w:pPr>
    </w:p>
    <w:p w14:paraId="0B9B20A6" w14:textId="77777777" w:rsidR="00D31730" w:rsidRDefault="00D31730" w:rsidP="006B30FA">
      <w:pPr>
        <w:ind w:left="720"/>
        <w:rPr>
          <w:rFonts w:ascii="Times New Roman" w:hAnsi="Times New Roman" w:cs="Times New Roman"/>
          <w:b/>
          <w:bCs/>
        </w:rPr>
      </w:pPr>
    </w:p>
    <w:p w14:paraId="1111DA2F" w14:textId="77777777" w:rsidR="00D31730" w:rsidRDefault="00D31730" w:rsidP="006B30FA">
      <w:pPr>
        <w:ind w:left="720"/>
        <w:rPr>
          <w:rFonts w:ascii="Times New Roman" w:hAnsi="Times New Roman" w:cs="Times New Roman"/>
          <w:b/>
          <w:bCs/>
        </w:rPr>
      </w:pPr>
    </w:p>
    <w:p w14:paraId="191692CE" w14:textId="77777777" w:rsidR="00D31730" w:rsidRDefault="00D31730" w:rsidP="006B30FA">
      <w:pPr>
        <w:ind w:left="720"/>
        <w:rPr>
          <w:rFonts w:ascii="Times New Roman" w:hAnsi="Times New Roman" w:cs="Times New Roman"/>
          <w:b/>
          <w:bCs/>
        </w:rPr>
      </w:pPr>
    </w:p>
    <w:p w14:paraId="1B98B02E" w14:textId="021CD49E" w:rsidR="001E07F1" w:rsidRPr="00D31730" w:rsidRDefault="00D31730" w:rsidP="00D31730">
      <w:pPr>
        <w:rPr>
          <w:rFonts w:ascii="Times New Roman" w:hAnsi="Times New Roman" w:cs="Times New Roman"/>
          <w:b/>
          <w:bCs/>
        </w:rPr>
      </w:pPr>
      <w:r>
        <w:rPr>
          <w:rFonts w:ascii="Times New Roman" w:hAnsi="Times New Roman" w:cs="Times New Roman"/>
          <w:b/>
          <w:bCs/>
        </w:rPr>
        <w:t xml:space="preserve">3. </w:t>
      </w:r>
      <w:r w:rsidR="001E07F1" w:rsidRPr="00D31730">
        <w:rPr>
          <w:rFonts w:ascii="Times New Roman" w:hAnsi="Times New Roman" w:cs="Times New Roman"/>
          <w:b/>
          <w:bCs/>
        </w:rPr>
        <w:t>Methodology</w:t>
      </w:r>
    </w:p>
    <w:p w14:paraId="6B36700F" w14:textId="77777777" w:rsidR="001E07F1" w:rsidRPr="001E07F1" w:rsidRDefault="001E07F1" w:rsidP="00D31730">
      <w:pPr>
        <w:ind w:left="450"/>
        <w:rPr>
          <w:rFonts w:ascii="Times New Roman" w:hAnsi="Times New Roman" w:cs="Times New Roman"/>
        </w:rPr>
      </w:pPr>
      <w:r w:rsidRPr="001E07F1">
        <w:rPr>
          <w:rFonts w:ascii="Times New Roman" w:hAnsi="Times New Roman" w:cs="Times New Roman"/>
          <w:b/>
          <w:bCs/>
        </w:rPr>
        <w:lastRenderedPageBreak/>
        <w:t>Data Sources</w:t>
      </w:r>
      <w:r w:rsidRPr="001E07F1">
        <w:rPr>
          <w:rFonts w:ascii="Times New Roman" w:hAnsi="Times New Roman" w:cs="Times New Roman"/>
          <w:b/>
          <w:bCs/>
        </w:rPr>
        <w:t>:</w:t>
      </w:r>
      <w:r w:rsidRPr="001E07F1">
        <w:rPr>
          <w:rFonts w:ascii="Times New Roman" w:hAnsi="Times New Roman" w:cs="Times New Roman"/>
        </w:rPr>
        <w:br/>
      </w:r>
      <w:r w:rsidRPr="001E07F1">
        <w:rPr>
          <w:rFonts w:ascii="Times New Roman" w:hAnsi="Times New Roman" w:cs="Times New Roman"/>
          <w:b/>
          <w:bCs/>
        </w:rPr>
        <w:t>1. World Bank – Health Expenditure (% of GDP)</w:t>
      </w:r>
    </w:p>
    <w:p w14:paraId="2275D308" w14:textId="10352274" w:rsidR="001E07F1" w:rsidRPr="001E07F1" w:rsidRDefault="001E07F1" w:rsidP="00D31730">
      <w:pPr>
        <w:ind w:left="450"/>
        <w:jc w:val="both"/>
        <w:rPr>
          <w:rFonts w:ascii="Times New Roman" w:hAnsi="Times New Roman" w:cs="Times New Roman"/>
        </w:rPr>
      </w:pPr>
      <w:proofErr w:type="spellStart"/>
      <w:r w:rsidRPr="001E07F1">
        <w:rPr>
          <w:rFonts w:ascii="Times New Roman" w:hAnsi="Times New Roman" w:cs="Times New Roman"/>
          <w:b/>
          <w:bCs/>
        </w:rPr>
        <w:t>Source:</w:t>
      </w:r>
      <w:hyperlink r:id="rId7" w:history="1">
        <w:r w:rsidR="00D31730" w:rsidRPr="001E07F1">
          <w:rPr>
            <w:rStyle w:val="Hyperlink"/>
            <w:rFonts w:ascii="Times New Roman" w:hAnsi="Times New Roman" w:cs="Times New Roman"/>
          </w:rPr>
          <w:t>https</w:t>
        </w:r>
        <w:proofErr w:type="spellEnd"/>
        <w:r w:rsidR="00D31730" w:rsidRPr="001E07F1">
          <w:rPr>
            <w:rStyle w:val="Hyperlink"/>
            <w:rFonts w:ascii="Times New Roman" w:hAnsi="Times New Roman" w:cs="Times New Roman"/>
          </w:rPr>
          <w:t>://data.worldbank.org/indicator/SH.XPD.CHEX.GD.ZS</w:t>
        </w:r>
      </w:hyperlink>
      <w:r w:rsidRPr="001E07F1">
        <w:rPr>
          <w:rFonts w:ascii="Times New Roman" w:hAnsi="Times New Roman" w:cs="Times New Roman"/>
        </w:rPr>
        <w:br/>
      </w:r>
      <w:r w:rsidRPr="001E07F1">
        <w:rPr>
          <w:rFonts w:ascii="Times New Roman" w:hAnsi="Times New Roman" w:cs="Times New Roman"/>
          <w:b/>
          <w:bCs/>
        </w:rPr>
        <w:t>Description:</w:t>
      </w:r>
      <w:r w:rsidRPr="001E07F1">
        <w:rPr>
          <w:rFonts w:ascii="Times New Roman" w:hAnsi="Times New Roman" w:cs="Times New Roman"/>
        </w:rPr>
        <w:t xml:space="preserve"> This dataset provides annual healthcare expenditure as a percentage of each country’s GDP. It serves as a standardized indicator to compare relative investment in healthcare across economies. This percentage was later combined with GDP values to calculate actual healthcare spending in USD.</w:t>
      </w:r>
    </w:p>
    <w:p w14:paraId="44958DA2" w14:textId="4223CBDB" w:rsidR="001E07F1" w:rsidRPr="001E07F1" w:rsidRDefault="001E07F1" w:rsidP="00D31730">
      <w:pPr>
        <w:ind w:left="450"/>
        <w:rPr>
          <w:rFonts w:ascii="Times New Roman" w:hAnsi="Times New Roman" w:cs="Times New Roman"/>
          <w:b/>
          <w:bCs/>
        </w:rPr>
      </w:pPr>
      <w:r>
        <w:rPr>
          <w:rFonts w:ascii="Times New Roman" w:hAnsi="Times New Roman" w:cs="Times New Roman"/>
          <w:b/>
          <w:bCs/>
        </w:rPr>
        <w:t>2.</w:t>
      </w:r>
      <w:r w:rsidRPr="001E07F1">
        <w:rPr>
          <w:rFonts w:ascii="Times New Roman" w:hAnsi="Times New Roman" w:cs="Times New Roman"/>
          <w:b/>
          <w:bCs/>
        </w:rPr>
        <w:t xml:space="preserve"> WHO – Life Expectancy and HALE Datasets</w:t>
      </w:r>
    </w:p>
    <w:p w14:paraId="681BF4A3" w14:textId="77777777" w:rsidR="00656A3C" w:rsidRDefault="001E07F1" w:rsidP="00D31730">
      <w:pPr>
        <w:ind w:left="450"/>
        <w:jc w:val="both"/>
        <w:rPr>
          <w:rFonts w:ascii="Times New Roman" w:hAnsi="Times New Roman" w:cs="Times New Roman"/>
        </w:rPr>
      </w:pPr>
      <w:r w:rsidRPr="001E07F1">
        <w:rPr>
          <w:rFonts w:ascii="Times New Roman" w:hAnsi="Times New Roman" w:cs="Times New Roman"/>
          <w:b/>
          <w:bCs/>
        </w:rPr>
        <w:t xml:space="preserve">Source: </w:t>
      </w:r>
      <w:hyperlink r:id="rId8" w:history="1">
        <w:r w:rsidR="00656A3C" w:rsidRPr="00656A3C">
          <w:rPr>
            <w:rStyle w:val="Hyperlink"/>
            <w:rFonts w:ascii="Times New Roman" w:hAnsi="Times New Roman" w:cs="Times New Roman"/>
          </w:rPr>
          <w:t>https://www.who.int/data/gho/data/indicators/indicator-details/GHO/gho-ghe-hale-healthy-life-expectancy-at-birth</w:t>
        </w:r>
      </w:hyperlink>
      <w:r w:rsidRPr="001E07F1">
        <w:rPr>
          <w:rFonts w:ascii="Times New Roman" w:hAnsi="Times New Roman" w:cs="Times New Roman"/>
          <w:b/>
          <w:bCs/>
        </w:rPr>
        <w:br/>
        <w:t xml:space="preserve">Description: </w:t>
      </w:r>
      <w:r w:rsidRPr="001E07F1">
        <w:rPr>
          <w:rFonts w:ascii="Times New Roman" w:hAnsi="Times New Roman" w:cs="Times New Roman"/>
        </w:rPr>
        <w:t>These datasets contain global records of life expectancy and Healthy Life Expectancy (HALE), disaggregated by country, year, and sex. Life Expectancy reflects average lifespan, while HALE adjusts for years lived in less-than-full health, offering a quality-adjusted measure of longevity.</w:t>
      </w:r>
    </w:p>
    <w:p w14:paraId="1D138B0E" w14:textId="77777777" w:rsidR="00656A3C" w:rsidRPr="00656A3C" w:rsidRDefault="00656A3C" w:rsidP="00D31730">
      <w:pPr>
        <w:ind w:left="450"/>
        <w:rPr>
          <w:rFonts w:ascii="Times New Roman" w:hAnsi="Times New Roman" w:cs="Times New Roman"/>
          <w:b/>
          <w:bCs/>
        </w:rPr>
      </w:pPr>
      <w:r w:rsidRPr="00656A3C">
        <w:rPr>
          <w:rFonts w:ascii="Times New Roman" w:hAnsi="Times New Roman" w:cs="Times New Roman"/>
          <w:b/>
          <w:bCs/>
        </w:rPr>
        <w:t>3. Our World in Data – Country-Level GDP</w:t>
      </w:r>
    </w:p>
    <w:p w14:paraId="3BAEF092" w14:textId="4D059204" w:rsidR="00656A3C" w:rsidRDefault="00656A3C" w:rsidP="00D31730">
      <w:pPr>
        <w:ind w:left="450"/>
        <w:jc w:val="both"/>
        <w:rPr>
          <w:rFonts w:ascii="Times New Roman" w:hAnsi="Times New Roman" w:cs="Times New Roman"/>
          <w:b/>
          <w:bCs/>
        </w:rPr>
      </w:pPr>
      <w:r w:rsidRPr="00656A3C">
        <w:rPr>
          <w:rFonts w:ascii="Times New Roman" w:hAnsi="Times New Roman" w:cs="Times New Roman"/>
          <w:b/>
          <w:bCs/>
        </w:rPr>
        <w:t>Source:</w:t>
      </w:r>
      <w:r w:rsidR="00D31730">
        <w:rPr>
          <w:rFonts w:ascii="Times New Roman" w:hAnsi="Times New Roman" w:cs="Times New Roman"/>
          <w:b/>
          <w:bCs/>
        </w:rPr>
        <w:fldChar w:fldCharType="begin"/>
      </w:r>
      <w:r w:rsidR="00D31730">
        <w:rPr>
          <w:rFonts w:ascii="Times New Roman" w:hAnsi="Times New Roman" w:cs="Times New Roman"/>
          <w:b/>
          <w:bCs/>
        </w:rPr>
        <w:instrText>HYPERLINK "</w:instrText>
      </w:r>
      <w:r w:rsidR="00D31730" w:rsidRPr="00656A3C">
        <w:rPr>
          <w:rFonts w:ascii="Times New Roman" w:hAnsi="Times New Roman" w:cs="Times New Roman"/>
          <w:b/>
          <w:bCs/>
        </w:rPr>
        <w:instrText>https://ourworldindata.org/grapher/gdp-worldbank?time=2023</w:instrText>
      </w:r>
      <w:r w:rsidR="00D31730">
        <w:rPr>
          <w:rFonts w:ascii="Times New Roman" w:hAnsi="Times New Roman" w:cs="Times New Roman"/>
          <w:b/>
          <w:bCs/>
        </w:rPr>
        <w:instrText>"</w:instrText>
      </w:r>
      <w:r w:rsidR="00D31730">
        <w:rPr>
          <w:rFonts w:ascii="Times New Roman" w:hAnsi="Times New Roman" w:cs="Times New Roman"/>
          <w:b/>
          <w:bCs/>
        </w:rPr>
        <w:fldChar w:fldCharType="separate"/>
      </w:r>
      <w:r w:rsidR="00D31730" w:rsidRPr="00656A3C">
        <w:rPr>
          <w:rStyle w:val="Hyperlink"/>
          <w:rFonts w:ascii="Times New Roman" w:hAnsi="Times New Roman" w:cs="Times New Roman"/>
          <w:b/>
          <w:bCs/>
        </w:rPr>
        <w:t>https://ourworldindata.org/grapher/gdp-worldbank?time=2023</w:t>
      </w:r>
      <w:r w:rsidR="00D31730">
        <w:rPr>
          <w:rFonts w:ascii="Times New Roman" w:hAnsi="Times New Roman" w:cs="Times New Roman"/>
          <w:b/>
          <w:bCs/>
        </w:rPr>
        <w:fldChar w:fldCharType="end"/>
      </w:r>
      <w:r w:rsidRPr="00656A3C">
        <w:rPr>
          <w:rFonts w:ascii="Times New Roman" w:hAnsi="Times New Roman" w:cs="Times New Roman"/>
          <w:b/>
          <w:bCs/>
        </w:rPr>
        <w:br/>
        <w:t xml:space="preserve">Description: </w:t>
      </w:r>
      <w:r w:rsidRPr="00656A3C">
        <w:rPr>
          <w:rFonts w:ascii="Times New Roman" w:hAnsi="Times New Roman" w:cs="Times New Roman"/>
        </w:rPr>
        <w:t>This dataset provides GDP (in current USD) for all countries from 2000 to 2023. It was used to convert percentage-based health expenditure into actual amounts (USD) to allow cross-country comparison of real healthcare investment.</w:t>
      </w:r>
    </w:p>
    <w:p w14:paraId="2B2BF6BF" w14:textId="77777777" w:rsidR="00D31730" w:rsidRDefault="00D31730" w:rsidP="00D31730">
      <w:pPr>
        <w:pStyle w:val="ListParagraph"/>
        <w:ind w:left="450"/>
        <w:jc w:val="both"/>
        <w:rPr>
          <w:rFonts w:ascii="Times New Roman" w:hAnsi="Times New Roman" w:cs="Times New Roman"/>
          <w:b/>
          <w:bCs/>
        </w:rPr>
      </w:pPr>
      <w:r>
        <w:rPr>
          <w:rFonts w:ascii="Times New Roman" w:hAnsi="Times New Roman" w:cs="Times New Roman"/>
          <w:b/>
          <w:bCs/>
        </w:rPr>
        <w:t>Data Cleaning &amp; Processing</w:t>
      </w:r>
      <w:r>
        <w:rPr>
          <w:rFonts w:ascii="Times New Roman" w:hAnsi="Times New Roman" w:cs="Times New Roman"/>
          <w:b/>
          <w:bCs/>
        </w:rPr>
        <w:t>.</w:t>
      </w:r>
    </w:p>
    <w:p w14:paraId="7A4C6AB2" w14:textId="50A5D9C6" w:rsidR="00D31730" w:rsidRDefault="00D31730" w:rsidP="00D31730">
      <w:pPr>
        <w:pStyle w:val="ListParagraph"/>
        <w:ind w:left="450"/>
        <w:jc w:val="both"/>
        <w:rPr>
          <w:rFonts w:ascii="Times New Roman" w:hAnsi="Times New Roman" w:cs="Times New Roman"/>
        </w:rPr>
      </w:pPr>
      <w:r w:rsidRPr="00656A3C">
        <w:rPr>
          <w:rFonts w:ascii="Times New Roman" w:hAnsi="Times New Roman" w:cs="Times New Roman"/>
        </w:rPr>
        <w:t>The original datasets contained year-wise values spread across multiple columns, which were unpivoted using Python (Pandas) to convert them into a long format. This restructuring placed all year columns into a single column, allowing for easier time-series analysis in Power BI.</w:t>
      </w:r>
    </w:p>
    <w:p w14:paraId="60A61B75" w14:textId="77777777" w:rsidR="00D31730" w:rsidRDefault="00D31730" w:rsidP="00D31730">
      <w:pPr>
        <w:pStyle w:val="ListParagraph"/>
        <w:ind w:left="450"/>
        <w:jc w:val="both"/>
        <w:rPr>
          <w:rFonts w:ascii="Times New Roman" w:hAnsi="Times New Roman" w:cs="Times New Roman"/>
        </w:rPr>
      </w:pPr>
    </w:p>
    <w:p w14:paraId="5F784DD0" w14:textId="77777777" w:rsidR="00D31730" w:rsidRPr="00656A3C" w:rsidRDefault="00D31730" w:rsidP="00D31730">
      <w:pPr>
        <w:pStyle w:val="ListParagraph"/>
        <w:ind w:left="450"/>
        <w:jc w:val="both"/>
        <w:rPr>
          <w:rFonts w:ascii="Times New Roman" w:hAnsi="Times New Roman" w:cs="Times New Roman"/>
        </w:rPr>
      </w:pPr>
      <w:r w:rsidRPr="00656A3C">
        <w:rPr>
          <w:rFonts w:ascii="Times New Roman" w:hAnsi="Times New Roman" w:cs="Times New Roman"/>
        </w:rPr>
        <w:t>Unnecessary columns such as metadata, redundant codes, and notes were removed to streamline the datasets for analysis. The cleaning process also involved standardizing country names and aligning formats across the three primary datasets (life expectancy, HALE, and health expenditure).</w:t>
      </w:r>
    </w:p>
    <w:p w14:paraId="254E1D80" w14:textId="77777777" w:rsidR="00D31730" w:rsidRDefault="00D31730" w:rsidP="00D31730">
      <w:pPr>
        <w:pStyle w:val="ListParagraph"/>
        <w:ind w:left="450"/>
        <w:jc w:val="both"/>
        <w:rPr>
          <w:rFonts w:ascii="Times New Roman" w:hAnsi="Times New Roman" w:cs="Times New Roman"/>
        </w:rPr>
      </w:pPr>
    </w:p>
    <w:p w14:paraId="76B8C80B" w14:textId="77777777" w:rsidR="00D31730" w:rsidRDefault="00D31730" w:rsidP="00D31730">
      <w:pPr>
        <w:pStyle w:val="ListParagraph"/>
        <w:ind w:left="450"/>
        <w:jc w:val="both"/>
        <w:rPr>
          <w:rFonts w:ascii="Times New Roman" w:hAnsi="Times New Roman" w:cs="Times New Roman"/>
          <w:b/>
          <w:bCs/>
        </w:rPr>
      </w:pPr>
      <w:r w:rsidRPr="00656A3C">
        <w:rPr>
          <w:rFonts w:ascii="Times New Roman" w:hAnsi="Times New Roman" w:cs="Times New Roman"/>
        </w:rPr>
        <w:t>To ensure analytical accuracy and completeness, countries with missing or significantly incomplete data across the required years (2000–2020) were excluded from the final model. This step helped prevent skewed insights due to data gaps or inconsistencies.</w:t>
      </w:r>
      <w:r w:rsidR="00656A3C">
        <w:rPr>
          <w:rFonts w:ascii="Times New Roman" w:hAnsi="Times New Roman" w:cs="Times New Roman"/>
        </w:rPr>
        <w:br/>
      </w:r>
      <w:r w:rsidR="00656A3C" w:rsidRPr="00D31730">
        <w:rPr>
          <w:rFonts w:ascii="Times New Roman" w:hAnsi="Times New Roman" w:cs="Times New Roman"/>
          <w:b/>
          <w:bCs/>
        </w:rPr>
        <w:t>Python File:</w:t>
      </w:r>
      <w:r w:rsidRPr="00D31730">
        <w:rPr>
          <w:rFonts w:ascii="Times New Roman" w:hAnsi="Times New Roman" w:cs="Times New Roman"/>
          <w:b/>
          <w:bCs/>
        </w:rPr>
        <w:t xml:space="preserve"> </w:t>
      </w:r>
    </w:p>
    <w:p w14:paraId="5F53E324" w14:textId="4F5635AD" w:rsidR="00D31730" w:rsidRPr="00D31730" w:rsidRDefault="00D31730" w:rsidP="00D31730">
      <w:pPr>
        <w:pStyle w:val="ListParagraph"/>
        <w:ind w:left="450"/>
        <w:jc w:val="both"/>
        <w:rPr>
          <w:rFonts w:ascii="Times New Roman" w:hAnsi="Times New Roman" w:cs="Times New Roman"/>
          <w:b/>
          <w:bCs/>
        </w:rPr>
      </w:pPr>
      <w:r>
        <w:object w:dxaOrig="1486" w:dyaOrig="994" w14:anchorId="54C7BF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5" type="#_x0000_t75" style="width:67.85pt;height:44.95pt" o:ole="">
            <v:imagedata r:id="rId9" o:title=""/>
          </v:shape>
          <o:OLEObject Type="Embed" ProgID="Package" ShapeID="_x0000_i1095" DrawAspect="Icon" ObjectID="_1807964441" r:id="rId10"/>
        </w:object>
      </w:r>
    </w:p>
    <w:p w14:paraId="7C5281F7" w14:textId="271E3663" w:rsidR="00652D49" w:rsidRPr="00D31730" w:rsidRDefault="00D31730" w:rsidP="00D31730">
      <w:pPr>
        <w:rPr>
          <w:rFonts w:ascii="Times New Roman" w:hAnsi="Times New Roman" w:cs="Times New Roman"/>
          <w:b/>
          <w:bCs/>
        </w:rPr>
      </w:pPr>
      <w:r>
        <w:rPr>
          <w:rFonts w:ascii="Times New Roman" w:hAnsi="Times New Roman" w:cs="Times New Roman"/>
          <w:b/>
          <w:bCs/>
        </w:rPr>
        <w:t>4.</w:t>
      </w:r>
      <w:r w:rsidR="00652D49" w:rsidRPr="00D31730">
        <w:rPr>
          <w:rFonts w:ascii="Times New Roman" w:hAnsi="Times New Roman" w:cs="Times New Roman"/>
          <w:b/>
          <w:bCs/>
        </w:rPr>
        <w:t>Visual Analysis of Insights</w:t>
      </w:r>
    </w:p>
    <w:p w14:paraId="2262C876" w14:textId="390AD607" w:rsidR="00652D49" w:rsidRPr="00D31730" w:rsidRDefault="00652D49" w:rsidP="00D31730">
      <w:pPr>
        <w:pStyle w:val="ListParagraph"/>
        <w:ind w:left="180"/>
        <w:jc w:val="both"/>
        <w:rPr>
          <w:rFonts w:ascii="Times New Roman" w:hAnsi="Times New Roman" w:cs="Times New Roman"/>
        </w:rPr>
      </w:pPr>
      <w:r w:rsidRPr="00652D49">
        <w:rPr>
          <w:rFonts w:ascii="Times New Roman" w:hAnsi="Times New Roman" w:cs="Times New Roman"/>
        </w:rPr>
        <w:lastRenderedPageBreak/>
        <w:t>To address the research questions, multiple interactive visualizations were created in Power BI, drawing from the cleaned datasets. These visuals offer both global and country-level perspectives on health spending, life expectancy, and efficiency.</w:t>
      </w:r>
    </w:p>
    <w:p w14:paraId="1E2B7507" w14:textId="77777777" w:rsidR="00652D49" w:rsidRDefault="00652D49" w:rsidP="00D31730">
      <w:pPr>
        <w:pStyle w:val="ListParagraph"/>
        <w:ind w:left="180"/>
        <w:jc w:val="both"/>
        <w:rPr>
          <w:rFonts w:ascii="Times New Roman" w:hAnsi="Times New Roman" w:cs="Times New Roman"/>
          <w:b/>
          <w:bCs/>
        </w:rPr>
      </w:pPr>
    </w:p>
    <w:p w14:paraId="233B2BFE" w14:textId="42B112CF" w:rsidR="00652D49" w:rsidRPr="00652D49" w:rsidRDefault="00652D49" w:rsidP="00D31730">
      <w:pPr>
        <w:pStyle w:val="ListParagraph"/>
        <w:ind w:left="180"/>
        <w:jc w:val="both"/>
        <w:rPr>
          <w:rFonts w:ascii="Times New Roman" w:hAnsi="Times New Roman" w:cs="Times New Roman"/>
          <w:b/>
          <w:bCs/>
        </w:rPr>
      </w:pPr>
      <w:r w:rsidRPr="00652D49">
        <w:rPr>
          <w:rFonts w:ascii="Times New Roman" w:hAnsi="Times New Roman" w:cs="Times New Roman"/>
          <w:b/>
          <w:bCs/>
        </w:rPr>
        <w:t>1. Global Life Expectancy Trend (Line Chart)</w:t>
      </w:r>
    </w:p>
    <w:p w14:paraId="30137A6E" w14:textId="299F90D7" w:rsidR="00652D49" w:rsidRDefault="00652D49" w:rsidP="00D31730">
      <w:pPr>
        <w:pStyle w:val="ListParagraph"/>
        <w:ind w:left="180"/>
        <w:jc w:val="both"/>
        <w:rPr>
          <w:rFonts w:ascii="Times New Roman" w:hAnsi="Times New Roman" w:cs="Times New Roman"/>
        </w:rPr>
      </w:pPr>
      <w:r w:rsidRPr="00652D49">
        <w:rPr>
          <w:rFonts w:ascii="Times New Roman" w:hAnsi="Times New Roman" w:cs="Times New Roman"/>
        </w:rPr>
        <w:t xml:space="preserve">A line chart displays the global average life expectancy from 2000 to 2020. The trend indicates steady improvement, particularly in low and middle-income regions. A slight dip around 2020 </w:t>
      </w:r>
      <w:r>
        <w:rPr>
          <w:rFonts w:ascii="Times New Roman" w:hAnsi="Times New Roman" w:cs="Times New Roman"/>
        </w:rPr>
        <w:t xml:space="preserve">and after </w:t>
      </w:r>
      <w:r w:rsidRPr="00652D49">
        <w:rPr>
          <w:rFonts w:ascii="Times New Roman" w:hAnsi="Times New Roman" w:cs="Times New Roman"/>
        </w:rPr>
        <w:t>reflects the early impact of the COVID-19 pandemic.</w:t>
      </w:r>
    </w:p>
    <w:p w14:paraId="62DB0CD4" w14:textId="77777777" w:rsidR="00652D49" w:rsidRPr="00652D49" w:rsidRDefault="00652D49" w:rsidP="00D31730">
      <w:pPr>
        <w:pStyle w:val="ListParagraph"/>
        <w:ind w:left="180"/>
        <w:jc w:val="both"/>
        <w:rPr>
          <w:rFonts w:ascii="Times New Roman" w:hAnsi="Times New Roman" w:cs="Times New Roman"/>
        </w:rPr>
      </w:pPr>
    </w:p>
    <w:p w14:paraId="764C888D" w14:textId="77777777" w:rsidR="00652D49" w:rsidRDefault="00652D49" w:rsidP="00D31730">
      <w:pPr>
        <w:pStyle w:val="ListParagraph"/>
        <w:ind w:left="180"/>
        <w:jc w:val="both"/>
        <w:rPr>
          <w:rFonts w:ascii="Times New Roman" w:hAnsi="Times New Roman" w:cs="Times New Roman"/>
        </w:rPr>
      </w:pPr>
      <w:r w:rsidRPr="00652D49">
        <w:rPr>
          <w:rFonts w:ascii="Times New Roman" w:hAnsi="Times New Roman" w:cs="Times New Roman"/>
          <w:b/>
          <w:bCs/>
        </w:rPr>
        <w:t>Insight:</w:t>
      </w:r>
      <w:r w:rsidRPr="00652D49">
        <w:rPr>
          <w:rFonts w:ascii="Times New Roman" w:hAnsi="Times New Roman" w:cs="Times New Roman"/>
        </w:rPr>
        <w:t xml:space="preserve"> Global life expectancy has been rising, but disparities persist, especially between high-income and developing nations.</w:t>
      </w:r>
    </w:p>
    <w:p w14:paraId="5976588B" w14:textId="77777777" w:rsidR="00652D49" w:rsidRDefault="00652D49" w:rsidP="00D31730">
      <w:pPr>
        <w:pStyle w:val="ListParagraph"/>
        <w:ind w:left="180"/>
        <w:jc w:val="both"/>
        <w:rPr>
          <w:rFonts w:ascii="Times New Roman" w:hAnsi="Times New Roman" w:cs="Times New Roman"/>
        </w:rPr>
      </w:pPr>
    </w:p>
    <w:p w14:paraId="711F8B12" w14:textId="7872BBEE" w:rsidR="00652D49" w:rsidRDefault="00652D49" w:rsidP="00D31730">
      <w:pPr>
        <w:pStyle w:val="ListParagraph"/>
        <w:ind w:left="180"/>
        <w:jc w:val="both"/>
        <w:rPr>
          <w:rFonts w:ascii="Times New Roman" w:hAnsi="Times New Roman" w:cs="Times New Roman"/>
        </w:rPr>
      </w:pPr>
      <w:r w:rsidRPr="00652D49">
        <w:rPr>
          <w:rFonts w:ascii="Times New Roman" w:hAnsi="Times New Roman" w:cs="Times New Roman"/>
        </w:rPr>
        <w:drawing>
          <wp:inline distT="0" distB="0" distL="0" distR="0" wp14:anchorId="47D7FEFE" wp14:editId="6FDD06B7">
            <wp:extent cx="3530747" cy="1985291"/>
            <wp:effectExtent l="0" t="0" r="0" b="0"/>
            <wp:docPr id="1850113808" name="Picture 1" descr="A graph with a line going u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113808" name="Picture 1" descr="A graph with a line going up&#10;&#10;AI-generated content may be incorrect."/>
                    <pic:cNvPicPr/>
                  </pic:nvPicPr>
                  <pic:blipFill>
                    <a:blip r:embed="rId11"/>
                    <a:stretch>
                      <a:fillRect/>
                    </a:stretch>
                  </pic:blipFill>
                  <pic:spPr>
                    <a:xfrm>
                      <a:off x="0" y="0"/>
                      <a:ext cx="3596660" cy="2022353"/>
                    </a:xfrm>
                    <a:prstGeom prst="rect">
                      <a:avLst/>
                    </a:prstGeom>
                  </pic:spPr>
                </pic:pic>
              </a:graphicData>
            </a:graphic>
          </wp:inline>
        </w:drawing>
      </w:r>
    </w:p>
    <w:p w14:paraId="7EC11142" w14:textId="77777777" w:rsidR="00D31730" w:rsidRPr="00D31730" w:rsidRDefault="00D31730" w:rsidP="00D31730">
      <w:pPr>
        <w:pStyle w:val="ListParagraph"/>
        <w:ind w:left="180"/>
        <w:jc w:val="both"/>
        <w:rPr>
          <w:rFonts w:ascii="Times New Roman" w:hAnsi="Times New Roman" w:cs="Times New Roman"/>
        </w:rPr>
      </w:pPr>
    </w:p>
    <w:p w14:paraId="6227297F" w14:textId="77777777" w:rsidR="00652D49" w:rsidRPr="00652D49" w:rsidRDefault="00652D49" w:rsidP="00D31730">
      <w:pPr>
        <w:pStyle w:val="ListParagraph"/>
        <w:ind w:left="180"/>
        <w:jc w:val="both"/>
        <w:rPr>
          <w:rFonts w:ascii="Times New Roman" w:hAnsi="Times New Roman" w:cs="Times New Roman"/>
          <w:b/>
          <w:bCs/>
        </w:rPr>
      </w:pPr>
      <w:r w:rsidRPr="00652D49">
        <w:rPr>
          <w:rFonts w:ascii="Times New Roman" w:hAnsi="Times New Roman" w:cs="Times New Roman"/>
          <w:b/>
          <w:bCs/>
        </w:rPr>
        <w:t>2. Average Life Expectancy by Country (Choropleth Map)</w:t>
      </w:r>
    </w:p>
    <w:p w14:paraId="136FE600" w14:textId="77777777" w:rsidR="00652D49" w:rsidRPr="00652D49" w:rsidRDefault="00652D49" w:rsidP="00D31730">
      <w:pPr>
        <w:pStyle w:val="ListParagraph"/>
        <w:ind w:left="180"/>
        <w:jc w:val="both"/>
        <w:rPr>
          <w:rFonts w:ascii="Times New Roman" w:hAnsi="Times New Roman" w:cs="Times New Roman"/>
        </w:rPr>
      </w:pPr>
      <w:r w:rsidRPr="00652D49">
        <w:rPr>
          <w:rFonts w:ascii="Times New Roman" w:hAnsi="Times New Roman" w:cs="Times New Roman"/>
        </w:rPr>
        <w:t>A filled map visualizes average life expectancy geographically. Countries in Western Europe and East Asia show the highest longevity, while sub-Saharan Africa and some conflict-affected regions show significantly lower values.</w:t>
      </w:r>
    </w:p>
    <w:p w14:paraId="00CB45D2" w14:textId="738BFB64" w:rsidR="00652D49" w:rsidRPr="00B23809" w:rsidRDefault="00652D49" w:rsidP="00B23809">
      <w:pPr>
        <w:pStyle w:val="ListParagraph"/>
        <w:ind w:left="180"/>
        <w:jc w:val="both"/>
        <w:rPr>
          <w:rFonts w:ascii="Times New Roman" w:hAnsi="Times New Roman" w:cs="Times New Roman"/>
        </w:rPr>
      </w:pPr>
      <w:r w:rsidRPr="00652D49">
        <w:rPr>
          <w:rFonts w:ascii="Times New Roman" w:hAnsi="Times New Roman" w:cs="Times New Roman"/>
          <w:b/>
          <w:bCs/>
        </w:rPr>
        <w:t>Insight:</w:t>
      </w:r>
      <w:r w:rsidRPr="00652D49">
        <w:rPr>
          <w:rFonts w:ascii="Times New Roman" w:hAnsi="Times New Roman" w:cs="Times New Roman"/>
        </w:rPr>
        <w:t xml:space="preserve"> There are clear geographic clusters where countries either outperform or underperform in health outcomes, highlighting global inequality.</w:t>
      </w:r>
    </w:p>
    <w:p w14:paraId="4AE397E6" w14:textId="73C5F3FD" w:rsidR="00652D49" w:rsidRPr="00B23809" w:rsidRDefault="00652D49" w:rsidP="00B23809">
      <w:pPr>
        <w:jc w:val="both"/>
        <w:rPr>
          <w:rFonts w:ascii="Times New Roman" w:hAnsi="Times New Roman" w:cs="Times New Roman"/>
        </w:rPr>
      </w:pPr>
      <w:r w:rsidRPr="00652D49">
        <w:drawing>
          <wp:inline distT="0" distB="0" distL="0" distR="0" wp14:anchorId="44349932" wp14:editId="6B9EF466">
            <wp:extent cx="4233725" cy="2304316"/>
            <wp:effectExtent l="0" t="0" r="0" b="1270"/>
            <wp:docPr id="1830998600" name="Picture 1" descr="A map of the worl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998600" name="Picture 1" descr="A map of the world&#10;&#10;AI-generated content may be incorrect."/>
                    <pic:cNvPicPr/>
                  </pic:nvPicPr>
                  <pic:blipFill>
                    <a:blip r:embed="rId12"/>
                    <a:stretch>
                      <a:fillRect/>
                    </a:stretch>
                  </pic:blipFill>
                  <pic:spPr>
                    <a:xfrm>
                      <a:off x="0" y="0"/>
                      <a:ext cx="4299806" cy="2340282"/>
                    </a:xfrm>
                    <a:prstGeom prst="rect">
                      <a:avLst/>
                    </a:prstGeom>
                  </pic:spPr>
                </pic:pic>
              </a:graphicData>
            </a:graphic>
          </wp:inline>
        </w:drawing>
      </w:r>
    </w:p>
    <w:p w14:paraId="179375B3" w14:textId="77777777" w:rsidR="00D31730" w:rsidRPr="00BA3ADE" w:rsidRDefault="00D31730" w:rsidP="00BA3ADE">
      <w:pPr>
        <w:pStyle w:val="ListParagraph"/>
        <w:ind w:left="1080"/>
        <w:jc w:val="both"/>
        <w:rPr>
          <w:rFonts w:ascii="Times New Roman" w:hAnsi="Times New Roman" w:cs="Times New Roman"/>
        </w:rPr>
      </w:pPr>
    </w:p>
    <w:p w14:paraId="1847226E" w14:textId="77777777" w:rsidR="00652D49" w:rsidRPr="00652D49" w:rsidRDefault="00652D49" w:rsidP="00B23809">
      <w:pPr>
        <w:pStyle w:val="ListParagraph"/>
        <w:ind w:left="90"/>
        <w:jc w:val="both"/>
        <w:rPr>
          <w:rFonts w:ascii="Times New Roman" w:hAnsi="Times New Roman" w:cs="Times New Roman"/>
          <w:b/>
          <w:bCs/>
        </w:rPr>
      </w:pPr>
      <w:r w:rsidRPr="00652D49">
        <w:rPr>
          <w:rFonts w:ascii="Times New Roman" w:hAnsi="Times New Roman" w:cs="Times New Roman"/>
          <w:b/>
          <w:bCs/>
        </w:rPr>
        <w:t>3. Top 10 Countries by Life Expectancy (Bar Chart)</w:t>
      </w:r>
    </w:p>
    <w:p w14:paraId="7C00A18F" w14:textId="77777777" w:rsidR="00652D49" w:rsidRPr="00652D49" w:rsidRDefault="00652D49" w:rsidP="00B23809">
      <w:pPr>
        <w:pStyle w:val="ListParagraph"/>
        <w:ind w:left="90"/>
        <w:jc w:val="both"/>
        <w:rPr>
          <w:rFonts w:ascii="Times New Roman" w:hAnsi="Times New Roman" w:cs="Times New Roman"/>
        </w:rPr>
      </w:pPr>
      <w:r w:rsidRPr="00652D49">
        <w:rPr>
          <w:rFonts w:ascii="Times New Roman" w:hAnsi="Times New Roman" w:cs="Times New Roman"/>
        </w:rPr>
        <w:t>This bar chart ranks countries based on their average life expectancy. Japan, Singapore, and Switzerland lead consistently across years.</w:t>
      </w:r>
    </w:p>
    <w:p w14:paraId="3F42F5B7" w14:textId="77777777" w:rsidR="00652D49" w:rsidRDefault="00652D49" w:rsidP="00B23809">
      <w:pPr>
        <w:pStyle w:val="ListParagraph"/>
        <w:ind w:left="90"/>
        <w:jc w:val="both"/>
        <w:rPr>
          <w:rFonts w:ascii="Times New Roman" w:hAnsi="Times New Roman" w:cs="Times New Roman"/>
        </w:rPr>
      </w:pPr>
      <w:r w:rsidRPr="00652D49">
        <w:rPr>
          <w:rFonts w:ascii="Times New Roman" w:hAnsi="Times New Roman" w:cs="Times New Roman"/>
          <w:b/>
          <w:bCs/>
        </w:rPr>
        <w:t>Insight:</w:t>
      </w:r>
      <w:r w:rsidRPr="00652D49">
        <w:rPr>
          <w:rFonts w:ascii="Times New Roman" w:hAnsi="Times New Roman" w:cs="Times New Roman"/>
        </w:rPr>
        <w:t xml:space="preserve"> High-performing nations often combine strong public health systems with moderate, efficient spending.</w:t>
      </w:r>
    </w:p>
    <w:p w14:paraId="7738639A" w14:textId="77777777" w:rsidR="00BA3ADE" w:rsidRDefault="00BA3ADE" w:rsidP="00B23809">
      <w:pPr>
        <w:pStyle w:val="ListParagraph"/>
        <w:ind w:left="90"/>
        <w:jc w:val="both"/>
        <w:rPr>
          <w:rFonts w:ascii="Times New Roman" w:hAnsi="Times New Roman" w:cs="Times New Roman"/>
        </w:rPr>
      </w:pPr>
    </w:p>
    <w:p w14:paraId="21EA6651" w14:textId="67619937" w:rsidR="00652D49" w:rsidRPr="00652D49" w:rsidRDefault="00BA3ADE" w:rsidP="00B23809">
      <w:pPr>
        <w:pStyle w:val="ListParagraph"/>
        <w:ind w:left="90"/>
        <w:jc w:val="both"/>
        <w:rPr>
          <w:rFonts w:ascii="Times New Roman" w:hAnsi="Times New Roman" w:cs="Times New Roman"/>
        </w:rPr>
      </w:pPr>
      <w:r w:rsidRPr="00BA3ADE">
        <w:rPr>
          <w:rFonts w:ascii="Times New Roman" w:hAnsi="Times New Roman" w:cs="Times New Roman"/>
        </w:rPr>
        <w:drawing>
          <wp:inline distT="0" distB="0" distL="0" distR="0" wp14:anchorId="263FC22D" wp14:editId="6AC6C12B">
            <wp:extent cx="3805596" cy="2602930"/>
            <wp:effectExtent l="0" t="0" r="4445" b="6985"/>
            <wp:docPr id="921683644" name="Picture 1" descr="A blue and white bar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683644" name="Picture 1" descr="A blue and white bar graph&#10;&#10;AI-generated content may be incorrect."/>
                    <pic:cNvPicPr/>
                  </pic:nvPicPr>
                  <pic:blipFill>
                    <a:blip r:embed="rId13"/>
                    <a:stretch>
                      <a:fillRect/>
                    </a:stretch>
                  </pic:blipFill>
                  <pic:spPr>
                    <a:xfrm>
                      <a:off x="0" y="0"/>
                      <a:ext cx="3830273" cy="2619808"/>
                    </a:xfrm>
                    <a:prstGeom prst="rect">
                      <a:avLst/>
                    </a:prstGeom>
                  </pic:spPr>
                </pic:pic>
              </a:graphicData>
            </a:graphic>
          </wp:inline>
        </w:drawing>
      </w:r>
    </w:p>
    <w:p w14:paraId="06D9569C" w14:textId="3DB14E62" w:rsidR="00652D49" w:rsidRPr="00652D49" w:rsidRDefault="00652D49" w:rsidP="00B23809">
      <w:pPr>
        <w:pStyle w:val="ListParagraph"/>
        <w:ind w:left="90"/>
        <w:jc w:val="both"/>
        <w:rPr>
          <w:rFonts w:ascii="Times New Roman" w:hAnsi="Times New Roman" w:cs="Times New Roman"/>
        </w:rPr>
      </w:pPr>
    </w:p>
    <w:p w14:paraId="5ADC4C14" w14:textId="77777777" w:rsidR="00652D49" w:rsidRPr="00652D49" w:rsidRDefault="00652D49" w:rsidP="00B23809">
      <w:pPr>
        <w:pStyle w:val="ListParagraph"/>
        <w:ind w:left="90"/>
        <w:jc w:val="both"/>
        <w:rPr>
          <w:rFonts w:ascii="Times New Roman" w:hAnsi="Times New Roman" w:cs="Times New Roman"/>
          <w:b/>
          <w:bCs/>
        </w:rPr>
      </w:pPr>
      <w:r w:rsidRPr="00652D49">
        <w:rPr>
          <w:rFonts w:ascii="Times New Roman" w:hAnsi="Times New Roman" w:cs="Times New Roman"/>
          <w:b/>
          <w:bCs/>
        </w:rPr>
        <w:t>4. Health Spending vs Life Expectancy (Scatter Plot with Regression Line)</w:t>
      </w:r>
    </w:p>
    <w:p w14:paraId="505F77F4" w14:textId="77777777" w:rsidR="00652D49" w:rsidRPr="00652D49" w:rsidRDefault="00652D49" w:rsidP="00B23809">
      <w:pPr>
        <w:pStyle w:val="ListParagraph"/>
        <w:ind w:left="90"/>
        <w:jc w:val="both"/>
        <w:rPr>
          <w:rFonts w:ascii="Times New Roman" w:hAnsi="Times New Roman" w:cs="Times New Roman"/>
        </w:rPr>
      </w:pPr>
      <w:r w:rsidRPr="00652D49">
        <w:rPr>
          <w:rFonts w:ascii="Times New Roman" w:hAnsi="Times New Roman" w:cs="Times New Roman"/>
        </w:rPr>
        <w:t xml:space="preserve">A scatter plot with a regression line visualizes the relationship between actual health spending (in trillions USD) and average life expectancy. Countries above the trend line (like Japan) achieve higher life expectancy than expected for their spending. Countries below it (like the U.S.) </w:t>
      </w:r>
      <w:proofErr w:type="gramStart"/>
      <w:r w:rsidRPr="00652D49">
        <w:rPr>
          <w:rFonts w:ascii="Times New Roman" w:hAnsi="Times New Roman" w:cs="Times New Roman"/>
        </w:rPr>
        <w:t>spend</w:t>
      </w:r>
      <w:proofErr w:type="gramEnd"/>
      <w:r w:rsidRPr="00652D49">
        <w:rPr>
          <w:rFonts w:ascii="Times New Roman" w:hAnsi="Times New Roman" w:cs="Times New Roman"/>
        </w:rPr>
        <w:t xml:space="preserve"> more but achieve lower-than-expected outcomes.</w:t>
      </w:r>
    </w:p>
    <w:p w14:paraId="79899990" w14:textId="77777777" w:rsidR="00652D49" w:rsidRDefault="00652D49" w:rsidP="00B23809">
      <w:pPr>
        <w:pStyle w:val="ListParagraph"/>
        <w:ind w:left="90"/>
        <w:jc w:val="both"/>
        <w:rPr>
          <w:rFonts w:ascii="Times New Roman" w:hAnsi="Times New Roman" w:cs="Times New Roman"/>
        </w:rPr>
      </w:pPr>
      <w:r w:rsidRPr="00652D49">
        <w:rPr>
          <w:rFonts w:ascii="Times New Roman" w:hAnsi="Times New Roman" w:cs="Times New Roman"/>
          <w:b/>
          <w:bCs/>
        </w:rPr>
        <w:t>Insight:</w:t>
      </w:r>
      <w:r w:rsidRPr="00652D49">
        <w:rPr>
          <w:rFonts w:ascii="Times New Roman" w:hAnsi="Times New Roman" w:cs="Times New Roman"/>
        </w:rPr>
        <w:t xml:space="preserve"> More spending doesn't always equal better health outcomes. Efficiency varies widely.</w:t>
      </w:r>
    </w:p>
    <w:p w14:paraId="49FB7239" w14:textId="0BA7016C" w:rsidR="00BA3ADE" w:rsidRDefault="00BA3ADE" w:rsidP="00B23809">
      <w:pPr>
        <w:pStyle w:val="ListParagraph"/>
        <w:ind w:left="90"/>
        <w:jc w:val="both"/>
        <w:rPr>
          <w:rFonts w:ascii="Times New Roman" w:hAnsi="Times New Roman" w:cs="Times New Roman"/>
        </w:rPr>
      </w:pPr>
      <w:r w:rsidRPr="00BA3ADE">
        <w:rPr>
          <w:rFonts w:ascii="Times New Roman" w:hAnsi="Times New Roman" w:cs="Times New Roman"/>
        </w:rPr>
        <w:drawing>
          <wp:inline distT="0" distB="0" distL="0" distR="0" wp14:anchorId="20EE3C1E" wp14:editId="3094C557">
            <wp:extent cx="3694599" cy="2417673"/>
            <wp:effectExtent l="0" t="0" r="1270" b="1905"/>
            <wp:docPr id="896378740"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378740" name="Picture 1" descr="A screen shot of a graph&#10;&#10;AI-generated content may be incorrect."/>
                    <pic:cNvPicPr/>
                  </pic:nvPicPr>
                  <pic:blipFill>
                    <a:blip r:embed="rId14"/>
                    <a:stretch>
                      <a:fillRect/>
                    </a:stretch>
                  </pic:blipFill>
                  <pic:spPr>
                    <a:xfrm>
                      <a:off x="0" y="0"/>
                      <a:ext cx="3715396" cy="2431282"/>
                    </a:xfrm>
                    <a:prstGeom prst="rect">
                      <a:avLst/>
                    </a:prstGeom>
                  </pic:spPr>
                </pic:pic>
              </a:graphicData>
            </a:graphic>
          </wp:inline>
        </w:drawing>
      </w:r>
    </w:p>
    <w:p w14:paraId="60A693BB" w14:textId="77777777" w:rsidR="00BA3ADE" w:rsidRDefault="00BA3ADE" w:rsidP="00B23809">
      <w:pPr>
        <w:pStyle w:val="ListParagraph"/>
        <w:ind w:left="90"/>
        <w:jc w:val="both"/>
        <w:rPr>
          <w:rFonts w:ascii="Times New Roman" w:hAnsi="Times New Roman" w:cs="Times New Roman"/>
        </w:rPr>
      </w:pPr>
    </w:p>
    <w:p w14:paraId="2ED525EB" w14:textId="5618DA92" w:rsidR="00652D49" w:rsidRPr="00652D49" w:rsidRDefault="00652D49" w:rsidP="00B23809">
      <w:pPr>
        <w:pStyle w:val="ListParagraph"/>
        <w:ind w:left="90"/>
        <w:jc w:val="both"/>
        <w:rPr>
          <w:rFonts w:ascii="Times New Roman" w:hAnsi="Times New Roman" w:cs="Times New Roman"/>
        </w:rPr>
      </w:pPr>
    </w:p>
    <w:p w14:paraId="421C84E8" w14:textId="77777777" w:rsidR="00652D49" w:rsidRPr="00652D49" w:rsidRDefault="00652D49" w:rsidP="00B23809">
      <w:pPr>
        <w:pStyle w:val="ListParagraph"/>
        <w:ind w:left="90"/>
        <w:jc w:val="both"/>
        <w:rPr>
          <w:rFonts w:ascii="Times New Roman" w:hAnsi="Times New Roman" w:cs="Times New Roman"/>
          <w:b/>
          <w:bCs/>
        </w:rPr>
      </w:pPr>
      <w:r w:rsidRPr="00652D49">
        <w:rPr>
          <w:rFonts w:ascii="Times New Roman" w:hAnsi="Times New Roman" w:cs="Times New Roman"/>
          <w:b/>
          <w:bCs/>
        </w:rPr>
        <w:lastRenderedPageBreak/>
        <w:t>5. HALE vs Life Expectancy by Region (Clustered Bar Chart)</w:t>
      </w:r>
    </w:p>
    <w:p w14:paraId="5B239EA2" w14:textId="77777777" w:rsidR="00652D49" w:rsidRPr="00652D49" w:rsidRDefault="00652D49" w:rsidP="00B23809">
      <w:pPr>
        <w:pStyle w:val="ListParagraph"/>
        <w:ind w:left="90"/>
        <w:jc w:val="both"/>
        <w:rPr>
          <w:rFonts w:ascii="Times New Roman" w:hAnsi="Times New Roman" w:cs="Times New Roman"/>
        </w:rPr>
      </w:pPr>
      <w:r w:rsidRPr="00652D49">
        <w:rPr>
          <w:rFonts w:ascii="Times New Roman" w:hAnsi="Times New Roman" w:cs="Times New Roman"/>
        </w:rPr>
        <w:t>This chart compares average HALE (Healthy Life Expectancy) and total life expectancy across regions. A smaller gap indicates a healthier lifespan.</w:t>
      </w:r>
    </w:p>
    <w:p w14:paraId="00898B57" w14:textId="411DC396" w:rsidR="00652D49" w:rsidRDefault="00652D49" w:rsidP="00B23809">
      <w:pPr>
        <w:pStyle w:val="ListParagraph"/>
        <w:ind w:left="90"/>
        <w:jc w:val="both"/>
        <w:rPr>
          <w:rFonts w:ascii="Times New Roman" w:hAnsi="Times New Roman" w:cs="Times New Roman"/>
        </w:rPr>
      </w:pPr>
      <w:r w:rsidRPr="00652D49">
        <w:rPr>
          <w:rFonts w:ascii="Times New Roman" w:hAnsi="Times New Roman" w:cs="Times New Roman"/>
          <w:b/>
          <w:bCs/>
        </w:rPr>
        <w:t>Insight:</w:t>
      </w:r>
      <w:r w:rsidRPr="00652D49">
        <w:rPr>
          <w:rFonts w:ascii="Times New Roman" w:hAnsi="Times New Roman" w:cs="Times New Roman"/>
        </w:rPr>
        <w:t xml:space="preserve"> Some countries achieve long lives, but not necessarily healthy ones. The HALE gap highlights the </w:t>
      </w:r>
      <w:r w:rsidR="00AB06AD" w:rsidRPr="00652D49">
        <w:rPr>
          <w:rFonts w:ascii="Times New Roman" w:hAnsi="Times New Roman" w:cs="Times New Roman"/>
        </w:rPr>
        <w:t>quality-of-life</w:t>
      </w:r>
      <w:r w:rsidRPr="00652D49">
        <w:rPr>
          <w:rFonts w:ascii="Times New Roman" w:hAnsi="Times New Roman" w:cs="Times New Roman"/>
        </w:rPr>
        <w:t xml:space="preserve"> factor.</w:t>
      </w:r>
    </w:p>
    <w:p w14:paraId="3CDDBD79" w14:textId="77777777" w:rsidR="00AB06AD" w:rsidRDefault="00AB06AD" w:rsidP="00652D49">
      <w:pPr>
        <w:pStyle w:val="ListParagraph"/>
        <w:ind w:left="1080"/>
        <w:rPr>
          <w:rFonts w:ascii="Times New Roman" w:hAnsi="Times New Roman" w:cs="Times New Roman"/>
        </w:rPr>
      </w:pPr>
    </w:p>
    <w:p w14:paraId="4A57BD96" w14:textId="101389A6" w:rsidR="00AB06AD" w:rsidRPr="00652D49" w:rsidRDefault="00AB06AD" w:rsidP="00B23809">
      <w:pPr>
        <w:pStyle w:val="ListParagraph"/>
        <w:ind w:left="180"/>
        <w:rPr>
          <w:rFonts w:ascii="Times New Roman" w:hAnsi="Times New Roman" w:cs="Times New Roman"/>
        </w:rPr>
      </w:pPr>
      <w:r w:rsidRPr="00AB06AD">
        <w:rPr>
          <w:rFonts w:ascii="Times New Roman" w:hAnsi="Times New Roman" w:cs="Times New Roman"/>
        </w:rPr>
        <w:drawing>
          <wp:inline distT="0" distB="0" distL="0" distR="0" wp14:anchorId="5894648B" wp14:editId="69850E5A">
            <wp:extent cx="4217868" cy="2784873"/>
            <wp:effectExtent l="0" t="0" r="0" b="0"/>
            <wp:docPr id="721886244" name="Picture 1" descr="A graph of blue rectangular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886244" name="Picture 1" descr="A graph of blue rectangular bars&#10;&#10;AI-generated content may be incorrect."/>
                    <pic:cNvPicPr/>
                  </pic:nvPicPr>
                  <pic:blipFill>
                    <a:blip r:embed="rId15"/>
                    <a:stretch>
                      <a:fillRect/>
                    </a:stretch>
                  </pic:blipFill>
                  <pic:spPr>
                    <a:xfrm>
                      <a:off x="0" y="0"/>
                      <a:ext cx="4258005" cy="2811374"/>
                    </a:xfrm>
                    <a:prstGeom prst="rect">
                      <a:avLst/>
                    </a:prstGeom>
                  </pic:spPr>
                </pic:pic>
              </a:graphicData>
            </a:graphic>
          </wp:inline>
        </w:drawing>
      </w:r>
    </w:p>
    <w:p w14:paraId="37B33DF5" w14:textId="1285EC22" w:rsidR="00652D49" w:rsidRPr="00652D49" w:rsidRDefault="00652D49" w:rsidP="00652D49">
      <w:pPr>
        <w:pStyle w:val="ListParagraph"/>
        <w:ind w:left="1080"/>
        <w:rPr>
          <w:rFonts w:ascii="Times New Roman" w:hAnsi="Times New Roman" w:cs="Times New Roman"/>
        </w:rPr>
      </w:pPr>
    </w:p>
    <w:p w14:paraId="725CA011" w14:textId="77777777" w:rsidR="00652D49" w:rsidRPr="00652D49" w:rsidRDefault="00652D49" w:rsidP="00B23809">
      <w:pPr>
        <w:pStyle w:val="ListParagraph"/>
        <w:ind w:left="90"/>
        <w:rPr>
          <w:rFonts w:ascii="Times New Roman" w:hAnsi="Times New Roman" w:cs="Times New Roman"/>
          <w:b/>
          <w:bCs/>
        </w:rPr>
      </w:pPr>
      <w:r w:rsidRPr="00652D49">
        <w:rPr>
          <w:rFonts w:ascii="Times New Roman" w:hAnsi="Times New Roman" w:cs="Times New Roman"/>
          <w:b/>
          <w:bCs/>
        </w:rPr>
        <w:t>6. Healthcare Spending Drilldown by Region and Country</w:t>
      </w:r>
    </w:p>
    <w:p w14:paraId="66759D17" w14:textId="77777777" w:rsidR="00652D49" w:rsidRPr="00652D49" w:rsidRDefault="00652D49" w:rsidP="00B23809">
      <w:pPr>
        <w:pStyle w:val="ListParagraph"/>
        <w:ind w:left="90"/>
        <w:rPr>
          <w:rFonts w:ascii="Times New Roman" w:hAnsi="Times New Roman" w:cs="Times New Roman"/>
        </w:rPr>
      </w:pPr>
      <w:r w:rsidRPr="00652D49">
        <w:rPr>
          <w:rFonts w:ascii="Times New Roman" w:hAnsi="Times New Roman" w:cs="Times New Roman"/>
        </w:rPr>
        <w:t>An interactive bar chart allows users to drill from regions into individual countries to explore spending patterns. It supports region-wise benchmarking.</w:t>
      </w:r>
    </w:p>
    <w:p w14:paraId="4918715E" w14:textId="24F531FB" w:rsidR="00652D49" w:rsidRPr="00652D49" w:rsidRDefault="00652D49" w:rsidP="00B23809">
      <w:pPr>
        <w:pStyle w:val="ListParagraph"/>
        <w:ind w:left="90"/>
        <w:rPr>
          <w:rFonts w:ascii="Times New Roman" w:hAnsi="Times New Roman" w:cs="Times New Roman"/>
        </w:rPr>
      </w:pPr>
      <w:r w:rsidRPr="00652D49">
        <w:rPr>
          <w:rFonts w:ascii="Times New Roman" w:hAnsi="Times New Roman" w:cs="Times New Roman"/>
          <w:b/>
          <w:bCs/>
        </w:rPr>
        <w:t>Insight:</w:t>
      </w:r>
      <w:r w:rsidRPr="00652D49">
        <w:rPr>
          <w:rFonts w:ascii="Times New Roman" w:hAnsi="Times New Roman" w:cs="Times New Roman"/>
        </w:rPr>
        <w:t xml:space="preserve"> Some regions with lower spending (e.g., parts of Asia) show relatively good health outcomes, while others with higher spending show inefficiencies.</w:t>
      </w:r>
      <w:r w:rsidR="00AB06AD">
        <w:rPr>
          <w:rFonts w:ascii="Times New Roman" w:hAnsi="Times New Roman" w:cs="Times New Roman"/>
        </w:rPr>
        <w:br/>
      </w:r>
      <w:r w:rsidR="00AB06AD" w:rsidRPr="00AB06AD">
        <w:rPr>
          <w:rFonts w:ascii="Times New Roman" w:hAnsi="Times New Roman" w:cs="Times New Roman"/>
        </w:rPr>
        <w:drawing>
          <wp:inline distT="0" distB="0" distL="0" distR="0" wp14:anchorId="6D8B27EC" wp14:editId="128A81BC">
            <wp:extent cx="4338306" cy="2854197"/>
            <wp:effectExtent l="0" t="0" r="5715" b="3810"/>
            <wp:docPr id="42884745" name="Picture 1" descr="A graph of blue rectangular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84745" name="Picture 1" descr="A graph of blue rectangular bars&#10;&#10;AI-generated content may be incorrect."/>
                    <pic:cNvPicPr/>
                  </pic:nvPicPr>
                  <pic:blipFill>
                    <a:blip r:embed="rId16"/>
                    <a:stretch>
                      <a:fillRect/>
                    </a:stretch>
                  </pic:blipFill>
                  <pic:spPr>
                    <a:xfrm>
                      <a:off x="0" y="0"/>
                      <a:ext cx="4381014" cy="2882295"/>
                    </a:xfrm>
                    <a:prstGeom prst="rect">
                      <a:avLst/>
                    </a:prstGeom>
                  </pic:spPr>
                </pic:pic>
              </a:graphicData>
            </a:graphic>
          </wp:inline>
        </w:drawing>
      </w:r>
    </w:p>
    <w:p w14:paraId="49C20036" w14:textId="36C086B4" w:rsidR="00652D49" w:rsidRPr="00652D49" w:rsidRDefault="00652D49" w:rsidP="00B23809">
      <w:pPr>
        <w:pStyle w:val="ListParagraph"/>
        <w:ind w:left="90"/>
        <w:rPr>
          <w:rFonts w:ascii="Times New Roman" w:hAnsi="Times New Roman" w:cs="Times New Roman"/>
        </w:rPr>
      </w:pPr>
    </w:p>
    <w:p w14:paraId="328EE206" w14:textId="77777777" w:rsidR="00652D49" w:rsidRPr="00652D49" w:rsidRDefault="00652D49" w:rsidP="00B23809">
      <w:pPr>
        <w:pStyle w:val="ListParagraph"/>
        <w:ind w:left="90"/>
        <w:rPr>
          <w:rFonts w:ascii="Times New Roman" w:hAnsi="Times New Roman" w:cs="Times New Roman"/>
          <w:b/>
          <w:bCs/>
        </w:rPr>
      </w:pPr>
      <w:r w:rsidRPr="00652D49">
        <w:rPr>
          <w:rFonts w:ascii="Times New Roman" w:hAnsi="Times New Roman" w:cs="Times New Roman"/>
          <w:b/>
          <w:bCs/>
        </w:rPr>
        <w:lastRenderedPageBreak/>
        <w:t>7. Animated Bar Chart Race – Health Spending Over Time</w:t>
      </w:r>
    </w:p>
    <w:p w14:paraId="2E81C1D1" w14:textId="77777777" w:rsidR="00652D49" w:rsidRPr="00652D49" w:rsidRDefault="00652D49" w:rsidP="00B23809">
      <w:pPr>
        <w:pStyle w:val="ListParagraph"/>
        <w:ind w:left="90"/>
        <w:rPr>
          <w:rFonts w:ascii="Times New Roman" w:hAnsi="Times New Roman" w:cs="Times New Roman"/>
        </w:rPr>
      </w:pPr>
      <w:r w:rsidRPr="00652D49">
        <w:rPr>
          <w:rFonts w:ascii="Times New Roman" w:hAnsi="Times New Roman" w:cs="Times New Roman"/>
        </w:rPr>
        <w:t>An animated chart displays how health spending evolved across countries from 2000 to 2020. It helps visualize the dynamic shifts in global health investment leadership.</w:t>
      </w:r>
    </w:p>
    <w:p w14:paraId="6D4731FE" w14:textId="77777777" w:rsidR="00AB06AD" w:rsidRDefault="00652D49" w:rsidP="00B23809">
      <w:pPr>
        <w:pStyle w:val="ListParagraph"/>
        <w:ind w:left="90"/>
        <w:rPr>
          <w:rFonts w:ascii="Times New Roman" w:hAnsi="Times New Roman" w:cs="Times New Roman"/>
        </w:rPr>
      </w:pPr>
      <w:r w:rsidRPr="00652D49">
        <w:rPr>
          <w:rFonts w:ascii="Times New Roman" w:hAnsi="Times New Roman" w:cs="Times New Roman"/>
          <w:b/>
          <w:bCs/>
        </w:rPr>
        <w:t>Insight:</w:t>
      </w:r>
      <w:r w:rsidRPr="00652D49">
        <w:rPr>
          <w:rFonts w:ascii="Times New Roman" w:hAnsi="Times New Roman" w:cs="Times New Roman"/>
        </w:rPr>
        <w:t xml:space="preserve"> The U.S. consistently leads in spending, but life expectancy does not match this investment. Meanwhile, several emerging economies steadily increased health investments.</w:t>
      </w:r>
    </w:p>
    <w:p w14:paraId="42F54D43" w14:textId="4B2533F6" w:rsidR="00652D49" w:rsidRPr="00652D49" w:rsidRDefault="00AB06AD" w:rsidP="00B23809">
      <w:pPr>
        <w:pStyle w:val="ListParagraph"/>
        <w:ind w:left="90"/>
        <w:rPr>
          <w:rFonts w:ascii="Times New Roman" w:hAnsi="Times New Roman" w:cs="Times New Roman"/>
        </w:rPr>
      </w:pPr>
      <w:r>
        <w:rPr>
          <w:rFonts w:ascii="Times New Roman" w:hAnsi="Times New Roman" w:cs="Times New Roman"/>
        </w:rPr>
        <w:br/>
      </w:r>
      <w:r w:rsidRPr="00AB06AD">
        <w:rPr>
          <w:rFonts w:ascii="Times New Roman" w:hAnsi="Times New Roman" w:cs="Times New Roman"/>
        </w:rPr>
        <w:drawing>
          <wp:inline distT="0" distB="0" distL="0" distR="0" wp14:anchorId="564BB32D" wp14:editId="64813042">
            <wp:extent cx="4951928" cy="2811912"/>
            <wp:effectExtent l="0" t="0" r="1270" b="7620"/>
            <wp:docPr id="2045230795"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230795" name="Picture 1" descr="A screenshot of a graph&#10;&#10;AI-generated content may be incorrect."/>
                    <pic:cNvPicPr/>
                  </pic:nvPicPr>
                  <pic:blipFill>
                    <a:blip r:embed="rId17"/>
                    <a:stretch>
                      <a:fillRect/>
                    </a:stretch>
                  </pic:blipFill>
                  <pic:spPr>
                    <a:xfrm>
                      <a:off x="0" y="0"/>
                      <a:ext cx="4980527" cy="2828152"/>
                    </a:xfrm>
                    <a:prstGeom prst="rect">
                      <a:avLst/>
                    </a:prstGeom>
                  </pic:spPr>
                </pic:pic>
              </a:graphicData>
            </a:graphic>
          </wp:inline>
        </w:drawing>
      </w:r>
    </w:p>
    <w:p w14:paraId="462B15D0" w14:textId="77777777" w:rsidR="00652D49" w:rsidRPr="00656A3C" w:rsidRDefault="00652D49" w:rsidP="00656A3C">
      <w:pPr>
        <w:pStyle w:val="ListParagraph"/>
        <w:ind w:left="1080"/>
        <w:rPr>
          <w:rFonts w:ascii="Times New Roman" w:hAnsi="Times New Roman" w:cs="Times New Roman"/>
        </w:rPr>
      </w:pPr>
    </w:p>
    <w:p w14:paraId="6D7D0E28" w14:textId="77777777" w:rsidR="00D31730" w:rsidRPr="00D31730" w:rsidRDefault="00D31730" w:rsidP="00D31730">
      <w:pPr>
        <w:rPr>
          <w:rFonts w:ascii="Times New Roman" w:hAnsi="Times New Roman" w:cs="Times New Roman"/>
          <w:b/>
          <w:bCs/>
        </w:rPr>
      </w:pPr>
      <w:r w:rsidRPr="00D31730">
        <w:rPr>
          <w:rFonts w:ascii="Times New Roman" w:hAnsi="Times New Roman" w:cs="Times New Roman"/>
          <w:b/>
          <w:bCs/>
        </w:rPr>
        <w:t>5. Key Findings</w:t>
      </w:r>
    </w:p>
    <w:p w14:paraId="71950A04" w14:textId="493DC3A0" w:rsidR="00D31730" w:rsidRPr="00D31730" w:rsidRDefault="00D31730" w:rsidP="00B23809">
      <w:pPr>
        <w:pStyle w:val="ListParagraph"/>
        <w:numPr>
          <w:ilvl w:val="0"/>
          <w:numId w:val="8"/>
        </w:numPr>
        <w:jc w:val="both"/>
        <w:rPr>
          <w:rFonts w:ascii="Times New Roman" w:hAnsi="Times New Roman" w:cs="Times New Roman"/>
        </w:rPr>
      </w:pPr>
      <w:r w:rsidRPr="00D31730">
        <w:rPr>
          <w:rFonts w:ascii="Times New Roman" w:hAnsi="Times New Roman" w:cs="Times New Roman"/>
        </w:rPr>
        <w:t xml:space="preserve">Life expectancy has steadily improved globally, particularly in South Asia, Latin America, and </w:t>
      </w:r>
      <w:r w:rsidR="00B23809">
        <w:rPr>
          <w:rFonts w:ascii="Times New Roman" w:hAnsi="Times New Roman" w:cs="Times New Roman"/>
        </w:rPr>
        <w:t xml:space="preserve">some </w:t>
      </w:r>
      <w:r w:rsidRPr="00D31730">
        <w:rPr>
          <w:rFonts w:ascii="Times New Roman" w:hAnsi="Times New Roman" w:cs="Times New Roman"/>
        </w:rPr>
        <w:t>parts of Africa. However, regional disparities persist, with some countries still lagging well below the global average.</w:t>
      </w:r>
    </w:p>
    <w:p w14:paraId="7DAE3475" w14:textId="055CA2C9" w:rsidR="00D31730" w:rsidRPr="00D31730" w:rsidRDefault="00D31730" w:rsidP="00B23809">
      <w:pPr>
        <w:pStyle w:val="ListParagraph"/>
        <w:numPr>
          <w:ilvl w:val="0"/>
          <w:numId w:val="8"/>
        </w:numPr>
        <w:jc w:val="both"/>
        <w:rPr>
          <w:rFonts w:ascii="Times New Roman" w:hAnsi="Times New Roman" w:cs="Times New Roman"/>
        </w:rPr>
      </w:pPr>
      <w:r w:rsidRPr="00D31730">
        <w:rPr>
          <w:rFonts w:ascii="Times New Roman" w:hAnsi="Times New Roman" w:cs="Times New Roman"/>
        </w:rPr>
        <w:t xml:space="preserve">Healthcare spending does not guarantee better outcomes. The United States spends the most in absolute </w:t>
      </w:r>
      <w:r w:rsidR="00B23809" w:rsidRPr="00D31730">
        <w:rPr>
          <w:rFonts w:ascii="Times New Roman" w:hAnsi="Times New Roman" w:cs="Times New Roman"/>
        </w:rPr>
        <w:t>terms yet</w:t>
      </w:r>
      <w:r w:rsidRPr="00D31730">
        <w:rPr>
          <w:rFonts w:ascii="Times New Roman" w:hAnsi="Times New Roman" w:cs="Times New Roman"/>
        </w:rPr>
        <w:t xml:space="preserve"> does not appear in the top 10 for life expectancy. In contrast, countries like Japan, Singapore, and Switzerland achieve high longevity with comparatively lower spending.</w:t>
      </w:r>
    </w:p>
    <w:p w14:paraId="1F1F7A32" w14:textId="77777777" w:rsidR="00D31730" w:rsidRPr="00D31730" w:rsidRDefault="00D31730" w:rsidP="00B23809">
      <w:pPr>
        <w:pStyle w:val="ListParagraph"/>
        <w:numPr>
          <w:ilvl w:val="0"/>
          <w:numId w:val="8"/>
        </w:numPr>
        <w:jc w:val="both"/>
        <w:rPr>
          <w:rFonts w:ascii="Times New Roman" w:hAnsi="Times New Roman" w:cs="Times New Roman"/>
        </w:rPr>
      </w:pPr>
      <w:r w:rsidRPr="00D31730">
        <w:rPr>
          <w:rFonts w:ascii="Times New Roman" w:hAnsi="Times New Roman" w:cs="Times New Roman"/>
        </w:rPr>
        <w:t>High-efficiency countries emerge as global models. Several nations demonstrate high life expectancy despite modest investment. These outliers highlight that well-structured health systems and preventive care can produce excellent results even with limited resources.</w:t>
      </w:r>
    </w:p>
    <w:p w14:paraId="159F963A" w14:textId="77777777" w:rsidR="00D31730" w:rsidRPr="00D31730" w:rsidRDefault="00D31730" w:rsidP="00B23809">
      <w:pPr>
        <w:pStyle w:val="ListParagraph"/>
        <w:numPr>
          <w:ilvl w:val="0"/>
          <w:numId w:val="8"/>
        </w:numPr>
        <w:jc w:val="both"/>
        <w:rPr>
          <w:rFonts w:ascii="Times New Roman" w:hAnsi="Times New Roman" w:cs="Times New Roman"/>
        </w:rPr>
      </w:pPr>
      <w:r w:rsidRPr="00D31730">
        <w:rPr>
          <w:rFonts w:ascii="Times New Roman" w:hAnsi="Times New Roman" w:cs="Times New Roman"/>
        </w:rPr>
        <w:t>The gap between Life Expectancy and HALE varies widely. In some regions, people live long lives but with more years spent in poor health. A smaller HALE gap indicates not only longer lives but healthier ones — an important distinction for public health planning.</w:t>
      </w:r>
    </w:p>
    <w:p w14:paraId="2652DC2E" w14:textId="77777777" w:rsidR="00D31730" w:rsidRPr="00D31730" w:rsidRDefault="00D31730" w:rsidP="00B23809">
      <w:pPr>
        <w:pStyle w:val="ListParagraph"/>
        <w:numPr>
          <w:ilvl w:val="0"/>
          <w:numId w:val="8"/>
        </w:numPr>
        <w:jc w:val="both"/>
        <w:rPr>
          <w:rFonts w:ascii="Times New Roman" w:hAnsi="Times New Roman" w:cs="Times New Roman"/>
        </w:rPr>
      </w:pPr>
      <w:r w:rsidRPr="00D31730">
        <w:rPr>
          <w:rFonts w:ascii="Times New Roman" w:hAnsi="Times New Roman" w:cs="Times New Roman"/>
        </w:rPr>
        <w:t>Geographical patterns are evident. Wealthier regions generally report higher health outcomes, but some middle-income countries are closing the gap. Heat maps and scatter plots reveal these clusters, highlighting both progress and inequality.</w:t>
      </w:r>
    </w:p>
    <w:p w14:paraId="53D59186" w14:textId="77777777" w:rsidR="00D31730" w:rsidRDefault="00D31730" w:rsidP="00B23809">
      <w:pPr>
        <w:pStyle w:val="ListParagraph"/>
        <w:numPr>
          <w:ilvl w:val="0"/>
          <w:numId w:val="8"/>
        </w:numPr>
        <w:jc w:val="both"/>
        <w:rPr>
          <w:rFonts w:ascii="Times New Roman" w:hAnsi="Times New Roman" w:cs="Times New Roman"/>
        </w:rPr>
      </w:pPr>
      <w:r w:rsidRPr="00D31730">
        <w:rPr>
          <w:rFonts w:ascii="Times New Roman" w:hAnsi="Times New Roman" w:cs="Times New Roman"/>
        </w:rPr>
        <w:lastRenderedPageBreak/>
        <w:t>Trendlines and regression analyses uncover inefficiencies. The regression line in the spending vs. life expectancy chart clearly shows countries that underperform despite high investment, pointing to potential inefficiencies in healthcare delivery.</w:t>
      </w:r>
    </w:p>
    <w:p w14:paraId="58955180" w14:textId="77777777" w:rsidR="00F14C36" w:rsidRPr="00F14C36" w:rsidRDefault="00F14C36" w:rsidP="00F14C36">
      <w:pPr>
        <w:jc w:val="both"/>
        <w:rPr>
          <w:rFonts w:ascii="Times New Roman" w:hAnsi="Times New Roman" w:cs="Times New Roman"/>
          <w:b/>
          <w:bCs/>
        </w:rPr>
      </w:pPr>
      <w:r w:rsidRPr="00F14C36">
        <w:rPr>
          <w:rFonts w:ascii="Times New Roman" w:hAnsi="Times New Roman" w:cs="Times New Roman"/>
          <w:b/>
          <w:bCs/>
        </w:rPr>
        <w:t>6. Recommendations and Implementation</w:t>
      </w:r>
    </w:p>
    <w:p w14:paraId="73648CA4" w14:textId="11D78355" w:rsidR="00F14C36" w:rsidRPr="00F14C36" w:rsidRDefault="00F14C36" w:rsidP="00F14C36">
      <w:pPr>
        <w:numPr>
          <w:ilvl w:val="0"/>
          <w:numId w:val="9"/>
        </w:numPr>
        <w:jc w:val="both"/>
        <w:rPr>
          <w:rFonts w:ascii="Times New Roman" w:hAnsi="Times New Roman" w:cs="Times New Roman"/>
        </w:rPr>
      </w:pPr>
      <w:r w:rsidRPr="00F14C36">
        <w:rPr>
          <w:rFonts w:ascii="Times New Roman" w:hAnsi="Times New Roman" w:cs="Times New Roman"/>
          <w:b/>
          <w:bCs/>
        </w:rPr>
        <w:t>Promote efficient healthcare models:</w:t>
      </w:r>
      <w:r w:rsidRPr="00F14C36">
        <w:rPr>
          <w:rFonts w:ascii="Times New Roman" w:hAnsi="Times New Roman" w:cs="Times New Roman"/>
        </w:rPr>
        <w:t xml:space="preserve"> Countries that achieve strong outcomes with lower health spending — such as Japan, Singapore, and</w:t>
      </w:r>
      <w:r>
        <w:rPr>
          <w:rFonts w:ascii="Times New Roman" w:hAnsi="Times New Roman" w:cs="Times New Roman"/>
        </w:rPr>
        <w:t xml:space="preserve"> Australia</w:t>
      </w:r>
      <w:r w:rsidRPr="00F14C36">
        <w:rPr>
          <w:rFonts w:ascii="Times New Roman" w:hAnsi="Times New Roman" w:cs="Times New Roman"/>
        </w:rPr>
        <w:t>— should be studied further for policy transfer. Investing in preventive care, primary services, and universal coverage may replicate these successes in lower-performing nations.</w:t>
      </w:r>
    </w:p>
    <w:p w14:paraId="7374540E" w14:textId="188705D0" w:rsidR="00F14C36" w:rsidRPr="00F14C36" w:rsidRDefault="00F14C36" w:rsidP="00F14C36">
      <w:pPr>
        <w:numPr>
          <w:ilvl w:val="0"/>
          <w:numId w:val="9"/>
        </w:numPr>
        <w:jc w:val="both"/>
        <w:rPr>
          <w:rFonts w:ascii="Times New Roman" w:hAnsi="Times New Roman" w:cs="Times New Roman"/>
        </w:rPr>
      </w:pPr>
      <w:r w:rsidRPr="00F14C36">
        <w:rPr>
          <w:rFonts w:ascii="Times New Roman" w:hAnsi="Times New Roman" w:cs="Times New Roman"/>
          <w:b/>
          <w:bCs/>
        </w:rPr>
        <w:t xml:space="preserve">Shift </w:t>
      </w:r>
      <w:r w:rsidRPr="00F14C36">
        <w:rPr>
          <w:rFonts w:ascii="Times New Roman" w:hAnsi="Times New Roman" w:cs="Times New Roman"/>
          <w:b/>
          <w:bCs/>
        </w:rPr>
        <w:t>focuses</w:t>
      </w:r>
      <w:r w:rsidRPr="00F14C36">
        <w:rPr>
          <w:rFonts w:ascii="Times New Roman" w:hAnsi="Times New Roman" w:cs="Times New Roman"/>
          <w:b/>
          <w:bCs/>
        </w:rPr>
        <w:t xml:space="preserve"> from spending volume to outcome quality:</w:t>
      </w:r>
      <w:r w:rsidRPr="00F14C36">
        <w:rPr>
          <w:rFonts w:ascii="Times New Roman" w:hAnsi="Times New Roman" w:cs="Times New Roman"/>
        </w:rPr>
        <w:t xml:space="preserve"> Policymakers should prioritize improving healthcare delivery efficiency, rather than simply increasing budgets. Emphasizing access, equity, and quality of care can improve outcomes without major cost increases.</w:t>
      </w:r>
    </w:p>
    <w:p w14:paraId="50C98D41" w14:textId="77777777" w:rsidR="00F14C36" w:rsidRPr="00F14C36" w:rsidRDefault="00F14C36" w:rsidP="00F14C36">
      <w:pPr>
        <w:numPr>
          <w:ilvl w:val="0"/>
          <w:numId w:val="9"/>
        </w:numPr>
        <w:jc w:val="both"/>
        <w:rPr>
          <w:rFonts w:ascii="Times New Roman" w:hAnsi="Times New Roman" w:cs="Times New Roman"/>
        </w:rPr>
      </w:pPr>
      <w:r w:rsidRPr="00F14C36">
        <w:rPr>
          <w:rFonts w:ascii="Times New Roman" w:hAnsi="Times New Roman" w:cs="Times New Roman"/>
          <w:b/>
          <w:bCs/>
        </w:rPr>
        <w:t>Integrate HALE in national health strategies:</w:t>
      </w:r>
      <w:r w:rsidRPr="00F14C36">
        <w:rPr>
          <w:rFonts w:ascii="Times New Roman" w:hAnsi="Times New Roman" w:cs="Times New Roman"/>
        </w:rPr>
        <w:t xml:space="preserve"> Governments should not only aim to increase life expectancy but also focus on quality of life. Investments in mental health, disability services, and healthy aging programs can reduce the years lived in poor health.</w:t>
      </w:r>
    </w:p>
    <w:p w14:paraId="5F3CCD4E" w14:textId="77777777" w:rsidR="00F14C36" w:rsidRPr="00F14C36" w:rsidRDefault="00F14C36" w:rsidP="00F14C36">
      <w:pPr>
        <w:numPr>
          <w:ilvl w:val="0"/>
          <w:numId w:val="9"/>
        </w:numPr>
        <w:jc w:val="both"/>
        <w:rPr>
          <w:rFonts w:ascii="Times New Roman" w:hAnsi="Times New Roman" w:cs="Times New Roman"/>
        </w:rPr>
      </w:pPr>
      <w:r w:rsidRPr="00F14C36">
        <w:rPr>
          <w:rFonts w:ascii="Times New Roman" w:hAnsi="Times New Roman" w:cs="Times New Roman"/>
          <w:b/>
          <w:bCs/>
        </w:rPr>
        <w:t>Use data to target regional disparities:</w:t>
      </w:r>
      <w:r w:rsidRPr="00F14C36">
        <w:rPr>
          <w:rFonts w:ascii="Times New Roman" w:hAnsi="Times New Roman" w:cs="Times New Roman"/>
        </w:rPr>
        <w:t xml:space="preserve"> Countries with diverse populations or large rural areas can use dashboards like this one to identify regions that need targeted interventions, especially where both spending and outcomes </w:t>
      </w:r>
      <w:proofErr w:type="gramStart"/>
      <w:r w:rsidRPr="00F14C36">
        <w:rPr>
          <w:rFonts w:ascii="Times New Roman" w:hAnsi="Times New Roman" w:cs="Times New Roman"/>
        </w:rPr>
        <w:t>lag behind</w:t>
      </w:r>
      <w:proofErr w:type="gramEnd"/>
      <w:r w:rsidRPr="00F14C36">
        <w:rPr>
          <w:rFonts w:ascii="Times New Roman" w:hAnsi="Times New Roman" w:cs="Times New Roman"/>
        </w:rPr>
        <w:t>.</w:t>
      </w:r>
    </w:p>
    <w:p w14:paraId="744ABC1E" w14:textId="77777777" w:rsidR="00F14C36" w:rsidRPr="00F14C36" w:rsidRDefault="00F14C36" w:rsidP="00F14C36">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F14C36">
        <w:rPr>
          <w:rFonts w:ascii="Times New Roman" w:eastAsia="Times New Roman" w:hAnsi="Times New Roman" w:cs="Times New Roman"/>
          <w:b/>
          <w:bCs/>
          <w:kern w:val="0"/>
          <w14:ligatures w14:val="none"/>
        </w:rPr>
        <w:t>7. Conclusion</w:t>
      </w:r>
    </w:p>
    <w:p w14:paraId="721FB2F9" w14:textId="5025B437" w:rsidR="00F14C36" w:rsidRPr="00F14C36" w:rsidRDefault="00F14C36" w:rsidP="00F14C36">
      <w:pPr>
        <w:spacing w:before="100" w:beforeAutospacing="1" w:after="100" w:afterAutospacing="1" w:line="240" w:lineRule="auto"/>
        <w:jc w:val="both"/>
        <w:rPr>
          <w:rFonts w:ascii="Times New Roman" w:eastAsia="Times New Roman" w:hAnsi="Times New Roman" w:cs="Times New Roman"/>
          <w:kern w:val="0"/>
          <w14:ligatures w14:val="none"/>
        </w:rPr>
      </w:pPr>
      <w:r w:rsidRPr="00F14C36">
        <w:rPr>
          <w:rFonts w:ascii="Times New Roman" w:eastAsia="Times New Roman" w:hAnsi="Times New Roman" w:cs="Times New Roman"/>
          <w:kern w:val="0"/>
          <w14:ligatures w14:val="none"/>
        </w:rPr>
        <w:t xml:space="preserve">This report highlights the complex and often non-linear relationship between healthcare spending and life expectancy. While wealthier </w:t>
      </w:r>
      <w:r w:rsidRPr="00F14C36">
        <w:rPr>
          <w:rFonts w:ascii="Times New Roman" w:eastAsia="Times New Roman" w:hAnsi="Times New Roman" w:cs="Times New Roman"/>
          <w:kern w:val="0"/>
          <w14:ligatures w14:val="none"/>
        </w:rPr>
        <w:t xml:space="preserve">Regions </w:t>
      </w:r>
      <w:r w:rsidRPr="00F14C36">
        <w:rPr>
          <w:rFonts w:ascii="Times New Roman" w:eastAsia="Times New Roman" w:hAnsi="Times New Roman" w:cs="Times New Roman"/>
          <w:kern w:val="0"/>
          <w14:ligatures w14:val="none"/>
        </w:rPr>
        <w:t xml:space="preserve">tend to live longer, many outliers demonstrate that efficiency matters more than budget size. Countries that prioritize preventive care and equitable access consistently outperform </w:t>
      </w:r>
      <w:r w:rsidRPr="00F14C36">
        <w:rPr>
          <w:rFonts w:ascii="Times New Roman" w:eastAsia="Times New Roman" w:hAnsi="Times New Roman" w:cs="Times New Roman"/>
          <w:kern w:val="0"/>
          <w14:ligatures w14:val="none"/>
        </w:rPr>
        <w:t>high spending</w:t>
      </w:r>
      <w:r w:rsidRPr="00F14C36">
        <w:rPr>
          <w:rFonts w:ascii="Times New Roman" w:eastAsia="Times New Roman" w:hAnsi="Times New Roman" w:cs="Times New Roman"/>
          <w:kern w:val="0"/>
          <w14:ligatures w14:val="none"/>
        </w:rPr>
        <w:t xml:space="preserve"> yet inefficient systems.</w:t>
      </w:r>
    </w:p>
    <w:p w14:paraId="4521DFD6" w14:textId="7A93456A" w:rsidR="00F14C36" w:rsidRPr="00F14C36" w:rsidRDefault="00F14C36" w:rsidP="00F14C36">
      <w:pPr>
        <w:spacing w:before="100" w:beforeAutospacing="1" w:after="100" w:afterAutospacing="1" w:line="240" w:lineRule="auto"/>
        <w:jc w:val="both"/>
        <w:rPr>
          <w:rFonts w:ascii="Times New Roman" w:eastAsia="Times New Roman" w:hAnsi="Times New Roman" w:cs="Times New Roman"/>
          <w:kern w:val="0"/>
          <w14:ligatures w14:val="none"/>
        </w:rPr>
      </w:pPr>
      <w:r w:rsidRPr="00F14C36">
        <w:rPr>
          <w:rFonts w:ascii="Times New Roman" w:eastAsia="Times New Roman" w:hAnsi="Times New Roman" w:cs="Times New Roman"/>
          <w:kern w:val="0"/>
          <w14:ligatures w14:val="none"/>
        </w:rPr>
        <w:t xml:space="preserve">The analysis shows that global life expectancy has increased overall, but disparities remain — both in terms of </w:t>
      </w:r>
      <w:r w:rsidRPr="00F14C36">
        <w:rPr>
          <w:rFonts w:ascii="Times New Roman" w:eastAsia="Times New Roman" w:hAnsi="Times New Roman" w:cs="Times New Roman"/>
          <w:kern w:val="0"/>
          <w14:ligatures w14:val="none"/>
        </w:rPr>
        <w:t>the years</w:t>
      </w:r>
      <w:r w:rsidRPr="00F14C36">
        <w:rPr>
          <w:rFonts w:ascii="Times New Roman" w:eastAsia="Times New Roman" w:hAnsi="Times New Roman" w:cs="Times New Roman"/>
          <w:kern w:val="0"/>
          <w14:ligatures w14:val="none"/>
        </w:rPr>
        <w:t xml:space="preserve"> lived and the quality of those years (as seen in HALE data). Health policies should therefore aim for healthy, not just long, lives.</w:t>
      </w:r>
    </w:p>
    <w:p w14:paraId="668C1583" w14:textId="5B4536E1" w:rsidR="00F14C36" w:rsidRDefault="00F14C36" w:rsidP="00F14C36">
      <w:pPr>
        <w:spacing w:before="100" w:beforeAutospacing="1" w:after="100" w:afterAutospacing="1" w:line="240" w:lineRule="auto"/>
        <w:jc w:val="both"/>
        <w:rPr>
          <w:rFonts w:ascii="Times New Roman" w:eastAsia="Times New Roman" w:hAnsi="Times New Roman" w:cs="Times New Roman"/>
          <w:kern w:val="0"/>
          <w14:ligatures w14:val="none"/>
        </w:rPr>
      </w:pPr>
      <w:r w:rsidRPr="00F14C36">
        <w:rPr>
          <w:rFonts w:ascii="Times New Roman" w:eastAsia="Times New Roman" w:hAnsi="Times New Roman" w:cs="Times New Roman"/>
          <w:kern w:val="0"/>
          <w14:ligatures w14:val="none"/>
        </w:rPr>
        <w:t>Power BI proved effective for transforming raw global health data into actionable insights. Through visual storytelling and interactive analysis, this project provides a strong foundation for deeper exploration into global health equity and efficiency.</w:t>
      </w:r>
    </w:p>
    <w:p w14:paraId="64985687" w14:textId="77777777" w:rsidR="00F14C36" w:rsidRDefault="00F14C36" w:rsidP="00F14C36">
      <w:pPr>
        <w:spacing w:before="100" w:beforeAutospacing="1" w:after="100" w:afterAutospacing="1" w:line="240" w:lineRule="auto"/>
        <w:jc w:val="both"/>
        <w:rPr>
          <w:rFonts w:ascii="Times New Roman" w:eastAsia="Times New Roman" w:hAnsi="Times New Roman" w:cs="Times New Roman"/>
          <w:kern w:val="0"/>
          <w14:ligatures w14:val="none"/>
        </w:rPr>
      </w:pPr>
    </w:p>
    <w:p w14:paraId="7E75008D" w14:textId="77777777" w:rsidR="00F14C36" w:rsidRDefault="00F14C36" w:rsidP="00F14C36">
      <w:pPr>
        <w:spacing w:before="100" w:beforeAutospacing="1" w:after="100" w:afterAutospacing="1" w:line="240" w:lineRule="auto"/>
        <w:jc w:val="both"/>
        <w:rPr>
          <w:rFonts w:ascii="Times New Roman" w:eastAsia="Times New Roman" w:hAnsi="Times New Roman" w:cs="Times New Roman"/>
          <w:kern w:val="0"/>
          <w14:ligatures w14:val="none"/>
        </w:rPr>
      </w:pPr>
    </w:p>
    <w:p w14:paraId="3282818E" w14:textId="77777777" w:rsidR="00F14C36" w:rsidRDefault="00F14C36" w:rsidP="00F14C36">
      <w:pPr>
        <w:spacing w:before="100" w:beforeAutospacing="1" w:after="100" w:afterAutospacing="1" w:line="240" w:lineRule="auto"/>
        <w:jc w:val="both"/>
        <w:rPr>
          <w:rFonts w:ascii="Times New Roman" w:eastAsia="Times New Roman" w:hAnsi="Times New Roman" w:cs="Times New Roman"/>
          <w:kern w:val="0"/>
          <w14:ligatures w14:val="none"/>
        </w:rPr>
      </w:pPr>
    </w:p>
    <w:p w14:paraId="4B676FF3" w14:textId="77777777" w:rsidR="00F14C36" w:rsidRDefault="00F14C36" w:rsidP="00F14C36">
      <w:pPr>
        <w:spacing w:before="100" w:beforeAutospacing="1" w:after="100" w:afterAutospacing="1" w:line="240" w:lineRule="auto"/>
        <w:jc w:val="both"/>
        <w:rPr>
          <w:rFonts w:ascii="Times New Roman" w:eastAsia="Times New Roman" w:hAnsi="Times New Roman" w:cs="Times New Roman"/>
          <w:kern w:val="0"/>
          <w14:ligatures w14:val="none"/>
        </w:rPr>
      </w:pPr>
    </w:p>
    <w:p w14:paraId="00ADA4D2" w14:textId="77777777" w:rsidR="00F14C36" w:rsidRPr="00F14C36" w:rsidRDefault="00F14C36" w:rsidP="00F14C36">
      <w:pPr>
        <w:spacing w:before="100" w:beforeAutospacing="1" w:after="100" w:afterAutospacing="1" w:line="240" w:lineRule="auto"/>
        <w:jc w:val="both"/>
        <w:rPr>
          <w:rFonts w:ascii="Times New Roman" w:eastAsia="Times New Roman" w:hAnsi="Times New Roman" w:cs="Times New Roman"/>
          <w:b/>
          <w:bCs/>
          <w:kern w:val="0"/>
          <w14:ligatures w14:val="none"/>
        </w:rPr>
      </w:pPr>
      <w:r w:rsidRPr="00F14C36">
        <w:rPr>
          <w:rFonts w:ascii="Times New Roman" w:eastAsia="Times New Roman" w:hAnsi="Times New Roman" w:cs="Times New Roman"/>
          <w:b/>
          <w:bCs/>
          <w:kern w:val="0"/>
          <w14:ligatures w14:val="none"/>
        </w:rPr>
        <w:lastRenderedPageBreak/>
        <w:t>8. Future Extension and Additional Research Questions</w:t>
      </w:r>
    </w:p>
    <w:p w14:paraId="2098C982" w14:textId="77777777" w:rsidR="00F14C36" w:rsidRPr="00F14C36" w:rsidRDefault="00F14C36" w:rsidP="00F14C36">
      <w:pPr>
        <w:spacing w:before="100" w:beforeAutospacing="1" w:after="100" w:afterAutospacing="1" w:line="240" w:lineRule="auto"/>
        <w:jc w:val="both"/>
        <w:rPr>
          <w:rFonts w:ascii="Times New Roman" w:eastAsia="Times New Roman" w:hAnsi="Times New Roman" w:cs="Times New Roman"/>
          <w:kern w:val="0"/>
          <w14:ligatures w14:val="none"/>
        </w:rPr>
      </w:pPr>
      <w:r w:rsidRPr="00F14C36">
        <w:rPr>
          <w:rFonts w:ascii="Times New Roman" w:eastAsia="Times New Roman" w:hAnsi="Times New Roman" w:cs="Times New Roman"/>
          <w:kern w:val="0"/>
          <w14:ligatures w14:val="none"/>
        </w:rPr>
        <w:t>To further build on this analysis, future studies could explore:</w:t>
      </w:r>
    </w:p>
    <w:p w14:paraId="20774311" w14:textId="77777777" w:rsidR="00F14C36" w:rsidRDefault="00F14C36" w:rsidP="00F14C36">
      <w:pPr>
        <w:numPr>
          <w:ilvl w:val="0"/>
          <w:numId w:val="10"/>
        </w:numPr>
        <w:spacing w:after="0" w:line="240" w:lineRule="auto"/>
        <w:jc w:val="both"/>
        <w:rPr>
          <w:rFonts w:ascii="Times New Roman" w:eastAsia="Times New Roman" w:hAnsi="Times New Roman" w:cs="Times New Roman"/>
          <w:kern w:val="0"/>
          <w14:ligatures w14:val="none"/>
        </w:rPr>
      </w:pPr>
      <w:r w:rsidRPr="00F14C36">
        <w:rPr>
          <w:rFonts w:ascii="Times New Roman" w:eastAsia="Times New Roman" w:hAnsi="Times New Roman" w:cs="Times New Roman"/>
          <w:b/>
          <w:bCs/>
          <w:kern w:val="0"/>
          <w14:ligatures w14:val="none"/>
        </w:rPr>
        <w:t>What role does income inequality (e.g., Gini coefficient) play in health outcomes?</w:t>
      </w:r>
      <w:r w:rsidRPr="00F14C36">
        <w:rPr>
          <w:rFonts w:ascii="Times New Roman" w:eastAsia="Times New Roman" w:hAnsi="Times New Roman" w:cs="Times New Roman"/>
          <w:kern w:val="0"/>
          <w14:ligatures w14:val="none"/>
        </w:rPr>
        <w:br/>
        <w:t>Adding inequality data could explain why some wealthy countries underperform in life expectancy.</w:t>
      </w:r>
    </w:p>
    <w:p w14:paraId="6FA5E2D6" w14:textId="77777777" w:rsidR="00F14C36" w:rsidRPr="00F14C36" w:rsidRDefault="00F14C36" w:rsidP="00F14C36">
      <w:pPr>
        <w:spacing w:after="0" w:line="240" w:lineRule="auto"/>
        <w:jc w:val="both"/>
        <w:rPr>
          <w:rFonts w:ascii="Times New Roman" w:eastAsia="Times New Roman" w:hAnsi="Times New Roman" w:cs="Times New Roman"/>
          <w:kern w:val="0"/>
          <w14:ligatures w14:val="none"/>
        </w:rPr>
      </w:pPr>
    </w:p>
    <w:p w14:paraId="45E2CB21" w14:textId="77777777" w:rsidR="00F14C36" w:rsidRDefault="00F14C36" w:rsidP="00F14C36">
      <w:pPr>
        <w:numPr>
          <w:ilvl w:val="0"/>
          <w:numId w:val="10"/>
        </w:numPr>
        <w:spacing w:after="0" w:line="240" w:lineRule="auto"/>
        <w:jc w:val="both"/>
        <w:rPr>
          <w:rFonts w:ascii="Times New Roman" w:eastAsia="Times New Roman" w:hAnsi="Times New Roman" w:cs="Times New Roman"/>
          <w:kern w:val="0"/>
          <w14:ligatures w14:val="none"/>
        </w:rPr>
      </w:pPr>
      <w:r w:rsidRPr="00F14C36">
        <w:rPr>
          <w:rFonts w:ascii="Times New Roman" w:eastAsia="Times New Roman" w:hAnsi="Times New Roman" w:cs="Times New Roman"/>
          <w:b/>
          <w:bCs/>
          <w:kern w:val="0"/>
          <w14:ligatures w14:val="none"/>
        </w:rPr>
        <w:t>How does education level influence health outcomes over time?</w:t>
      </w:r>
    </w:p>
    <w:p w14:paraId="1A54A30E" w14:textId="28977D7E" w:rsidR="00F14C36" w:rsidRDefault="00F14C36" w:rsidP="00F14C36">
      <w:pPr>
        <w:spacing w:after="0" w:line="240" w:lineRule="auto"/>
        <w:ind w:left="720"/>
        <w:jc w:val="both"/>
        <w:rPr>
          <w:rFonts w:ascii="Times New Roman" w:eastAsia="Times New Roman" w:hAnsi="Times New Roman" w:cs="Times New Roman"/>
          <w:kern w:val="0"/>
          <w14:ligatures w14:val="none"/>
        </w:rPr>
      </w:pPr>
      <w:r w:rsidRPr="00F14C36">
        <w:rPr>
          <w:rFonts w:ascii="Times New Roman" w:eastAsia="Times New Roman" w:hAnsi="Times New Roman" w:cs="Times New Roman"/>
          <w:kern w:val="0"/>
          <w14:ligatures w14:val="none"/>
        </w:rPr>
        <w:t>Linking life expectancy to literacy and educational access would help understand long-term health determinants.</w:t>
      </w:r>
    </w:p>
    <w:p w14:paraId="550DFBD8" w14:textId="77777777" w:rsidR="00F14C36" w:rsidRPr="00F14C36" w:rsidRDefault="00F14C36" w:rsidP="00F14C36">
      <w:pPr>
        <w:spacing w:after="0" w:line="240" w:lineRule="auto"/>
        <w:ind w:left="720"/>
        <w:jc w:val="both"/>
        <w:rPr>
          <w:rFonts w:ascii="Times New Roman" w:eastAsia="Times New Roman" w:hAnsi="Times New Roman" w:cs="Times New Roman"/>
          <w:kern w:val="0"/>
          <w14:ligatures w14:val="none"/>
        </w:rPr>
      </w:pPr>
    </w:p>
    <w:p w14:paraId="099B4637" w14:textId="77777777" w:rsidR="00F14C36" w:rsidRPr="00F14C36" w:rsidRDefault="00F14C36" w:rsidP="00F14C36">
      <w:pPr>
        <w:numPr>
          <w:ilvl w:val="0"/>
          <w:numId w:val="10"/>
        </w:numPr>
        <w:spacing w:after="0" w:line="240" w:lineRule="auto"/>
        <w:jc w:val="both"/>
        <w:rPr>
          <w:rFonts w:ascii="Times New Roman" w:eastAsia="Times New Roman" w:hAnsi="Times New Roman" w:cs="Times New Roman"/>
          <w:kern w:val="0"/>
          <w14:ligatures w14:val="none"/>
        </w:rPr>
      </w:pPr>
      <w:r w:rsidRPr="00F14C36">
        <w:rPr>
          <w:rFonts w:ascii="Times New Roman" w:eastAsia="Times New Roman" w:hAnsi="Times New Roman" w:cs="Times New Roman"/>
          <w:b/>
          <w:bCs/>
          <w:kern w:val="0"/>
          <w14:ligatures w14:val="none"/>
        </w:rPr>
        <w:t>What were the short- and long-term effects of the COVID-19 pandemic on HALE and life expectancy?</w:t>
      </w:r>
    </w:p>
    <w:p w14:paraId="3C0010F0" w14:textId="7957BAA6" w:rsidR="00F14C36" w:rsidRDefault="00F14C36" w:rsidP="00F14C36">
      <w:pPr>
        <w:spacing w:after="0" w:line="240" w:lineRule="auto"/>
        <w:ind w:left="720"/>
        <w:jc w:val="both"/>
        <w:rPr>
          <w:rFonts w:ascii="Times New Roman" w:eastAsia="Times New Roman" w:hAnsi="Times New Roman" w:cs="Times New Roman"/>
          <w:kern w:val="0"/>
          <w14:ligatures w14:val="none"/>
        </w:rPr>
      </w:pPr>
      <w:r w:rsidRPr="00F14C36">
        <w:rPr>
          <w:rFonts w:ascii="Times New Roman" w:eastAsia="Times New Roman" w:hAnsi="Times New Roman" w:cs="Times New Roman"/>
          <w:kern w:val="0"/>
          <w14:ligatures w14:val="none"/>
        </w:rPr>
        <w:t>Including 2020–202</w:t>
      </w:r>
      <w:r>
        <w:rPr>
          <w:rFonts w:ascii="Times New Roman" w:eastAsia="Times New Roman" w:hAnsi="Times New Roman" w:cs="Times New Roman"/>
          <w:kern w:val="0"/>
          <w14:ligatures w14:val="none"/>
        </w:rPr>
        <w:t>4</w:t>
      </w:r>
      <w:r w:rsidRPr="00F14C36">
        <w:rPr>
          <w:rFonts w:ascii="Times New Roman" w:eastAsia="Times New Roman" w:hAnsi="Times New Roman" w:cs="Times New Roman"/>
          <w:kern w:val="0"/>
          <w14:ligatures w14:val="none"/>
        </w:rPr>
        <w:t xml:space="preserve"> data could reveal how resilient different health systems were during global crises.</w:t>
      </w:r>
    </w:p>
    <w:p w14:paraId="2575F94C" w14:textId="77777777" w:rsidR="00F14C36" w:rsidRPr="00F14C36" w:rsidRDefault="00F14C36" w:rsidP="00F14C36">
      <w:pPr>
        <w:spacing w:after="0" w:line="240" w:lineRule="auto"/>
        <w:ind w:left="720"/>
        <w:jc w:val="both"/>
        <w:rPr>
          <w:rFonts w:ascii="Times New Roman" w:eastAsia="Times New Roman" w:hAnsi="Times New Roman" w:cs="Times New Roman"/>
          <w:kern w:val="0"/>
          <w14:ligatures w14:val="none"/>
        </w:rPr>
      </w:pPr>
    </w:p>
    <w:p w14:paraId="51035850" w14:textId="77777777" w:rsidR="00F14C36" w:rsidRDefault="00F14C36" w:rsidP="00F14C36">
      <w:pPr>
        <w:numPr>
          <w:ilvl w:val="0"/>
          <w:numId w:val="10"/>
        </w:numPr>
        <w:spacing w:after="0" w:line="240" w:lineRule="auto"/>
        <w:jc w:val="both"/>
        <w:rPr>
          <w:rFonts w:ascii="Times New Roman" w:eastAsia="Times New Roman" w:hAnsi="Times New Roman" w:cs="Times New Roman"/>
          <w:kern w:val="0"/>
          <w14:ligatures w14:val="none"/>
        </w:rPr>
      </w:pPr>
      <w:r w:rsidRPr="00F14C36">
        <w:rPr>
          <w:rFonts w:ascii="Times New Roman" w:eastAsia="Times New Roman" w:hAnsi="Times New Roman" w:cs="Times New Roman"/>
          <w:b/>
          <w:bCs/>
          <w:kern w:val="0"/>
          <w14:ligatures w14:val="none"/>
        </w:rPr>
        <w:t>How do countries allocate healthcare funds (preventive vs. curative)?</w:t>
      </w:r>
    </w:p>
    <w:p w14:paraId="699695E6" w14:textId="3B9287CA" w:rsidR="00F14C36" w:rsidRDefault="00F14C36" w:rsidP="00F14C36">
      <w:pPr>
        <w:spacing w:after="0" w:line="240" w:lineRule="auto"/>
        <w:ind w:left="720"/>
        <w:jc w:val="both"/>
        <w:rPr>
          <w:rFonts w:ascii="Times New Roman" w:eastAsia="Times New Roman" w:hAnsi="Times New Roman" w:cs="Times New Roman"/>
          <w:kern w:val="0"/>
          <w14:ligatures w14:val="none"/>
        </w:rPr>
      </w:pPr>
      <w:r w:rsidRPr="00F14C36">
        <w:rPr>
          <w:rFonts w:ascii="Times New Roman" w:eastAsia="Times New Roman" w:hAnsi="Times New Roman" w:cs="Times New Roman"/>
          <w:kern w:val="0"/>
          <w14:ligatures w14:val="none"/>
        </w:rPr>
        <w:t>A deeper look into healthcare budgeting may explain why similar spending levels yield different outcomes.</w:t>
      </w:r>
    </w:p>
    <w:p w14:paraId="58E21E78" w14:textId="77777777" w:rsidR="00F14C36" w:rsidRPr="00F14C36" w:rsidRDefault="00F14C36" w:rsidP="00F14C36">
      <w:pPr>
        <w:spacing w:after="0" w:line="240" w:lineRule="auto"/>
        <w:jc w:val="both"/>
        <w:rPr>
          <w:rFonts w:ascii="Times New Roman" w:eastAsia="Times New Roman" w:hAnsi="Times New Roman" w:cs="Times New Roman"/>
          <w:kern w:val="0"/>
          <w14:ligatures w14:val="none"/>
        </w:rPr>
      </w:pPr>
    </w:p>
    <w:p w14:paraId="6A8D6C5D" w14:textId="77777777" w:rsidR="00F14C36" w:rsidRPr="00F14C36" w:rsidRDefault="00F14C36" w:rsidP="00F14C36">
      <w:pPr>
        <w:numPr>
          <w:ilvl w:val="0"/>
          <w:numId w:val="10"/>
        </w:numPr>
        <w:spacing w:after="0" w:line="240" w:lineRule="auto"/>
        <w:jc w:val="both"/>
        <w:rPr>
          <w:rFonts w:ascii="Times New Roman" w:eastAsia="Times New Roman" w:hAnsi="Times New Roman" w:cs="Times New Roman"/>
          <w:kern w:val="0"/>
          <w14:ligatures w14:val="none"/>
        </w:rPr>
      </w:pPr>
      <w:r w:rsidRPr="00F14C36">
        <w:rPr>
          <w:rFonts w:ascii="Times New Roman" w:eastAsia="Times New Roman" w:hAnsi="Times New Roman" w:cs="Times New Roman"/>
          <w:b/>
          <w:bCs/>
          <w:kern w:val="0"/>
          <w14:ligatures w14:val="none"/>
        </w:rPr>
        <w:t>Does public vs. private healthcare investment impact efficiency?</w:t>
      </w:r>
    </w:p>
    <w:p w14:paraId="51017E75" w14:textId="4E830912" w:rsidR="00F14C36" w:rsidRPr="00F14C36" w:rsidRDefault="00F14C36" w:rsidP="00F14C36">
      <w:pPr>
        <w:spacing w:after="0" w:line="240" w:lineRule="auto"/>
        <w:ind w:left="720"/>
        <w:jc w:val="both"/>
        <w:rPr>
          <w:rFonts w:ascii="Times New Roman" w:eastAsia="Times New Roman" w:hAnsi="Times New Roman" w:cs="Times New Roman"/>
          <w:kern w:val="0"/>
          <w14:ligatures w14:val="none"/>
        </w:rPr>
      </w:pPr>
      <w:r w:rsidRPr="00F14C36">
        <w:rPr>
          <w:rFonts w:ascii="Times New Roman" w:eastAsia="Times New Roman" w:hAnsi="Times New Roman" w:cs="Times New Roman"/>
          <w:kern w:val="0"/>
          <w14:ligatures w14:val="none"/>
        </w:rPr>
        <w:t xml:space="preserve">Future analysis could compare nations with </w:t>
      </w:r>
      <w:proofErr w:type="gramStart"/>
      <w:r w:rsidRPr="00F14C36">
        <w:rPr>
          <w:rFonts w:ascii="Times New Roman" w:eastAsia="Times New Roman" w:hAnsi="Times New Roman" w:cs="Times New Roman"/>
          <w:kern w:val="0"/>
          <w14:ligatures w14:val="none"/>
        </w:rPr>
        <w:t>largely</w:t>
      </w:r>
      <w:proofErr w:type="gramEnd"/>
      <w:r w:rsidRPr="00F14C36">
        <w:rPr>
          <w:rFonts w:ascii="Times New Roman" w:eastAsia="Times New Roman" w:hAnsi="Times New Roman" w:cs="Times New Roman"/>
          <w:kern w:val="0"/>
          <w14:ligatures w14:val="none"/>
        </w:rPr>
        <w:t xml:space="preserve"> public systems to those with privatized healthcare.</w:t>
      </w:r>
    </w:p>
    <w:p w14:paraId="62C63856" w14:textId="77777777" w:rsidR="00F14C36" w:rsidRPr="00F14C36" w:rsidRDefault="00F14C36" w:rsidP="00F14C36">
      <w:pPr>
        <w:spacing w:after="0" w:line="240" w:lineRule="auto"/>
        <w:jc w:val="both"/>
        <w:rPr>
          <w:rFonts w:ascii="Times New Roman" w:eastAsia="Times New Roman" w:hAnsi="Times New Roman" w:cs="Times New Roman"/>
          <w:kern w:val="0"/>
          <w14:ligatures w14:val="none"/>
        </w:rPr>
      </w:pPr>
    </w:p>
    <w:p w14:paraId="557C6F9F" w14:textId="6EF404AC" w:rsidR="00656A3C" w:rsidRPr="00F14C36" w:rsidRDefault="00656A3C" w:rsidP="00F14C36">
      <w:pPr>
        <w:spacing w:after="0"/>
        <w:rPr>
          <w:rFonts w:ascii="Times New Roman" w:hAnsi="Times New Roman" w:cs="Times New Roman"/>
          <w:b/>
          <w:bCs/>
        </w:rPr>
      </w:pPr>
    </w:p>
    <w:sectPr w:rsidR="00656A3C" w:rsidRPr="00F14C36" w:rsidSect="00D31730">
      <w:headerReference w:type="default" r:id="rId18"/>
      <w:footerReference w:type="default" r:id="rId19"/>
      <w:pgSz w:w="12240" w:h="15840"/>
      <w:pgMar w:top="1440" w:right="1440" w:bottom="900" w:left="1440" w:header="720" w:footer="285"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5F4EE1" w14:textId="77777777" w:rsidR="00047B60" w:rsidRDefault="00047B60" w:rsidP="006B30FA">
      <w:pPr>
        <w:spacing w:after="0" w:line="240" w:lineRule="auto"/>
      </w:pPr>
      <w:r>
        <w:separator/>
      </w:r>
    </w:p>
  </w:endnote>
  <w:endnote w:type="continuationSeparator" w:id="0">
    <w:p w14:paraId="57C51B10" w14:textId="77777777" w:rsidR="00047B60" w:rsidRDefault="00047B60" w:rsidP="006B30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B5C2CB" w14:textId="77777777" w:rsidR="006B30FA" w:rsidRDefault="006B30FA">
    <w:pPr>
      <w:tabs>
        <w:tab w:val="center" w:pos="4550"/>
        <w:tab w:val="left" w:pos="5818"/>
      </w:tabs>
      <w:ind w:right="260"/>
      <w:jc w:val="right"/>
      <w:rPr>
        <w:color w:val="071320" w:themeColor="text2" w:themeShade="80"/>
      </w:rPr>
    </w:pPr>
    <w:r>
      <w:rPr>
        <w:color w:val="2C7FCE" w:themeColor="text2" w:themeTint="99"/>
        <w:spacing w:val="60"/>
      </w:rPr>
      <w:t>Page</w:t>
    </w:r>
    <w:r>
      <w:rPr>
        <w:color w:val="2C7FCE" w:themeColor="text2" w:themeTint="99"/>
      </w:rPr>
      <w:t xml:space="preserve"> </w:t>
    </w:r>
    <w:r>
      <w:rPr>
        <w:color w:val="0A1D30" w:themeColor="text2" w:themeShade="BF"/>
      </w:rPr>
      <w:fldChar w:fldCharType="begin"/>
    </w:r>
    <w:r>
      <w:rPr>
        <w:color w:val="0A1D30" w:themeColor="text2" w:themeShade="BF"/>
      </w:rPr>
      <w:instrText xml:space="preserve"> PAGE   \* MERGEFORMAT </w:instrText>
    </w:r>
    <w:r>
      <w:rPr>
        <w:color w:val="0A1D30" w:themeColor="text2" w:themeShade="BF"/>
      </w:rPr>
      <w:fldChar w:fldCharType="separate"/>
    </w:r>
    <w:r>
      <w:rPr>
        <w:noProof/>
        <w:color w:val="0A1D30" w:themeColor="text2" w:themeShade="BF"/>
      </w:rPr>
      <w:t>1</w:t>
    </w:r>
    <w:r>
      <w:rPr>
        <w:color w:val="0A1D30" w:themeColor="text2" w:themeShade="BF"/>
      </w:rPr>
      <w:fldChar w:fldCharType="end"/>
    </w:r>
    <w:r>
      <w:rPr>
        <w:color w:val="0A1D30" w:themeColor="text2" w:themeShade="BF"/>
      </w:rPr>
      <w:t xml:space="preserve"> | </w:t>
    </w:r>
    <w:r>
      <w:rPr>
        <w:color w:val="0A1D30" w:themeColor="text2" w:themeShade="BF"/>
      </w:rPr>
      <w:fldChar w:fldCharType="begin"/>
    </w:r>
    <w:r>
      <w:rPr>
        <w:color w:val="0A1D30" w:themeColor="text2" w:themeShade="BF"/>
      </w:rPr>
      <w:instrText xml:space="preserve"> NUMPAGES  \* Arabic  \* MERGEFORMAT </w:instrText>
    </w:r>
    <w:r>
      <w:rPr>
        <w:color w:val="0A1D30" w:themeColor="text2" w:themeShade="BF"/>
      </w:rPr>
      <w:fldChar w:fldCharType="separate"/>
    </w:r>
    <w:r>
      <w:rPr>
        <w:noProof/>
        <w:color w:val="0A1D30" w:themeColor="text2" w:themeShade="BF"/>
      </w:rPr>
      <w:t>1</w:t>
    </w:r>
    <w:r>
      <w:rPr>
        <w:color w:val="0A1D30" w:themeColor="text2" w:themeShade="BF"/>
      </w:rPr>
      <w:fldChar w:fldCharType="end"/>
    </w:r>
  </w:p>
  <w:p w14:paraId="2812CF87" w14:textId="77777777" w:rsidR="006B30FA" w:rsidRDefault="006B30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D2DA04" w14:textId="77777777" w:rsidR="00047B60" w:rsidRDefault="00047B60" w:rsidP="006B30FA">
      <w:pPr>
        <w:spacing w:after="0" w:line="240" w:lineRule="auto"/>
      </w:pPr>
      <w:r>
        <w:separator/>
      </w:r>
    </w:p>
  </w:footnote>
  <w:footnote w:type="continuationSeparator" w:id="0">
    <w:p w14:paraId="31977F67" w14:textId="77777777" w:rsidR="00047B60" w:rsidRDefault="00047B60" w:rsidP="006B30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120EFC" w14:textId="457ED7AE" w:rsidR="006B30FA" w:rsidRDefault="006B30FA">
    <w:pPr>
      <w:pStyle w:val="Header"/>
    </w:pPr>
    <w:r>
      <w:t>Mohankumar Anem</w:t>
    </w:r>
    <w:r>
      <w:ptab w:relativeTo="margin" w:alignment="center" w:leader="none"/>
    </w:r>
    <w:r>
      <w:ptab w:relativeTo="margin" w:alignment="right" w:leader="none"/>
    </w:r>
    <w:r>
      <w:t>U88099159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6830BC"/>
    <w:multiLevelType w:val="hybridMultilevel"/>
    <w:tmpl w:val="B30C7A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359962F8"/>
    <w:multiLevelType w:val="multilevel"/>
    <w:tmpl w:val="3B1E5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A07147"/>
    <w:multiLevelType w:val="multilevel"/>
    <w:tmpl w:val="F028A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4666BE"/>
    <w:multiLevelType w:val="hybridMultilevel"/>
    <w:tmpl w:val="9490C2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60031966"/>
    <w:multiLevelType w:val="hybridMultilevel"/>
    <w:tmpl w:val="406E4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EE60C2"/>
    <w:multiLevelType w:val="multilevel"/>
    <w:tmpl w:val="88861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457476"/>
    <w:multiLevelType w:val="hybridMultilevel"/>
    <w:tmpl w:val="44DC0394"/>
    <w:lvl w:ilvl="0" w:tplc="0409000F">
      <w:start w:val="1"/>
      <w:numFmt w:val="decimal"/>
      <w:lvlText w:val="%1."/>
      <w:lvlJc w:val="left"/>
      <w:pPr>
        <w:ind w:left="1080" w:hanging="360"/>
      </w:pPr>
    </w:lvl>
    <w:lvl w:ilvl="1" w:tplc="A9CC85FC">
      <w:numFmt w:val="bullet"/>
      <w:lvlText w:val=""/>
      <w:lvlJc w:val="left"/>
      <w:pPr>
        <w:ind w:left="1800" w:hanging="360"/>
      </w:pPr>
      <w:rPr>
        <w:rFonts w:ascii="Symbol" w:eastAsia="Times New Roman" w:hAnsi="Symbol" w:cs="Times New Roman"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E463024"/>
    <w:multiLevelType w:val="multilevel"/>
    <w:tmpl w:val="39328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197117"/>
    <w:multiLevelType w:val="hybridMultilevel"/>
    <w:tmpl w:val="9C34F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976F4B"/>
    <w:multiLevelType w:val="hybridMultilevel"/>
    <w:tmpl w:val="C3F04C9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087338743">
    <w:abstractNumId w:val="6"/>
  </w:num>
  <w:num w:numId="2" w16cid:durableId="503207298">
    <w:abstractNumId w:val="0"/>
  </w:num>
  <w:num w:numId="3" w16cid:durableId="1573001089">
    <w:abstractNumId w:val="3"/>
  </w:num>
  <w:num w:numId="4" w16cid:durableId="1223370713">
    <w:abstractNumId w:val="9"/>
  </w:num>
  <w:num w:numId="5" w16cid:durableId="443811095">
    <w:abstractNumId w:val="8"/>
  </w:num>
  <w:num w:numId="6" w16cid:durableId="478696172">
    <w:abstractNumId w:val="4"/>
  </w:num>
  <w:num w:numId="7" w16cid:durableId="309485098">
    <w:abstractNumId w:val="5"/>
  </w:num>
  <w:num w:numId="8" w16cid:durableId="432938662">
    <w:abstractNumId w:val="1"/>
  </w:num>
  <w:num w:numId="9" w16cid:durableId="1803501151">
    <w:abstractNumId w:val="7"/>
  </w:num>
  <w:num w:numId="10" w16cid:durableId="15963269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0FA"/>
    <w:rsid w:val="00047B60"/>
    <w:rsid w:val="00185C4A"/>
    <w:rsid w:val="001E07F1"/>
    <w:rsid w:val="00652D49"/>
    <w:rsid w:val="00656A3C"/>
    <w:rsid w:val="006B30FA"/>
    <w:rsid w:val="00AB06AD"/>
    <w:rsid w:val="00B23809"/>
    <w:rsid w:val="00BA3ADE"/>
    <w:rsid w:val="00D31730"/>
    <w:rsid w:val="00D41393"/>
    <w:rsid w:val="00F14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B5E52E"/>
  <w15:chartTrackingRefBased/>
  <w15:docId w15:val="{3B6355E0-2506-486E-AE1E-E2B719B5F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30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B30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B30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30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30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30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30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30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30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30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B30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B30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30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30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30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30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30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30FA"/>
    <w:rPr>
      <w:rFonts w:eastAsiaTheme="majorEastAsia" w:cstheme="majorBidi"/>
      <w:color w:val="272727" w:themeColor="text1" w:themeTint="D8"/>
    </w:rPr>
  </w:style>
  <w:style w:type="paragraph" w:styleId="Title">
    <w:name w:val="Title"/>
    <w:basedOn w:val="Normal"/>
    <w:next w:val="Normal"/>
    <w:link w:val="TitleChar"/>
    <w:uiPriority w:val="10"/>
    <w:qFormat/>
    <w:rsid w:val="006B30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30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30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30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30FA"/>
    <w:pPr>
      <w:spacing w:before="160"/>
      <w:jc w:val="center"/>
    </w:pPr>
    <w:rPr>
      <w:i/>
      <w:iCs/>
      <w:color w:val="404040" w:themeColor="text1" w:themeTint="BF"/>
    </w:rPr>
  </w:style>
  <w:style w:type="character" w:customStyle="1" w:styleId="QuoteChar">
    <w:name w:val="Quote Char"/>
    <w:basedOn w:val="DefaultParagraphFont"/>
    <w:link w:val="Quote"/>
    <w:uiPriority w:val="29"/>
    <w:rsid w:val="006B30FA"/>
    <w:rPr>
      <w:i/>
      <w:iCs/>
      <w:color w:val="404040" w:themeColor="text1" w:themeTint="BF"/>
    </w:rPr>
  </w:style>
  <w:style w:type="paragraph" w:styleId="ListParagraph">
    <w:name w:val="List Paragraph"/>
    <w:basedOn w:val="Normal"/>
    <w:uiPriority w:val="34"/>
    <w:qFormat/>
    <w:rsid w:val="006B30FA"/>
    <w:pPr>
      <w:ind w:left="720"/>
      <w:contextualSpacing/>
    </w:pPr>
  </w:style>
  <w:style w:type="character" w:styleId="IntenseEmphasis">
    <w:name w:val="Intense Emphasis"/>
    <w:basedOn w:val="DefaultParagraphFont"/>
    <w:uiPriority w:val="21"/>
    <w:qFormat/>
    <w:rsid w:val="006B30FA"/>
    <w:rPr>
      <w:i/>
      <w:iCs/>
      <w:color w:val="0F4761" w:themeColor="accent1" w:themeShade="BF"/>
    </w:rPr>
  </w:style>
  <w:style w:type="paragraph" w:styleId="IntenseQuote">
    <w:name w:val="Intense Quote"/>
    <w:basedOn w:val="Normal"/>
    <w:next w:val="Normal"/>
    <w:link w:val="IntenseQuoteChar"/>
    <w:uiPriority w:val="30"/>
    <w:qFormat/>
    <w:rsid w:val="006B30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30FA"/>
    <w:rPr>
      <w:i/>
      <w:iCs/>
      <w:color w:val="0F4761" w:themeColor="accent1" w:themeShade="BF"/>
    </w:rPr>
  </w:style>
  <w:style w:type="character" w:styleId="IntenseReference">
    <w:name w:val="Intense Reference"/>
    <w:basedOn w:val="DefaultParagraphFont"/>
    <w:uiPriority w:val="32"/>
    <w:qFormat/>
    <w:rsid w:val="006B30FA"/>
    <w:rPr>
      <w:b/>
      <w:bCs/>
      <w:smallCaps/>
      <w:color w:val="0F4761" w:themeColor="accent1" w:themeShade="BF"/>
      <w:spacing w:val="5"/>
    </w:rPr>
  </w:style>
  <w:style w:type="paragraph" w:styleId="Header">
    <w:name w:val="header"/>
    <w:basedOn w:val="Normal"/>
    <w:link w:val="HeaderChar"/>
    <w:uiPriority w:val="99"/>
    <w:unhideWhenUsed/>
    <w:rsid w:val="006B30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0FA"/>
  </w:style>
  <w:style w:type="paragraph" w:styleId="Footer">
    <w:name w:val="footer"/>
    <w:basedOn w:val="Normal"/>
    <w:link w:val="FooterChar"/>
    <w:uiPriority w:val="99"/>
    <w:unhideWhenUsed/>
    <w:rsid w:val="006B30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0FA"/>
  </w:style>
  <w:style w:type="character" w:styleId="Strong">
    <w:name w:val="Strong"/>
    <w:basedOn w:val="DefaultParagraphFont"/>
    <w:uiPriority w:val="22"/>
    <w:qFormat/>
    <w:rsid w:val="00185C4A"/>
    <w:rPr>
      <w:b/>
      <w:bCs/>
    </w:rPr>
  </w:style>
  <w:style w:type="character" w:styleId="Hyperlink">
    <w:name w:val="Hyperlink"/>
    <w:basedOn w:val="DefaultParagraphFont"/>
    <w:uiPriority w:val="99"/>
    <w:unhideWhenUsed/>
    <w:rsid w:val="001E07F1"/>
    <w:rPr>
      <w:color w:val="467886" w:themeColor="hyperlink"/>
      <w:u w:val="single"/>
    </w:rPr>
  </w:style>
  <w:style w:type="character" w:styleId="UnresolvedMention">
    <w:name w:val="Unresolved Mention"/>
    <w:basedOn w:val="DefaultParagraphFont"/>
    <w:uiPriority w:val="99"/>
    <w:semiHidden/>
    <w:unhideWhenUsed/>
    <w:rsid w:val="001E07F1"/>
    <w:rPr>
      <w:color w:val="605E5C"/>
      <w:shd w:val="clear" w:color="auto" w:fill="E1DFDD"/>
    </w:rPr>
  </w:style>
  <w:style w:type="character" w:styleId="FollowedHyperlink">
    <w:name w:val="FollowedHyperlink"/>
    <w:basedOn w:val="DefaultParagraphFont"/>
    <w:uiPriority w:val="99"/>
    <w:semiHidden/>
    <w:unhideWhenUsed/>
    <w:rsid w:val="001E07F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403799">
      <w:bodyDiv w:val="1"/>
      <w:marLeft w:val="0"/>
      <w:marRight w:val="0"/>
      <w:marTop w:val="0"/>
      <w:marBottom w:val="0"/>
      <w:divBdr>
        <w:top w:val="none" w:sz="0" w:space="0" w:color="auto"/>
        <w:left w:val="none" w:sz="0" w:space="0" w:color="auto"/>
        <w:bottom w:val="none" w:sz="0" w:space="0" w:color="auto"/>
        <w:right w:val="none" w:sz="0" w:space="0" w:color="auto"/>
      </w:divBdr>
    </w:div>
    <w:div w:id="204760964">
      <w:bodyDiv w:val="1"/>
      <w:marLeft w:val="0"/>
      <w:marRight w:val="0"/>
      <w:marTop w:val="0"/>
      <w:marBottom w:val="0"/>
      <w:divBdr>
        <w:top w:val="none" w:sz="0" w:space="0" w:color="auto"/>
        <w:left w:val="none" w:sz="0" w:space="0" w:color="auto"/>
        <w:bottom w:val="none" w:sz="0" w:space="0" w:color="auto"/>
        <w:right w:val="none" w:sz="0" w:space="0" w:color="auto"/>
      </w:divBdr>
    </w:div>
    <w:div w:id="211502409">
      <w:bodyDiv w:val="1"/>
      <w:marLeft w:val="0"/>
      <w:marRight w:val="0"/>
      <w:marTop w:val="0"/>
      <w:marBottom w:val="0"/>
      <w:divBdr>
        <w:top w:val="none" w:sz="0" w:space="0" w:color="auto"/>
        <w:left w:val="none" w:sz="0" w:space="0" w:color="auto"/>
        <w:bottom w:val="none" w:sz="0" w:space="0" w:color="auto"/>
        <w:right w:val="none" w:sz="0" w:space="0" w:color="auto"/>
      </w:divBdr>
    </w:div>
    <w:div w:id="227765748">
      <w:bodyDiv w:val="1"/>
      <w:marLeft w:val="0"/>
      <w:marRight w:val="0"/>
      <w:marTop w:val="0"/>
      <w:marBottom w:val="0"/>
      <w:divBdr>
        <w:top w:val="none" w:sz="0" w:space="0" w:color="auto"/>
        <w:left w:val="none" w:sz="0" w:space="0" w:color="auto"/>
        <w:bottom w:val="none" w:sz="0" w:space="0" w:color="auto"/>
        <w:right w:val="none" w:sz="0" w:space="0" w:color="auto"/>
      </w:divBdr>
    </w:div>
    <w:div w:id="320542001">
      <w:bodyDiv w:val="1"/>
      <w:marLeft w:val="0"/>
      <w:marRight w:val="0"/>
      <w:marTop w:val="0"/>
      <w:marBottom w:val="0"/>
      <w:divBdr>
        <w:top w:val="none" w:sz="0" w:space="0" w:color="auto"/>
        <w:left w:val="none" w:sz="0" w:space="0" w:color="auto"/>
        <w:bottom w:val="none" w:sz="0" w:space="0" w:color="auto"/>
        <w:right w:val="none" w:sz="0" w:space="0" w:color="auto"/>
      </w:divBdr>
    </w:div>
    <w:div w:id="322585989">
      <w:bodyDiv w:val="1"/>
      <w:marLeft w:val="0"/>
      <w:marRight w:val="0"/>
      <w:marTop w:val="0"/>
      <w:marBottom w:val="0"/>
      <w:divBdr>
        <w:top w:val="none" w:sz="0" w:space="0" w:color="auto"/>
        <w:left w:val="none" w:sz="0" w:space="0" w:color="auto"/>
        <w:bottom w:val="none" w:sz="0" w:space="0" w:color="auto"/>
        <w:right w:val="none" w:sz="0" w:space="0" w:color="auto"/>
      </w:divBdr>
    </w:div>
    <w:div w:id="353725176">
      <w:bodyDiv w:val="1"/>
      <w:marLeft w:val="0"/>
      <w:marRight w:val="0"/>
      <w:marTop w:val="0"/>
      <w:marBottom w:val="0"/>
      <w:divBdr>
        <w:top w:val="none" w:sz="0" w:space="0" w:color="auto"/>
        <w:left w:val="none" w:sz="0" w:space="0" w:color="auto"/>
        <w:bottom w:val="none" w:sz="0" w:space="0" w:color="auto"/>
        <w:right w:val="none" w:sz="0" w:space="0" w:color="auto"/>
      </w:divBdr>
    </w:div>
    <w:div w:id="502159304">
      <w:bodyDiv w:val="1"/>
      <w:marLeft w:val="0"/>
      <w:marRight w:val="0"/>
      <w:marTop w:val="0"/>
      <w:marBottom w:val="0"/>
      <w:divBdr>
        <w:top w:val="none" w:sz="0" w:space="0" w:color="auto"/>
        <w:left w:val="none" w:sz="0" w:space="0" w:color="auto"/>
        <w:bottom w:val="none" w:sz="0" w:space="0" w:color="auto"/>
        <w:right w:val="none" w:sz="0" w:space="0" w:color="auto"/>
      </w:divBdr>
    </w:div>
    <w:div w:id="507674297">
      <w:bodyDiv w:val="1"/>
      <w:marLeft w:val="0"/>
      <w:marRight w:val="0"/>
      <w:marTop w:val="0"/>
      <w:marBottom w:val="0"/>
      <w:divBdr>
        <w:top w:val="none" w:sz="0" w:space="0" w:color="auto"/>
        <w:left w:val="none" w:sz="0" w:space="0" w:color="auto"/>
        <w:bottom w:val="none" w:sz="0" w:space="0" w:color="auto"/>
        <w:right w:val="none" w:sz="0" w:space="0" w:color="auto"/>
      </w:divBdr>
    </w:div>
    <w:div w:id="604581899">
      <w:bodyDiv w:val="1"/>
      <w:marLeft w:val="0"/>
      <w:marRight w:val="0"/>
      <w:marTop w:val="0"/>
      <w:marBottom w:val="0"/>
      <w:divBdr>
        <w:top w:val="none" w:sz="0" w:space="0" w:color="auto"/>
        <w:left w:val="none" w:sz="0" w:space="0" w:color="auto"/>
        <w:bottom w:val="none" w:sz="0" w:space="0" w:color="auto"/>
        <w:right w:val="none" w:sz="0" w:space="0" w:color="auto"/>
      </w:divBdr>
    </w:div>
    <w:div w:id="705562986">
      <w:bodyDiv w:val="1"/>
      <w:marLeft w:val="0"/>
      <w:marRight w:val="0"/>
      <w:marTop w:val="0"/>
      <w:marBottom w:val="0"/>
      <w:divBdr>
        <w:top w:val="none" w:sz="0" w:space="0" w:color="auto"/>
        <w:left w:val="none" w:sz="0" w:space="0" w:color="auto"/>
        <w:bottom w:val="none" w:sz="0" w:space="0" w:color="auto"/>
        <w:right w:val="none" w:sz="0" w:space="0" w:color="auto"/>
      </w:divBdr>
    </w:div>
    <w:div w:id="746608025">
      <w:bodyDiv w:val="1"/>
      <w:marLeft w:val="0"/>
      <w:marRight w:val="0"/>
      <w:marTop w:val="0"/>
      <w:marBottom w:val="0"/>
      <w:divBdr>
        <w:top w:val="none" w:sz="0" w:space="0" w:color="auto"/>
        <w:left w:val="none" w:sz="0" w:space="0" w:color="auto"/>
        <w:bottom w:val="none" w:sz="0" w:space="0" w:color="auto"/>
        <w:right w:val="none" w:sz="0" w:space="0" w:color="auto"/>
      </w:divBdr>
    </w:div>
    <w:div w:id="776216247">
      <w:bodyDiv w:val="1"/>
      <w:marLeft w:val="0"/>
      <w:marRight w:val="0"/>
      <w:marTop w:val="0"/>
      <w:marBottom w:val="0"/>
      <w:divBdr>
        <w:top w:val="none" w:sz="0" w:space="0" w:color="auto"/>
        <w:left w:val="none" w:sz="0" w:space="0" w:color="auto"/>
        <w:bottom w:val="none" w:sz="0" w:space="0" w:color="auto"/>
        <w:right w:val="none" w:sz="0" w:space="0" w:color="auto"/>
      </w:divBdr>
    </w:div>
    <w:div w:id="895704857">
      <w:bodyDiv w:val="1"/>
      <w:marLeft w:val="0"/>
      <w:marRight w:val="0"/>
      <w:marTop w:val="0"/>
      <w:marBottom w:val="0"/>
      <w:divBdr>
        <w:top w:val="none" w:sz="0" w:space="0" w:color="auto"/>
        <w:left w:val="none" w:sz="0" w:space="0" w:color="auto"/>
        <w:bottom w:val="none" w:sz="0" w:space="0" w:color="auto"/>
        <w:right w:val="none" w:sz="0" w:space="0" w:color="auto"/>
      </w:divBdr>
    </w:div>
    <w:div w:id="1006178202">
      <w:bodyDiv w:val="1"/>
      <w:marLeft w:val="0"/>
      <w:marRight w:val="0"/>
      <w:marTop w:val="0"/>
      <w:marBottom w:val="0"/>
      <w:divBdr>
        <w:top w:val="none" w:sz="0" w:space="0" w:color="auto"/>
        <w:left w:val="none" w:sz="0" w:space="0" w:color="auto"/>
        <w:bottom w:val="none" w:sz="0" w:space="0" w:color="auto"/>
        <w:right w:val="none" w:sz="0" w:space="0" w:color="auto"/>
      </w:divBdr>
    </w:div>
    <w:div w:id="1125004470">
      <w:bodyDiv w:val="1"/>
      <w:marLeft w:val="0"/>
      <w:marRight w:val="0"/>
      <w:marTop w:val="0"/>
      <w:marBottom w:val="0"/>
      <w:divBdr>
        <w:top w:val="none" w:sz="0" w:space="0" w:color="auto"/>
        <w:left w:val="none" w:sz="0" w:space="0" w:color="auto"/>
        <w:bottom w:val="none" w:sz="0" w:space="0" w:color="auto"/>
        <w:right w:val="none" w:sz="0" w:space="0" w:color="auto"/>
      </w:divBdr>
    </w:div>
    <w:div w:id="1129474604">
      <w:bodyDiv w:val="1"/>
      <w:marLeft w:val="0"/>
      <w:marRight w:val="0"/>
      <w:marTop w:val="0"/>
      <w:marBottom w:val="0"/>
      <w:divBdr>
        <w:top w:val="none" w:sz="0" w:space="0" w:color="auto"/>
        <w:left w:val="none" w:sz="0" w:space="0" w:color="auto"/>
        <w:bottom w:val="none" w:sz="0" w:space="0" w:color="auto"/>
        <w:right w:val="none" w:sz="0" w:space="0" w:color="auto"/>
      </w:divBdr>
    </w:div>
    <w:div w:id="1135874299">
      <w:bodyDiv w:val="1"/>
      <w:marLeft w:val="0"/>
      <w:marRight w:val="0"/>
      <w:marTop w:val="0"/>
      <w:marBottom w:val="0"/>
      <w:divBdr>
        <w:top w:val="none" w:sz="0" w:space="0" w:color="auto"/>
        <w:left w:val="none" w:sz="0" w:space="0" w:color="auto"/>
        <w:bottom w:val="none" w:sz="0" w:space="0" w:color="auto"/>
        <w:right w:val="none" w:sz="0" w:space="0" w:color="auto"/>
      </w:divBdr>
    </w:div>
    <w:div w:id="1268123959">
      <w:bodyDiv w:val="1"/>
      <w:marLeft w:val="0"/>
      <w:marRight w:val="0"/>
      <w:marTop w:val="0"/>
      <w:marBottom w:val="0"/>
      <w:divBdr>
        <w:top w:val="none" w:sz="0" w:space="0" w:color="auto"/>
        <w:left w:val="none" w:sz="0" w:space="0" w:color="auto"/>
        <w:bottom w:val="none" w:sz="0" w:space="0" w:color="auto"/>
        <w:right w:val="none" w:sz="0" w:space="0" w:color="auto"/>
      </w:divBdr>
    </w:div>
    <w:div w:id="1312519981">
      <w:bodyDiv w:val="1"/>
      <w:marLeft w:val="0"/>
      <w:marRight w:val="0"/>
      <w:marTop w:val="0"/>
      <w:marBottom w:val="0"/>
      <w:divBdr>
        <w:top w:val="none" w:sz="0" w:space="0" w:color="auto"/>
        <w:left w:val="none" w:sz="0" w:space="0" w:color="auto"/>
        <w:bottom w:val="none" w:sz="0" w:space="0" w:color="auto"/>
        <w:right w:val="none" w:sz="0" w:space="0" w:color="auto"/>
      </w:divBdr>
    </w:div>
    <w:div w:id="1358628251">
      <w:bodyDiv w:val="1"/>
      <w:marLeft w:val="0"/>
      <w:marRight w:val="0"/>
      <w:marTop w:val="0"/>
      <w:marBottom w:val="0"/>
      <w:divBdr>
        <w:top w:val="none" w:sz="0" w:space="0" w:color="auto"/>
        <w:left w:val="none" w:sz="0" w:space="0" w:color="auto"/>
        <w:bottom w:val="none" w:sz="0" w:space="0" w:color="auto"/>
        <w:right w:val="none" w:sz="0" w:space="0" w:color="auto"/>
      </w:divBdr>
    </w:div>
    <w:div w:id="1434478605">
      <w:bodyDiv w:val="1"/>
      <w:marLeft w:val="0"/>
      <w:marRight w:val="0"/>
      <w:marTop w:val="0"/>
      <w:marBottom w:val="0"/>
      <w:divBdr>
        <w:top w:val="none" w:sz="0" w:space="0" w:color="auto"/>
        <w:left w:val="none" w:sz="0" w:space="0" w:color="auto"/>
        <w:bottom w:val="none" w:sz="0" w:space="0" w:color="auto"/>
        <w:right w:val="none" w:sz="0" w:space="0" w:color="auto"/>
      </w:divBdr>
    </w:div>
    <w:div w:id="1594169353">
      <w:bodyDiv w:val="1"/>
      <w:marLeft w:val="0"/>
      <w:marRight w:val="0"/>
      <w:marTop w:val="0"/>
      <w:marBottom w:val="0"/>
      <w:divBdr>
        <w:top w:val="none" w:sz="0" w:space="0" w:color="auto"/>
        <w:left w:val="none" w:sz="0" w:space="0" w:color="auto"/>
        <w:bottom w:val="none" w:sz="0" w:space="0" w:color="auto"/>
        <w:right w:val="none" w:sz="0" w:space="0" w:color="auto"/>
      </w:divBdr>
    </w:div>
    <w:div w:id="1629242587">
      <w:bodyDiv w:val="1"/>
      <w:marLeft w:val="0"/>
      <w:marRight w:val="0"/>
      <w:marTop w:val="0"/>
      <w:marBottom w:val="0"/>
      <w:divBdr>
        <w:top w:val="none" w:sz="0" w:space="0" w:color="auto"/>
        <w:left w:val="none" w:sz="0" w:space="0" w:color="auto"/>
        <w:bottom w:val="none" w:sz="0" w:space="0" w:color="auto"/>
        <w:right w:val="none" w:sz="0" w:space="0" w:color="auto"/>
      </w:divBdr>
    </w:div>
    <w:div w:id="1734574051">
      <w:bodyDiv w:val="1"/>
      <w:marLeft w:val="0"/>
      <w:marRight w:val="0"/>
      <w:marTop w:val="0"/>
      <w:marBottom w:val="0"/>
      <w:divBdr>
        <w:top w:val="none" w:sz="0" w:space="0" w:color="auto"/>
        <w:left w:val="none" w:sz="0" w:space="0" w:color="auto"/>
        <w:bottom w:val="none" w:sz="0" w:space="0" w:color="auto"/>
        <w:right w:val="none" w:sz="0" w:space="0" w:color="auto"/>
      </w:divBdr>
    </w:div>
    <w:div w:id="1948346023">
      <w:bodyDiv w:val="1"/>
      <w:marLeft w:val="0"/>
      <w:marRight w:val="0"/>
      <w:marTop w:val="0"/>
      <w:marBottom w:val="0"/>
      <w:divBdr>
        <w:top w:val="none" w:sz="0" w:space="0" w:color="auto"/>
        <w:left w:val="none" w:sz="0" w:space="0" w:color="auto"/>
        <w:bottom w:val="none" w:sz="0" w:space="0" w:color="auto"/>
        <w:right w:val="none" w:sz="0" w:space="0" w:color="auto"/>
      </w:divBdr>
    </w:div>
    <w:div w:id="1969968124">
      <w:bodyDiv w:val="1"/>
      <w:marLeft w:val="0"/>
      <w:marRight w:val="0"/>
      <w:marTop w:val="0"/>
      <w:marBottom w:val="0"/>
      <w:divBdr>
        <w:top w:val="none" w:sz="0" w:space="0" w:color="auto"/>
        <w:left w:val="none" w:sz="0" w:space="0" w:color="auto"/>
        <w:bottom w:val="none" w:sz="0" w:space="0" w:color="auto"/>
        <w:right w:val="none" w:sz="0" w:space="0" w:color="auto"/>
      </w:divBdr>
    </w:div>
    <w:div w:id="1971939102">
      <w:bodyDiv w:val="1"/>
      <w:marLeft w:val="0"/>
      <w:marRight w:val="0"/>
      <w:marTop w:val="0"/>
      <w:marBottom w:val="0"/>
      <w:divBdr>
        <w:top w:val="none" w:sz="0" w:space="0" w:color="auto"/>
        <w:left w:val="none" w:sz="0" w:space="0" w:color="auto"/>
        <w:bottom w:val="none" w:sz="0" w:space="0" w:color="auto"/>
        <w:right w:val="none" w:sz="0" w:space="0" w:color="auto"/>
      </w:divBdr>
    </w:div>
    <w:div w:id="1992909103">
      <w:bodyDiv w:val="1"/>
      <w:marLeft w:val="0"/>
      <w:marRight w:val="0"/>
      <w:marTop w:val="0"/>
      <w:marBottom w:val="0"/>
      <w:divBdr>
        <w:top w:val="none" w:sz="0" w:space="0" w:color="auto"/>
        <w:left w:val="none" w:sz="0" w:space="0" w:color="auto"/>
        <w:bottom w:val="none" w:sz="0" w:space="0" w:color="auto"/>
        <w:right w:val="none" w:sz="0" w:space="0" w:color="auto"/>
      </w:divBdr>
    </w:div>
    <w:div w:id="2004308107">
      <w:bodyDiv w:val="1"/>
      <w:marLeft w:val="0"/>
      <w:marRight w:val="0"/>
      <w:marTop w:val="0"/>
      <w:marBottom w:val="0"/>
      <w:divBdr>
        <w:top w:val="none" w:sz="0" w:space="0" w:color="auto"/>
        <w:left w:val="none" w:sz="0" w:space="0" w:color="auto"/>
        <w:bottom w:val="none" w:sz="0" w:space="0" w:color="auto"/>
        <w:right w:val="none" w:sz="0" w:space="0" w:color="auto"/>
      </w:divBdr>
    </w:div>
    <w:div w:id="2133328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ho.int/data/gho/data/indicators/indicator-details/GHO/gho-ghe-hale-healthy-life-expectancy-at-birth" TargetMode="Externa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ata.worldbank.org/indicator/SH.XPD.CHEX.GD.ZS"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oleObject" Target="embeddings/oleObject1.bin"/><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9</Pages>
  <Words>1817</Words>
  <Characters>10357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kumar anem</dc:creator>
  <cp:keywords/>
  <dc:description/>
  <cp:lastModifiedBy>mohan kumar anem</cp:lastModifiedBy>
  <cp:revision>1</cp:revision>
  <cp:lastPrinted>2025-05-05T19:33:00Z</cp:lastPrinted>
  <dcterms:created xsi:type="dcterms:W3CDTF">2025-05-05T17:38:00Z</dcterms:created>
  <dcterms:modified xsi:type="dcterms:W3CDTF">2025-05-05T19:34:00Z</dcterms:modified>
</cp:coreProperties>
</file>