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right"/>
        <w:bidi w:val="1"/>
      </w:pPr>
      <w:r>
        <w:rPr>
          <w:rFonts w:ascii="Arial" w:hAnsi="Arial" w:cs="Arial"/>
          <w:b/>
          <w:color w:val="123F3A"/>
          <w:sz w:val="44"/>
        </w:rPr>
        <w:t>خطة إكمال منتج M² Health</w:t>
      </w:r>
    </w:p>
    <w:p>
      <w:pPr>
        <w:spacing w:after="280" w:line="288" w:lineRule="auto"/>
        <w:jc w:val="right"/>
        <w:bidi w:val="1"/>
      </w:pPr>
      <w:r>
        <w:rPr>
          <w:rFonts w:ascii="Arial" w:hAnsi="Arial" w:cs="Arial"/>
          <w:b w:val="0"/>
          <w:color w:val="3C4B4A"/>
          <w:sz w:val="24"/>
        </w:rPr>
        <w:t>خطة تنفيذ مختصرة للوصول إلى نسخة تجارية كاملة: برنامج سطح مكتب حقيقي، مزامنة آمنة، موقع رسمي، حسابات عملاء، تجارب، اشتراكات، دفع، وتراخيص أجهزة.</w:t>
      </w:r>
    </w:p>
    <w:p>
      <w:pPr>
        <w:pStyle w:val="Heading1"/>
        <w:spacing w:before="260" w:after="120"/>
        <w:jc w:val="right"/>
        <w:bidi w:val="1"/>
      </w:pPr>
      <w:r>
        <w:rPr>
          <w:rFonts w:ascii="Arial" w:hAnsi="Arial" w:cs="Arial"/>
          <w:b/>
          <w:color w:val="123F3A"/>
          <w:sz w:val="30"/>
        </w:rPr>
        <w:t>الهدف النهائي</w:t>
      </w:r>
    </w:p>
    <w:p>
      <w:pPr>
        <w:spacing w:after="120" w:line="288" w:lineRule="auto"/>
        <w:jc w:val="right"/>
        <w:bidi w:val="1"/>
      </w:pPr>
      <w:r>
        <w:rPr>
          <w:rFonts w:ascii="Arial" w:hAnsi="Arial" w:cs="Arial"/>
          <w:b w:val="0"/>
          <w:sz w:val="22"/>
        </w:rPr>
        <w:t>إصدار M² Health كمنتج جاهز للاستخدام التجاري، لا يحتوي على بيانات تشغيلية وهمية أو مسارات غير مكتملة. يعمل برنامج الصيدلية محلياً وسحابياً عند تفعيل المزامنة، ويستطيع العميل التسجيل والدفع وإدارة الأجهزة من الموقع.</w:t>
      </w:r>
    </w:p>
    <w:p>
      <w:pPr>
        <w:pStyle w:val="Heading1"/>
        <w:spacing w:before="260" w:after="120"/>
        <w:jc w:val="right"/>
        <w:bidi w:val="1"/>
      </w:pPr>
      <w:r>
        <w:rPr>
          <w:rFonts w:ascii="Arial" w:hAnsi="Arial" w:cs="Arial"/>
          <w:b/>
          <w:color w:val="123F3A"/>
          <w:sz w:val="30"/>
        </w:rPr>
        <w:t>المراحل الأربع</w:t>
      </w:r>
    </w:p>
    <w:tbl>
      <w:tblPr>
        <w:tblStyle w:val="TableGrid"/>
        <w:tblW w:type="auto" w:w="0"/>
        <w:jc w:val="center"/>
        <w:tblLook w:firstColumn="1" w:firstRow="1" w:lastColumn="0" w:lastRow="0" w:noHBand="0" w:noVBand="1" w:val="04A0"/>
      </w:tblPr>
      <w:tblGrid>
        <w:gridCol w:w="3362"/>
        <w:gridCol w:w="3362"/>
        <w:gridCol w:w="3362"/>
      </w:tblGrid>
      <w:tr>
        <w:tc>
          <w:tcPr>
            <w:tcW w:type="dxa" w:w="1701"/>
            <w:vAlign w:val="center"/>
            <w:shd w:fill="184F49"/>
            <w:tcMar>
              <w:top w:w="120" w:type="dxa"/>
              <w:start w:w="150" w:type="dxa"/>
              <w:bottom w:w="120" w:type="dxa"/>
              <w:end w:w="150" w:type="dxa"/>
            </w:tcMar>
          </w:tcPr>
          <w:p>
            <w:pPr>
              <w:jc w:val="right"/>
              <w:bidi w:val="1"/>
            </w:pPr>
            <w:r>
              <w:rPr>
                <w:rFonts w:ascii="Arial" w:hAnsi="Arial" w:cs="Arial"/>
                <w:b/>
                <w:color w:val="FFFFFF"/>
                <w:sz w:val="20"/>
              </w:rPr>
              <w:t>المرحلة</w:t>
            </w:r>
          </w:p>
        </w:tc>
        <w:tc>
          <w:tcPr>
            <w:tcW w:type="dxa" w:w="4592"/>
            <w:vAlign w:val="center"/>
            <w:shd w:fill="184F49"/>
            <w:tcMar>
              <w:top w:w="120" w:type="dxa"/>
              <w:start w:w="150" w:type="dxa"/>
              <w:bottom w:w="120" w:type="dxa"/>
              <w:end w:w="150" w:type="dxa"/>
            </w:tcMar>
          </w:tcPr>
          <w:p>
            <w:pPr>
              <w:jc w:val="right"/>
              <w:bidi w:val="1"/>
            </w:pPr>
            <w:r>
              <w:rPr>
                <w:rFonts w:ascii="Arial" w:hAnsi="Arial" w:cs="Arial"/>
                <w:b/>
                <w:color w:val="FFFFFF"/>
                <w:sz w:val="20"/>
              </w:rPr>
              <w:t>النتيجة</w:t>
            </w:r>
          </w:p>
        </w:tc>
        <w:tc>
          <w:tcPr>
            <w:tcW w:type="dxa" w:w="2835"/>
            <w:vAlign w:val="center"/>
            <w:shd w:fill="184F49"/>
            <w:tcMar>
              <w:top w:w="120" w:type="dxa"/>
              <w:start w:w="150" w:type="dxa"/>
              <w:bottom w:w="120" w:type="dxa"/>
              <w:end w:w="150" w:type="dxa"/>
            </w:tcMar>
          </w:tcPr>
          <w:p>
            <w:pPr>
              <w:jc w:val="right"/>
              <w:bidi w:val="1"/>
            </w:pPr>
            <w:r>
              <w:rPr>
                <w:rFonts w:ascii="Arial" w:hAnsi="Arial" w:cs="Arial"/>
                <w:b/>
                <w:color w:val="FFFFFF"/>
                <w:sz w:val="20"/>
              </w:rPr>
              <w:t>شرط الإغلاق</w:t>
            </w:r>
          </w:p>
        </w:tc>
      </w:tr>
      <w:tr>
        <w:tc>
          <w:tcPr>
            <w:tcW w:type="dxa" w:w="1701"/>
            <w:vAlign w:val="center"/>
            <w:tcMar>
              <w:top w:w="120" w:type="dxa"/>
              <w:start w:w="150" w:type="dxa"/>
              <w:bottom w:w="120" w:type="dxa"/>
              <w:end w:w="150" w:type="dxa"/>
            </w:tcMar>
          </w:tcPr>
          <w:p>
            <w:pPr>
              <w:jc w:val="right"/>
              <w:bidi w:val="1"/>
            </w:pPr>
            <w:r>
              <w:rPr>
                <w:rFonts w:ascii="Arial" w:hAnsi="Arial" w:cs="Arial"/>
                <w:b w:val="0"/>
                <w:sz w:val="19"/>
              </w:rPr>
              <w:t>1. إغلاق برنامج سطح المكتب</w:t>
            </w:r>
          </w:p>
        </w:tc>
        <w:tc>
          <w:tcPr>
            <w:tcW w:type="dxa" w:w="4592"/>
            <w:vAlign w:val="center"/>
            <w:tcMar>
              <w:top w:w="120" w:type="dxa"/>
              <w:start w:w="150" w:type="dxa"/>
              <w:bottom w:w="120" w:type="dxa"/>
              <w:end w:w="150" w:type="dxa"/>
            </w:tcMar>
          </w:tcPr>
          <w:p>
            <w:pPr>
              <w:jc w:val="right"/>
              <w:bidi w:val="1"/>
            </w:pPr>
            <w:r>
              <w:rPr>
                <w:rFonts w:ascii="Arial" w:hAnsi="Arial" w:cs="Arial"/>
                <w:b w:val="0"/>
                <w:sz w:val="19"/>
              </w:rPr>
              <w:t>كل شاشة تشغيلية تستخدم Rust وSQLite الحقيقيين: Dashboard، التقارير، المالية، الفروع، الإعدادات، الإشعارات، سجل التدقيق، النسخ الاحتياطي والاستعادة.</w:t>
            </w:r>
          </w:p>
        </w:tc>
        <w:tc>
          <w:tcPr>
            <w:tcW w:type="dxa" w:w="2835"/>
            <w:vAlign w:val="center"/>
            <w:tcMar>
              <w:top w:w="120" w:type="dxa"/>
              <w:start w:w="150" w:type="dxa"/>
              <w:bottom w:w="120" w:type="dxa"/>
              <w:end w:w="150" w:type="dxa"/>
            </w:tcMar>
          </w:tcPr>
          <w:p>
            <w:pPr>
              <w:jc w:val="right"/>
              <w:bidi w:val="1"/>
            </w:pPr>
            <w:r>
              <w:rPr>
                <w:rFonts w:ascii="Arial" w:hAnsi="Arial" w:cs="Arial"/>
                <w:b w:val="0"/>
                <w:sz w:val="19"/>
              </w:rPr>
              <w:t>رحلة صيدلية كاملة تعمل على قاعدة اختبار: إنشاء بيانات، شراء، استلام، بيع، مرتجع، جرد، تقرير، نسخ احتياطي واستعادة.</w:t>
            </w:r>
          </w:p>
        </w:tc>
      </w:tr>
      <w:tr>
        <w:tc>
          <w:tcPr>
            <w:tcW w:type="dxa" w:w="1701"/>
            <w:vAlign w:val="center"/>
            <w:tcMar>
              <w:top w:w="120" w:type="dxa"/>
              <w:start w:w="150" w:type="dxa"/>
              <w:bottom w:w="120" w:type="dxa"/>
              <w:end w:w="150" w:type="dxa"/>
            </w:tcMar>
            <w:shd w:fill="F3F8F7"/>
          </w:tcPr>
          <w:p>
            <w:pPr>
              <w:jc w:val="right"/>
              <w:bidi w:val="1"/>
            </w:pPr>
            <w:r>
              <w:rPr>
                <w:rFonts w:ascii="Arial" w:hAnsi="Arial" w:cs="Arial"/>
                <w:b w:val="0"/>
                <w:sz w:val="19"/>
              </w:rPr>
              <w:t>2. الأمن والمزامنة</w:t>
            </w:r>
          </w:p>
        </w:tc>
        <w:tc>
          <w:tcPr>
            <w:tcW w:type="dxa" w:w="4592"/>
            <w:vAlign w:val="center"/>
            <w:tcMar>
              <w:top w:w="120" w:type="dxa"/>
              <w:start w:w="150" w:type="dxa"/>
              <w:bottom w:w="120" w:type="dxa"/>
              <w:end w:w="150" w:type="dxa"/>
            </w:tcMar>
            <w:shd w:fill="F3F8F7"/>
          </w:tcPr>
          <w:p>
            <w:pPr>
              <w:jc w:val="right"/>
              <w:bidi w:val="1"/>
            </w:pPr>
            <w:r>
              <w:rPr>
                <w:rFonts w:ascii="Arial" w:hAnsi="Arial" w:cs="Arial"/>
                <w:b w:val="0"/>
                <w:sz w:val="19"/>
              </w:rPr>
              <w:t>إغلاق Phase 8C، تصحيح Supabase وRLS، مزامنة متعددة الأجهزة والفروع، تسوية التعارضات، واختبار النقل والمستندات.</w:t>
            </w:r>
          </w:p>
        </w:tc>
        <w:tc>
          <w:tcPr>
            <w:tcW w:type="dxa" w:w="2835"/>
            <w:vAlign w:val="center"/>
            <w:tcMar>
              <w:top w:w="120" w:type="dxa"/>
              <w:start w:w="150" w:type="dxa"/>
              <w:bottom w:w="120" w:type="dxa"/>
              <w:end w:w="150" w:type="dxa"/>
            </w:tcMar>
            <w:shd w:fill="F3F8F7"/>
          </w:tcPr>
          <w:p>
            <w:pPr>
              <w:jc w:val="right"/>
              <w:bidi w:val="1"/>
            </w:pPr>
            <w:r>
              <w:rPr>
                <w:rFonts w:ascii="Arial" w:hAnsi="Arial" w:cs="Arial"/>
                <w:b w:val="0"/>
                <w:sz w:val="19"/>
              </w:rPr>
              <w:t>تعطيل المفتاح القديم بموافقة المالك، تطبيق الإصلاحات، واختبارات محلية وسحابية ناجحة مع بقاء بوابات الإطلاق مغلقة حتى اعتماد الإطلاق.</w:t>
            </w:r>
          </w:p>
        </w:tc>
      </w:tr>
      <w:tr>
        <w:tc>
          <w:tcPr>
            <w:tcW w:type="dxa" w:w="1701"/>
            <w:vAlign w:val="center"/>
            <w:tcMar>
              <w:top w:w="120" w:type="dxa"/>
              <w:start w:w="150" w:type="dxa"/>
              <w:bottom w:w="120" w:type="dxa"/>
              <w:end w:w="150" w:type="dxa"/>
            </w:tcMar>
          </w:tcPr>
          <w:p>
            <w:pPr>
              <w:jc w:val="right"/>
              <w:bidi w:val="1"/>
            </w:pPr>
            <w:r>
              <w:rPr>
                <w:rFonts w:ascii="Arial" w:hAnsi="Arial" w:cs="Arial"/>
                <w:b w:val="0"/>
                <w:sz w:val="19"/>
              </w:rPr>
              <w:t>3. الموقع والتجارة</w:t>
            </w:r>
          </w:p>
        </w:tc>
        <w:tc>
          <w:tcPr>
            <w:tcW w:type="dxa" w:w="4592"/>
            <w:vAlign w:val="center"/>
            <w:tcMar>
              <w:top w:w="120" w:type="dxa"/>
              <w:start w:w="150" w:type="dxa"/>
              <w:bottom w:w="120" w:type="dxa"/>
              <w:end w:w="150" w:type="dxa"/>
            </w:tcMar>
          </w:tcPr>
          <w:p>
            <w:pPr>
              <w:jc w:val="right"/>
              <w:bidi w:val="1"/>
            </w:pPr>
            <w:r>
              <w:rPr>
                <w:rFonts w:ascii="Arial" w:hAnsi="Arial" w:cs="Arial"/>
                <w:b w:val="0"/>
                <w:sz w:val="19"/>
              </w:rPr>
              <w:t>موقع رسمي، حساب عميل، تسجيل ودخول، تجربة مجانية، باقات، دفع، Webhooks، تراخيص موقعة، وإدارة الأجهزة والفواتير.</w:t>
            </w:r>
          </w:p>
        </w:tc>
        <w:tc>
          <w:tcPr>
            <w:tcW w:type="dxa" w:w="2835"/>
            <w:vAlign w:val="center"/>
            <w:tcMar>
              <w:top w:w="120" w:type="dxa"/>
              <w:start w:w="150" w:type="dxa"/>
              <w:bottom w:w="120" w:type="dxa"/>
              <w:end w:w="150" w:type="dxa"/>
            </w:tcMar>
          </w:tcPr>
          <w:p>
            <w:pPr>
              <w:jc w:val="right"/>
              <w:bidi w:val="1"/>
            </w:pPr>
            <w:r>
              <w:rPr>
                <w:rFonts w:ascii="Arial" w:hAnsi="Arial" w:cs="Arial"/>
                <w:b w:val="0"/>
                <w:sz w:val="19"/>
              </w:rPr>
              <w:t>رحلة العميل كاملة من التسجيل إلى التنزيل والتفعيل والدفع والتجديد والإلغاء تعمل على بيئة اختبار.</w:t>
            </w:r>
          </w:p>
        </w:tc>
      </w:tr>
      <w:tr>
        <w:tc>
          <w:tcPr>
            <w:tcW w:type="dxa" w:w="1701"/>
            <w:vAlign w:val="center"/>
            <w:tcMar>
              <w:top w:w="120" w:type="dxa"/>
              <w:start w:w="150" w:type="dxa"/>
              <w:bottom w:w="120" w:type="dxa"/>
              <w:end w:w="150" w:type="dxa"/>
            </w:tcMar>
            <w:shd w:fill="F3F8F7"/>
          </w:tcPr>
          <w:p>
            <w:pPr>
              <w:jc w:val="right"/>
              <w:bidi w:val="1"/>
            </w:pPr>
            <w:r>
              <w:rPr>
                <w:rFonts w:ascii="Arial" w:hAnsi="Arial" w:cs="Arial"/>
                <w:b w:val="0"/>
                <w:sz w:val="19"/>
              </w:rPr>
              <w:t>4. الإصدار التجاري</w:t>
            </w:r>
          </w:p>
        </w:tc>
        <w:tc>
          <w:tcPr>
            <w:tcW w:type="dxa" w:w="4592"/>
            <w:vAlign w:val="center"/>
            <w:tcMar>
              <w:top w:w="120" w:type="dxa"/>
              <w:start w:w="150" w:type="dxa"/>
              <w:bottom w:w="120" w:type="dxa"/>
              <w:end w:w="150" w:type="dxa"/>
            </w:tcMar>
            <w:shd w:fill="F3F8F7"/>
          </w:tcPr>
          <w:p>
            <w:pPr>
              <w:jc w:val="right"/>
              <w:bidi w:val="1"/>
            </w:pPr>
            <w:r>
              <w:rPr>
                <w:rFonts w:ascii="Arial" w:hAnsi="Arial" w:cs="Arial"/>
                <w:b w:val="0"/>
                <w:sz w:val="19"/>
              </w:rPr>
              <w:t>توقيع Installer، حماية التحديثات، مراقبة الأخطاء، النسخ الاحتياطي، الخصوصية، الدعم، وخطة رجوع.</w:t>
            </w:r>
          </w:p>
        </w:tc>
        <w:tc>
          <w:tcPr>
            <w:tcW w:type="dxa" w:w="2835"/>
            <w:vAlign w:val="center"/>
            <w:tcMar>
              <w:top w:w="120" w:type="dxa"/>
              <w:start w:w="150" w:type="dxa"/>
              <w:bottom w:w="120" w:type="dxa"/>
              <w:end w:w="150" w:type="dxa"/>
            </w:tcMar>
            <w:shd w:fill="F3F8F7"/>
          </w:tcPr>
          <w:p>
            <w:pPr>
              <w:jc w:val="right"/>
              <w:bidi w:val="1"/>
            </w:pPr>
            <w:r>
              <w:rPr>
                <w:rFonts w:ascii="Arial" w:hAnsi="Arial" w:cs="Arial"/>
                <w:b w:val="0"/>
                <w:sz w:val="19"/>
              </w:rPr>
              <w:t>اختبار قبول شامل على أجهزة نظيفة، مراجعة أمنية، وموافقة صريحة على الإطلاق.</w:t>
            </w:r>
          </w:p>
        </w:tc>
      </w:tr>
    </w:tbl>
    <w:p>
      <w:pPr>
        <w:spacing w:after="60"/>
      </w:pPr>
    </w:p>
    <w:p>
      <w:pPr>
        <w:pStyle w:val="Heading1"/>
        <w:spacing w:before="260" w:after="120"/>
        <w:jc w:val="right"/>
        <w:bidi w:val="1"/>
      </w:pPr>
      <w:r>
        <w:rPr>
          <w:rFonts w:ascii="Arial" w:hAnsi="Arial" w:cs="Arial"/>
          <w:b/>
          <w:color w:val="123F3A"/>
          <w:sz w:val="30"/>
        </w:rPr>
        <w:t>المرحلة الأولى التي نبدأ بها الآن</w:t>
      </w:r>
    </w:p>
    <w:p>
      <w:pPr>
        <w:spacing w:after="120" w:line="288" w:lineRule="auto"/>
        <w:jc w:val="right"/>
        <w:bidi w:val="1"/>
      </w:pPr>
      <w:r>
        <w:rPr>
          <w:rFonts w:ascii="Arial" w:hAnsi="Arial" w:cs="Arial"/>
          <w:b w:val="0"/>
          <w:sz w:val="22"/>
        </w:rPr>
        <w:t>الأولوية هي إغلاق برنامج سطح المكتب لأن كل جزء آخر يعتمد عليه. تم بالفعل ربط Dashboard والتقارير والمالية بواجهات SQLite الحقيقية في تطبيق Tauri. سنكمل بقية المسارات دون تعديل قاعدة التطوير الحقيقية ودون تفعيل المزامنة.</w:t>
      </w:r>
    </w:p>
    <w:p>
      <w:pPr>
        <w:pStyle w:val="Heading2"/>
        <w:spacing w:before="160" w:after="120"/>
        <w:jc w:val="right"/>
        <w:bidi w:val="1"/>
      </w:pPr>
      <w:r>
        <w:rPr>
          <w:rFonts w:ascii="Arial" w:hAnsi="Arial" w:cs="Arial"/>
          <w:b/>
          <w:color w:val="184F49"/>
          <w:sz w:val="24"/>
        </w:rPr>
        <w:t>نطاق المرحلة الأولى</w:t>
      </w:r>
    </w:p>
    <w:p>
      <w:pPr>
        <w:pStyle w:val="ListBullet"/>
        <w:spacing w:after="60" w:line="276" w:lineRule="auto"/>
        <w:jc w:val="right"/>
        <w:bidi w:val="1"/>
      </w:pPr>
      <w:r>
        <w:rPr>
          <w:rFonts w:ascii="Arial" w:hAnsi="Arial" w:cs="Arial"/>
          <w:b w:val="0"/>
          <w:sz w:val="21"/>
        </w:rPr>
        <w:t>توحيد كل المسارات التشغيلية على البيانات الحقيقية وإزالة الاعتماد على DemoContext من الشاشات التي تدخل الإصدار.</w:t>
      </w:r>
    </w:p>
    <w:p>
      <w:pPr>
        <w:pStyle w:val="ListBullet"/>
        <w:spacing w:after="60" w:line="276" w:lineRule="auto"/>
        <w:jc w:val="right"/>
        <w:bidi w:val="1"/>
      </w:pPr>
      <w:r>
        <w:rPr>
          <w:rFonts w:ascii="Arial" w:hAnsi="Arial" w:cs="Arial"/>
          <w:b w:val="0"/>
          <w:sz w:val="21"/>
        </w:rPr>
        <w:t>إكمال إدارة الفروع وربط اختيار الفرع بالصلاحيات والبيانات المعروضة.</w:t>
      </w:r>
    </w:p>
    <w:p>
      <w:pPr>
        <w:pStyle w:val="ListBullet"/>
        <w:spacing w:after="60" w:line="276" w:lineRule="auto"/>
        <w:jc w:val="right"/>
        <w:bidi w:val="1"/>
      </w:pPr>
      <w:r>
        <w:rPr>
          <w:rFonts w:ascii="Arial" w:hAnsi="Arial" w:cs="Arial"/>
          <w:b w:val="0"/>
          <w:sz w:val="21"/>
        </w:rPr>
        <w:t>تنفيذ الإشعارات وسجل التدقيق من الأحداث الحقيقية بدلاً من fixtures.</w:t>
      </w:r>
    </w:p>
    <w:p>
      <w:pPr>
        <w:pStyle w:val="ListBullet"/>
        <w:spacing w:after="60" w:line="276" w:lineRule="auto"/>
        <w:jc w:val="right"/>
        <w:bidi w:val="1"/>
      </w:pPr>
      <w:r>
        <w:rPr>
          <w:rFonts w:ascii="Arial" w:hAnsi="Arial" w:cs="Arial"/>
          <w:b w:val="0"/>
          <w:sz w:val="21"/>
        </w:rPr>
        <w:t>تنفيذ النسخ الاحتياطي والاستعادة مع فحص سلامة الملف وتأكيدات واضحة قبل الاستبدال.</w:t>
      </w:r>
    </w:p>
    <w:p>
      <w:pPr>
        <w:pStyle w:val="ListBullet"/>
        <w:spacing w:after="60" w:line="276" w:lineRule="auto"/>
        <w:jc w:val="right"/>
        <w:bidi w:val="1"/>
      </w:pPr>
      <w:r>
        <w:rPr>
          <w:rFonts w:ascii="Arial" w:hAnsi="Arial" w:cs="Arial"/>
          <w:b w:val="0"/>
          <w:sz w:val="21"/>
        </w:rPr>
        <w:t>تحويل الإعدادات إلى إعدادات محفوظة ومصرح بها، وليس حقول واجهة فقط.</w:t>
      </w:r>
    </w:p>
    <w:p>
      <w:pPr>
        <w:pStyle w:val="ListBullet"/>
        <w:spacing w:after="60" w:line="276" w:lineRule="auto"/>
        <w:jc w:val="right"/>
        <w:bidi w:val="1"/>
      </w:pPr>
      <w:r>
        <w:rPr>
          <w:rFonts w:ascii="Arial" w:hAnsi="Arial" w:cs="Arial"/>
          <w:b w:val="0"/>
          <w:sz w:val="21"/>
        </w:rPr>
        <w:t>مراجعة رحلة المستخدم الكاملة: إنشاء المدير، تسجيل الدخول، إدارة المستخدمين، كتالوج، مخزون، شراء، استلام، بيع، مرتجع، تقارير، مالية.</w:t>
      </w:r>
    </w:p>
    <w:p>
      <w:pPr>
        <w:pStyle w:val="ListBullet"/>
        <w:spacing w:after="60" w:line="276" w:lineRule="auto"/>
        <w:jc w:val="right"/>
        <w:bidi w:val="1"/>
      </w:pPr>
      <w:r>
        <w:rPr>
          <w:rFonts w:ascii="Arial" w:hAnsi="Arial" w:cs="Arial"/>
          <w:b w:val="0"/>
          <w:sz w:val="21"/>
        </w:rPr>
        <w:t>تشغيل اختبارات Rust وواجهة التطبيق وبناء Installer على قاعدة اختبار معزولة فقط.</w:t>
      </w:r>
    </w:p>
    <w:p>
      <w:pPr>
        <w:pStyle w:val="Heading2"/>
        <w:spacing w:before="160" w:after="120"/>
        <w:jc w:val="right"/>
        <w:bidi w:val="1"/>
      </w:pPr>
      <w:r>
        <w:rPr>
          <w:rFonts w:ascii="Arial" w:hAnsi="Arial" w:cs="Arial"/>
          <w:b/>
          <w:color w:val="184F49"/>
          <w:sz w:val="24"/>
        </w:rPr>
        <w:t>قرارات مطلوبة لاحقاً في المرحلة الثالثة</w:t>
      </w:r>
    </w:p>
    <w:p>
      <w:pPr>
        <w:spacing w:after="120" w:line="288" w:lineRule="auto"/>
        <w:jc w:val="right"/>
        <w:bidi w:val="1"/>
      </w:pPr>
      <w:r>
        <w:rPr>
          <w:rFonts w:ascii="Arial" w:hAnsi="Arial" w:cs="Arial"/>
          <w:b w:val="0"/>
          <w:sz w:val="22"/>
        </w:rPr>
        <w:t>لا توقف المرحلة الأولى: بوابة الدفع المناسبة لمصر، الأسعار الشهرية والسنوية، عدد الأجهزة في كل باقة، مدة العمل دون إنترنت، سياسة الاسترداد، النطاق القانوني للخصوصية والفواتير، واسم النطاق والاستضافة.</w:t>
      </w:r>
    </w:p>
    <w:p>
      <w:pPr>
        <w:pStyle w:val="Heading1"/>
        <w:spacing w:before="260" w:after="120"/>
        <w:jc w:val="right"/>
        <w:bidi w:val="1"/>
      </w:pPr>
      <w:r>
        <w:rPr>
          <w:rFonts w:ascii="Arial" w:hAnsi="Arial" w:cs="Arial"/>
          <w:b/>
          <w:color w:val="123F3A"/>
          <w:sz w:val="30"/>
        </w:rPr>
        <w:t>Prompt المرحلة الأولى</w:t>
      </w:r>
    </w:p>
    <w:p>
      <w:pPr>
        <w:spacing w:after="120" w:line="288" w:lineRule="auto"/>
        <w:jc w:val="right"/>
        <w:bidi w:val="1"/>
      </w:pPr>
      <w:r>
        <w:rPr>
          <w:rFonts w:ascii="Arial" w:hAnsi="Arial" w:cs="Arial"/>
          <w:b/>
          <w:sz w:val="22"/>
        </w:rPr>
        <w:t>استخدم النص التالي كما هو لبدء التنفيذ:</w:t>
      </w:r>
    </w:p>
    <w:p>
      <w:pPr>
        <w:spacing w:after="0" w:line="252" w:lineRule="auto"/>
        <w:jc w:val="right"/>
        <w:bidi w:val="1"/>
      </w:pPr>
      <w:r>
        <w:rPr>
          <w:rFonts w:ascii="Arial" w:hAnsi="Arial" w:cs="Arial"/>
          <w:b w:val="0"/>
          <w:color w:val="263B38"/>
          <w:sz w:val="17"/>
        </w:rPr>
        <w:t>Continue the M² Health project from the current working tree. Preserve all existing changes. Complete Phase 1: Desktop Product Closure.</w:t>
      </w:r>
    </w:p>
    <w:p>
      <w:pPr>
        <w:spacing w:after="0" w:line="252" w:lineRule="auto"/>
        <w:jc w:val="right"/>
        <w:bidi w:val="1"/>
      </w:pPr>
      <w:r>
        <w:rPr>
          <w:rFonts w:ascii="Arial" w:hAnsi="Arial" w:cs="Arial"/>
          <w:b w:val="0"/>
          <w:color w:val="263B38"/>
          <w:sz w:val="17"/>
        </w:rPr>
      </w:r>
    </w:p>
    <w:p>
      <w:pPr>
        <w:spacing w:after="0" w:line="252" w:lineRule="auto"/>
        <w:jc w:val="right"/>
        <w:bidi w:val="1"/>
      </w:pPr>
      <w:r>
        <w:rPr>
          <w:rFonts w:ascii="Arial" w:hAnsi="Arial" w:cs="Arial"/>
          <w:b w:val="0"/>
          <w:color w:val="263B38"/>
          <w:sz w:val="17"/>
        </w:rPr>
        <w:t>Goal: make every desktop workflow that appears in the released product use real Rust/Tauri/SQLite data. Do not enable cloud transport, alter rollout gates, access the real development SQLite database, or start Phase 8C remediation.</w:t>
      </w:r>
    </w:p>
    <w:p>
      <w:pPr>
        <w:spacing w:after="0" w:line="252" w:lineRule="auto"/>
        <w:jc w:val="right"/>
        <w:bidi w:val="1"/>
      </w:pPr>
      <w:r>
        <w:rPr>
          <w:rFonts w:ascii="Arial" w:hAnsi="Arial" w:cs="Arial"/>
          <w:b w:val="0"/>
          <w:color w:val="263B38"/>
          <w:sz w:val="17"/>
        </w:rPr>
      </w:r>
    </w:p>
    <w:p>
      <w:pPr>
        <w:spacing w:after="0" w:line="252" w:lineRule="auto"/>
        <w:jc w:val="right"/>
        <w:bidi w:val="1"/>
      </w:pPr>
      <w:r>
        <w:rPr>
          <w:rFonts w:ascii="Arial" w:hAnsi="Arial" w:cs="Arial"/>
          <w:b w:val="0"/>
          <w:color w:val="263B38"/>
          <w:sz w:val="17"/>
        </w:rPr>
        <w:t>Current completed work: Tauri routes now use CanonicalDashboard, CanonicalReports, and CanonicalFinance. Preserve this change.</w:t>
      </w:r>
    </w:p>
    <w:p>
      <w:pPr>
        <w:spacing w:after="0" w:line="252" w:lineRule="auto"/>
        <w:jc w:val="right"/>
        <w:bidi w:val="1"/>
      </w:pPr>
      <w:r>
        <w:rPr>
          <w:rFonts w:ascii="Arial" w:hAnsi="Arial" w:cs="Arial"/>
          <w:b w:val="0"/>
          <w:color w:val="263B38"/>
          <w:sz w:val="17"/>
        </w:rPr>
      </w:r>
    </w:p>
    <w:p>
      <w:pPr>
        <w:spacing w:after="0" w:line="252" w:lineRule="auto"/>
        <w:jc w:val="right"/>
        <w:bidi w:val="1"/>
      </w:pPr>
      <w:r>
        <w:rPr>
          <w:rFonts w:ascii="Arial" w:hAnsi="Arial" w:cs="Arial"/>
          <w:b w:val="0"/>
          <w:color w:val="263B38"/>
          <w:sz w:val="17"/>
        </w:rPr>
        <w:t>Implement in this order:</w:t>
      </w:r>
    </w:p>
    <w:p>
      <w:pPr>
        <w:spacing w:after="0" w:line="252" w:lineRule="auto"/>
        <w:jc w:val="right"/>
        <w:bidi w:val="1"/>
      </w:pPr>
      <w:r>
        <w:rPr>
          <w:rFonts w:ascii="Arial" w:hAnsi="Arial" w:cs="Arial"/>
          <w:b w:val="0"/>
          <w:color w:val="263B38"/>
          <w:sz w:val="17"/>
        </w:rPr>
        <w:t>1. Audit every desktop route and classify it as real, partially real, or demo-only.</w:t>
      </w:r>
    </w:p>
    <w:p>
      <w:pPr>
        <w:spacing w:after="0" w:line="252" w:lineRule="auto"/>
        <w:jc w:val="right"/>
        <w:bidi w:val="1"/>
      </w:pPr>
      <w:r>
        <w:rPr>
          <w:rFonts w:ascii="Arial" w:hAnsi="Arial" w:cs="Arial"/>
          <w:b w:val="0"/>
          <w:color w:val="263B38"/>
          <w:sz w:val="17"/>
        </w:rPr>
        <w:t>2. Replace demo-only operational UI with canonical SQLite-backed workflows. Prioritize branches, notifications, audit log, backup and restore, and settings.</w:t>
      </w:r>
    </w:p>
    <w:p>
      <w:pPr>
        <w:spacing w:after="0" w:line="252" w:lineRule="auto"/>
        <w:jc w:val="right"/>
        <w:bidi w:val="1"/>
      </w:pPr>
      <w:r>
        <w:rPr>
          <w:rFonts w:ascii="Arial" w:hAnsi="Arial" w:cs="Arial"/>
          <w:b w:val="0"/>
          <w:color w:val="263B38"/>
          <w:sz w:val="17"/>
        </w:rPr>
        <w:t>3. Keep browser mode honest: it must show that local database features require the desktop app and must not simulate persistence.</w:t>
      </w:r>
    </w:p>
    <w:p>
      <w:pPr>
        <w:spacing w:after="0" w:line="252" w:lineRule="auto"/>
        <w:jc w:val="right"/>
        <w:bidi w:val="1"/>
      </w:pPr>
      <w:r>
        <w:rPr>
          <w:rFonts w:ascii="Arial" w:hAnsi="Arial" w:cs="Arial"/>
          <w:b w:val="0"/>
          <w:color w:val="263B38"/>
          <w:sz w:val="17"/>
        </w:rPr>
        <w:t>4. Keep the existing local authentication, role, branch, authorization, inventory, purchasing, sales, reporting, and finance boundaries intact.</w:t>
      </w:r>
    </w:p>
    <w:p>
      <w:pPr>
        <w:spacing w:after="0" w:line="252" w:lineRule="auto"/>
        <w:jc w:val="right"/>
        <w:bidi w:val="1"/>
      </w:pPr>
      <w:r>
        <w:rPr>
          <w:rFonts w:ascii="Arial" w:hAnsi="Arial" w:cs="Arial"/>
          <w:b w:val="0"/>
          <w:color w:val="263B38"/>
          <w:sz w:val="17"/>
        </w:rPr>
        <w:t>5. Add focused tests for each completed workflow, then run Rust, frontend, lint, and production build checks using isolated test databases only.</w:t>
      </w:r>
    </w:p>
    <w:p>
      <w:pPr>
        <w:spacing w:after="0" w:line="252" w:lineRule="auto"/>
        <w:jc w:val="right"/>
        <w:bidi w:val="1"/>
      </w:pPr>
      <w:r>
        <w:rPr>
          <w:rFonts w:ascii="Arial" w:hAnsi="Arial" w:cs="Arial"/>
          <w:b w:val="0"/>
          <w:color w:val="263B38"/>
          <w:sz w:val="17"/>
        </w:rPr>
        <w:t>6. Update completion documentation with implemented routes, tests, excluded scope, and remaining blockers.</w:t>
      </w:r>
    </w:p>
    <w:p>
      <w:pPr>
        <w:spacing w:after="0" w:line="252" w:lineRule="auto"/>
        <w:jc w:val="right"/>
        <w:bidi w:val="1"/>
      </w:pPr>
      <w:r>
        <w:rPr>
          <w:rFonts w:ascii="Arial" w:hAnsi="Arial" w:cs="Arial"/>
          <w:b w:val="0"/>
          <w:color w:val="263B38"/>
          <w:sz w:val="17"/>
        </w:rPr>
      </w:r>
    </w:p>
    <w:p>
      <w:pPr>
        <w:spacing w:after="0" w:line="252" w:lineRule="auto"/>
        <w:jc w:val="right"/>
        <w:bidi w:val="1"/>
      </w:pPr>
      <w:r>
        <w:rPr>
          <w:rFonts w:ascii="Arial" w:hAnsi="Arial" w:cs="Arial"/>
          <w:b w:val="0"/>
          <w:color w:val="263B38"/>
          <w:sz w:val="17"/>
        </w:rPr>
        <w:t>Acceptance criteria:</w:t>
      </w:r>
    </w:p>
    <w:p>
      <w:pPr>
        <w:spacing w:after="0" w:line="252" w:lineRule="auto"/>
        <w:jc w:val="right"/>
        <w:bidi w:val="1"/>
      </w:pPr>
      <w:r>
        <w:rPr>
          <w:rFonts w:ascii="Arial" w:hAnsi="Arial" w:cs="Arial"/>
          <w:b w:val="0"/>
          <w:color w:val="263B38"/>
          <w:sz w:val="17"/>
        </w:rPr>
        <w:t>- No operational desktop screen shown to a user depends on fixtures or in-memory DemoContext state.</w:t>
      </w:r>
    </w:p>
    <w:p>
      <w:pPr>
        <w:spacing w:after="0" w:line="252" w:lineRule="auto"/>
        <w:jc w:val="right"/>
        <w:bidi w:val="1"/>
      </w:pPr>
      <w:r>
        <w:rPr>
          <w:rFonts w:ascii="Arial" w:hAnsi="Arial" w:cs="Arial"/>
          <w:b w:val="0"/>
          <w:color w:val="263B38"/>
          <w:sz w:val="17"/>
        </w:rPr>
        <w:t>- Backup and restore have explicit confirmation, validation, and recoverable safety behavior.</w:t>
      </w:r>
    </w:p>
    <w:p>
      <w:pPr>
        <w:spacing w:after="0" w:line="252" w:lineRule="auto"/>
        <w:jc w:val="right"/>
        <w:bidi w:val="1"/>
      </w:pPr>
      <w:r>
        <w:rPr>
          <w:rFonts w:ascii="Arial" w:hAnsi="Arial" w:cs="Arial"/>
          <w:b w:val="0"/>
          <w:color w:val="263B38"/>
          <w:sz w:val="17"/>
        </w:rPr>
        <w:t>- Role and branch authorization is enforced at the IPC boundary.</w:t>
      </w:r>
    </w:p>
    <w:p>
      <w:pPr>
        <w:spacing w:after="0" w:line="252" w:lineRule="auto"/>
        <w:jc w:val="right"/>
        <w:bidi w:val="1"/>
      </w:pPr>
      <w:r>
        <w:rPr>
          <w:rFonts w:ascii="Arial" w:hAnsi="Arial" w:cs="Arial"/>
          <w:b w:val="0"/>
          <w:color w:val="263B38"/>
          <w:sz w:val="17"/>
        </w:rPr>
        <w:t>- Existing Phase 8C rollout controls remain disabled.</w:t>
      </w:r>
    </w:p>
    <w:p>
      <w:pPr>
        <w:spacing w:after="0" w:line="252" w:lineRule="auto"/>
        <w:jc w:val="right"/>
        <w:bidi w:val="1"/>
      </w:pPr>
      <w:r>
        <w:rPr>
          <w:rFonts w:ascii="Arial" w:hAnsi="Arial" w:cs="Arial"/>
          <w:b w:val="0"/>
          <w:color w:val="263B38"/>
          <w:sz w:val="17"/>
        </w:rPr>
        <w:t>- No credential or secret enters tracked files.</w:t>
      </w:r>
    </w:p>
    <w:p>
      <w:pPr>
        <w:spacing w:after="0" w:line="252" w:lineRule="auto"/>
        <w:jc w:val="right"/>
        <w:bidi w:val="1"/>
      </w:pPr>
      <w:r>
        <w:rPr>
          <w:rFonts w:ascii="Arial" w:hAnsi="Arial" w:cs="Arial"/>
          <w:b w:val="0"/>
          <w:color w:val="263B38"/>
          <w:sz w:val="17"/>
        </w:rPr>
        <w:t>- The real development SQLite database remains untouched.</w:t>
      </w:r>
    </w:p>
    <w:p>
      <w:pPr>
        <w:spacing w:after="0" w:line="252" w:lineRule="auto"/>
        <w:jc w:val="right"/>
        <w:bidi w:val="1"/>
      </w:pPr>
      <w:r>
        <w:rPr>
          <w:rFonts w:ascii="Arial" w:hAnsi="Arial" w:cs="Arial"/>
          <w:b w:val="0"/>
          <w:color w:val="263B38"/>
          <w:sz w:val="17"/>
        </w:rPr>
      </w:r>
    </w:p>
    <w:p>
      <w:pPr>
        <w:spacing w:after="0" w:line="252" w:lineRule="auto"/>
        <w:jc w:val="right"/>
        <w:bidi w:val="1"/>
      </w:pPr>
      <w:r>
        <w:rPr>
          <w:rFonts w:ascii="Arial" w:hAnsi="Arial" w:cs="Arial"/>
          <w:b w:val="0"/>
          <w:color w:val="263B38"/>
          <w:sz w:val="17"/>
        </w:rPr>
        <w:t>Do not begin website, subscriptions, payments, licensing, cloud activation, or Phase 9 work in this phase.</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