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EECE1" w:themeColor="background2"/>
  <w:body>
    <w:p w14:paraId="686DBC7E" w14:textId="6FC59956" w:rsidR="00E434E7" w:rsidRPr="006F0A78" w:rsidRDefault="00E434E7" w:rsidP="00E434E7">
      <w:pPr>
        <w:pStyle w:val="Title"/>
        <w:jc w:val="center"/>
      </w:pPr>
      <w:r w:rsidRPr="006F0A78">
        <w:t xml:space="preserve">Part </w:t>
      </w:r>
      <w:r w:rsidR="005C30E0">
        <w:t>1</w:t>
      </w:r>
    </w:p>
    <w:p w14:paraId="54E52210" w14:textId="77777777" w:rsidR="00E434E7" w:rsidRPr="007C7C29" w:rsidRDefault="00E434E7" w:rsidP="00E434E7">
      <w:pPr>
        <w:pStyle w:val="ListParagraph"/>
        <w:ind w:left="720"/>
        <w:rPr>
          <w:rFonts w:ascii="Book Antiqua" w:hAnsi="Book Antiqua"/>
        </w:rPr>
      </w:pPr>
    </w:p>
    <w:p w14:paraId="7558A184" w14:textId="77777777" w:rsidR="00E434E7" w:rsidRPr="007C7C29" w:rsidRDefault="00E434E7" w:rsidP="00E434E7">
      <w:pPr>
        <w:pStyle w:val="ListParagraph"/>
        <w:widowControl/>
        <w:numPr>
          <w:ilvl w:val="0"/>
          <w:numId w:val="4"/>
        </w:numPr>
        <w:autoSpaceDE/>
        <w:autoSpaceDN/>
        <w:spacing w:after="120" w:line="264" w:lineRule="auto"/>
        <w:contextualSpacing/>
        <w:rPr>
          <w:rFonts w:ascii="Book Antiqua" w:hAnsi="Book Antiqua"/>
        </w:rPr>
      </w:pPr>
      <w:r w:rsidRPr="007C7C29">
        <w:rPr>
          <w:rFonts w:ascii="Book Antiqua" w:hAnsi="Book Antiqua"/>
        </w:rPr>
        <w:t>Profitability Ratio:</w:t>
      </w:r>
    </w:p>
    <w:p w14:paraId="64393FC2" w14:textId="77777777" w:rsidR="00E434E7" w:rsidRPr="007C7C29" w:rsidRDefault="00E434E7" w:rsidP="00E434E7">
      <w:pPr>
        <w:pStyle w:val="ListParagraph"/>
        <w:widowControl/>
        <w:numPr>
          <w:ilvl w:val="0"/>
          <w:numId w:val="1"/>
        </w:numPr>
        <w:autoSpaceDE/>
        <w:autoSpaceDN/>
        <w:spacing w:after="120" w:line="264" w:lineRule="auto"/>
        <w:contextualSpacing/>
        <w:rPr>
          <w:rFonts w:ascii="Book Antiqua" w:hAnsi="Book Antiqua"/>
        </w:rPr>
      </w:pPr>
      <w:r w:rsidRPr="007C7C29">
        <w:rPr>
          <w:rFonts w:ascii="Book Antiqua" w:hAnsi="Book Antiqua"/>
        </w:rPr>
        <w:t>Return on Equity ROE</w:t>
      </w:r>
      <w:r>
        <w:rPr>
          <w:rFonts w:ascii="Book Antiqua" w:hAnsi="Book Antiqua"/>
        </w:rPr>
        <w:t xml:space="preserve">- </w:t>
      </w:r>
      <w:hyperlink r:id="rId8" w:anchor="financial-ratios" w:history="1">
        <w:r>
          <w:rPr>
            <w:rStyle w:val="Hyperlink"/>
          </w:rPr>
          <w:t>Tata Steel Ltd. - Financial Ratios</w:t>
        </w:r>
      </w:hyperlink>
    </w:p>
    <w:p w14:paraId="034FEA98" w14:textId="77777777" w:rsidR="00E434E7" w:rsidRPr="007C7C29" w:rsidRDefault="00E434E7" w:rsidP="00E434E7">
      <w:pPr>
        <w:pStyle w:val="ListParagraph"/>
        <w:widowControl/>
        <w:numPr>
          <w:ilvl w:val="0"/>
          <w:numId w:val="1"/>
        </w:numPr>
        <w:autoSpaceDE/>
        <w:autoSpaceDN/>
        <w:spacing w:after="120" w:line="264" w:lineRule="auto"/>
        <w:contextualSpacing/>
        <w:rPr>
          <w:rFonts w:ascii="Book Antiqua" w:hAnsi="Book Antiqua"/>
        </w:rPr>
      </w:pPr>
      <w:r w:rsidRPr="007C7C29">
        <w:rPr>
          <w:rFonts w:ascii="Book Antiqua" w:hAnsi="Book Antiqua"/>
        </w:rPr>
        <w:t>Net Profit Margin</w:t>
      </w:r>
      <w:r>
        <w:rPr>
          <w:rFonts w:ascii="Book Antiqua" w:hAnsi="Book Antiqua"/>
        </w:rPr>
        <w:t xml:space="preserve">- </w:t>
      </w:r>
      <w:hyperlink r:id="rId9" w:anchor="financial-ratios" w:history="1">
        <w:r>
          <w:rPr>
            <w:rStyle w:val="Hyperlink"/>
          </w:rPr>
          <w:t>Tata Steel Ltd. - Financial Ratios</w:t>
        </w:r>
      </w:hyperlink>
    </w:p>
    <w:p w14:paraId="2BE77906" w14:textId="77777777" w:rsidR="00E434E7" w:rsidRPr="00CA0591" w:rsidRDefault="00E434E7" w:rsidP="00E434E7">
      <w:pPr>
        <w:pStyle w:val="ListParagraph"/>
        <w:widowControl/>
        <w:numPr>
          <w:ilvl w:val="0"/>
          <w:numId w:val="1"/>
        </w:numPr>
        <w:autoSpaceDE/>
        <w:autoSpaceDN/>
        <w:spacing w:after="120" w:line="264" w:lineRule="auto"/>
        <w:contextualSpacing/>
        <w:rPr>
          <w:rFonts w:ascii="Book Antiqua" w:hAnsi="Book Antiqua"/>
        </w:rPr>
      </w:pPr>
      <w:r w:rsidRPr="007C7C29">
        <w:rPr>
          <w:rFonts w:ascii="Book Antiqua" w:hAnsi="Book Antiqua"/>
        </w:rPr>
        <w:t>Earnings per share</w:t>
      </w:r>
      <w:r>
        <w:rPr>
          <w:rFonts w:ascii="Book Antiqua" w:hAnsi="Book Antiqua"/>
        </w:rPr>
        <w:t xml:space="preserve">- </w:t>
      </w:r>
      <w:hyperlink r:id="rId10" w:history="1">
        <w:r>
          <w:rPr>
            <w:rStyle w:val="Hyperlink"/>
          </w:rPr>
          <w:t>Tata Steel | TATA - EPS Earnings Per Share</w:t>
        </w:r>
      </w:hyperlink>
    </w:p>
    <w:p w14:paraId="6A1AB0AC" w14:textId="77777777" w:rsidR="00E434E7" w:rsidRDefault="00000000" w:rsidP="00E434E7">
      <w:r>
        <w:pict w14:anchorId="54AC2997">
          <v:rect id="_x0000_i1025" style="width:0;height:1.5pt" o:hralign="center" o:hrstd="t" o:hr="t" fillcolor="#a0a0a0" stroked="f"/>
        </w:pict>
      </w:r>
    </w:p>
    <w:p w14:paraId="1CF8B0FF" w14:textId="77777777" w:rsidR="00E434E7" w:rsidRDefault="00E434E7" w:rsidP="00E434E7">
      <w:pPr>
        <w:pStyle w:val="Heading2"/>
      </w:pPr>
      <w:r>
        <w:rPr>
          <w:rFonts w:ascii="Segoe UI Symbol" w:hAnsi="Segoe UI Symbol" w:cs="Segoe UI Symbol"/>
        </w:rPr>
        <w:t>📊</w:t>
      </w:r>
      <w:r>
        <w:t xml:space="preserve"> </w:t>
      </w:r>
      <w:r>
        <w:rPr>
          <w:rStyle w:val="Strong"/>
          <w:b w:val="0"/>
          <w:bCs w:val="0"/>
        </w:rPr>
        <w:t>Trend Table – Profitability Ratios (Tata Steel Ltd)</w:t>
      </w:r>
    </w:p>
    <w:tbl>
      <w:tblPr>
        <w:tblStyle w:val="GridTable4"/>
        <w:tblW w:w="0" w:type="auto"/>
        <w:tblLook w:val="04A0" w:firstRow="1" w:lastRow="0" w:firstColumn="1" w:lastColumn="0" w:noHBand="0" w:noVBand="1"/>
      </w:tblPr>
      <w:tblGrid>
        <w:gridCol w:w="1677"/>
        <w:gridCol w:w="1030"/>
        <w:gridCol w:w="1030"/>
        <w:gridCol w:w="1030"/>
        <w:gridCol w:w="4526"/>
      </w:tblGrid>
      <w:tr w:rsidR="00E434E7" w14:paraId="33D2D3B2" w14:textId="77777777" w:rsidTr="004F3C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AAD971" w14:textId="77777777" w:rsidR="00E434E7" w:rsidRDefault="00E434E7" w:rsidP="00D83ECB">
            <w:pPr>
              <w:jc w:val="center"/>
              <w:rPr>
                <w:b w:val="0"/>
                <w:bCs w:val="0"/>
              </w:rPr>
            </w:pPr>
            <w:r>
              <w:rPr>
                <w:rStyle w:val="Strong"/>
              </w:rPr>
              <w:t>Ratio</w:t>
            </w:r>
          </w:p>
        </w:tc>
        <w:tc>
          <w:tcPr>
            <w:tcW w:w="0" w:type="auto"/>
            <w:hideMark/>
          </w:tcPr>
          <w:p w14:paraId="34647D5F" w14:textId="77777777" w:rsidR="00E434E7" w:rsidRDefault="00E434E7" w:rsidP="00D83ECB">
            <w:pPr>
              <w:jc w:val="center"/>
              <w:cnfStyle w:val="100000000000" w:firstRow="1" w:lastRow="0" w:firstColumn="0" w:lastColumn="0" w:oddVBand="0" w:evenVBand="0" w:oddHBand="0" w:evenHBand="0" w:firstRowFirstColumn="0" w:firstRowLastColumn="0" w:lastRowFirstColumn="0" w:lastRowLastColumn="0"/>
              <w:rPr>
                <w:b w:val="0"/>
                <w:bCs w:val="0"/>
              </w:rPr>
            </w:pPr>
            <w:r>
              <w:rPr>
                <w:rStyle w:val="Strong"/>
              </w:rPr>
              <w:t>FY 2022–23</w:t>
            </w:r>
          </w:p>
        </w:tc>
        <w:tc>
          <w:tcPr>
            <w:tcW w:w="0" w:type="auto"/>
            <w:hideMark/>
          </w:tcPr>
          <w:p w14:paraId="0E2A7DA1" w14:textId="77777777" w:rsidR="00E434E7" w:rsidRDefault="00E434E7" w:rsidP="00D83ECB">
            <w:pPr>
              <w:jc w:val="center"/>
              <w:cnfStyle w:val="100000000000" w:firstRow="1" w:lastRow="0" w:firstColumn="0" w:lastColumn="0" w:oddVBand="0" w:evenVBand="0" w:oddHBand="0" w:evenHBand="0" w:firstRowFirstColumn="0" w:firstRowLastColumn="0" w:lastRowFirstColumn="0" w:lastRowLastColumn="0"/>
              <w:rPr>
                <w:b w:val="0"/>
                <w:bCs w:val="0"/>
              </w:rPr>
            </w:pPr>
            <w:r>
              <w:rPr>
                <w:rStyle w:val="Strong"/>
              </w:rPr>
              <w:t>FY 2023–24</w:t>
            </w:r>
          </w:p>
        </w:tc>
        <w:tc>
          <w:tcPr>
            <w:tcW w:w="0" w:type="auto"/>
            <w:hideMark/>
          </w:tcPr>
          <w:p w14:paraId="0F225458" w14:textId="77777777" w:rsidR="00E434E7" w:rsidRDefault="00E434E7" w:rsidP="00D83ECB">
            <w:pPr>
              <w:jc w:val="center"/>
              <w:cnfStyle w:val="100000000000" w:firstRow="1" w:lastRow="0" w:firstColumn="0" w:lastColumn="0" w:oddVBand="0" w:evenVBand="0" w:oddHBand="0" w:evenHBand="0" w:firstRowFirstColumn="0" w:firstRowLastColumn="0" w:lastRowFirstColumn="0" w:lastRowLastColumn="0"/>
              <w:rPr>
                <w:b w:val="0"/>
                <w:bCs w:val="0"/>
              </w:rPr>
            </w:pPr>
            <w:r>
              <w:rPr>
                <w:rStyle w:val="Strong"/>
              </w:rPr>
              <w:t>FY 2024–25</w:t>
            </w:r>
          </w:p>
        </w:tc>
        <w:tc>
          <w:tcPr>
            <w:tcW w:w="0" w:type="auto"/>
            <w:hideMark/>
          </w:tcPr>
          <w:p w14:paraId="330A790E" w14:textId="77777777" w:rsidR="00E434E7" w:rsidRDefault="00E434E7" w:rsidP="00D83ECB">
            <w:pPr>
              <w:jc w:val="center"/>
              <w:cnfStyle w:val="100000000000" w:firstRow="1" w:lastRow="0" w:firstColumn="0" w:lastColumn="0" w:oddVBand="0" w:evenVBand="0" w:oddHBand="0" w:evenHBand="0" w:firstRowFirstColumn="0" w:firstRowLastColumn="0" w:lastRowFirstColumn="0" w:lastRowLastColumn="0"/>
              <w:rPr>
                <w:b w:val="0"/>
                <w:bCs w:val="0"/>
              </w:rPr>
            </w:pPr>
            <w:r>
              <w:rPr>
                <w:rStyle w:val="Strong"/>
              </w:rPr>
              <w:t>Trend &amp; Commentary</w:t>
            </w:r>
          </w:p>
        </w:tc>
      </w:tr>
      <w:tr w:rsidR="00E434E7" w14:paraId="221A94B0" w14:textId="77777777" w:rsidTr="004F3C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1023B0" w14:textId="77777777" w:rsidR="00E434E7" w:rsidRDefault="00E434E7" w:rsidP="00D83ECB">
            <w:r>
              <w:rPr>
                <w:rStyle w:val="Strong"/>
              </w:rPr>
              <w:t>Return on Equity (ROE)</w:t>
            </w:r>
          </w:p>
        </w:tc>
        <w:tc>
          <w:tcPr>
            <w:tcW w:w="0" w:type="auto"/>
            <w:hideMark/>
          </w:tcPr>
          <w:p w14:paraId="1835F07B" w14:textId="77777777" w:rsidR="00E434E7" w:rsidRDefault="00E434E7" w:rsidP="00D83ECB">
            <w:pPr>
              <w:cnfStyle w:val="000000100000" w:firstRow="0" w:lastRow="0" w:firstColumn="0" w:lastColumn="0" w:oddVBand="0" w:evenVBand="0" w:oddHBand="1" w:evenHBand="0" w:firstRowFirstColumn="0" w:firstRowLastColumn="0" w:lastRowFirstColumn="0" w:lastRowLastColumn="0"/>
            </w:pPr>
            <w:r>
              <w:t>7.27%</w:t>
            </w:r>
          </w:p>
        </w:tc>
        <w:tc>
          <w:tcPr>
            <w:tcW w:w="0" w:type="auto"/>
            <w:hideMark/>
          </w:tcPr>
          <w:p w14:paraId="6857547B" w14:textId="77777777" w:rsidR="00E434E7" w:rsidRDefault="00E434E7" w:rsidP="00D83ECB">
            <w:pPr>
              <w:cnfStyle w:val="000000100000" w:firstRow="0" w:lastRow="0" w:firstColumn="0" w:lastColumn="0" w:oddVBand="0" w:evenVBand="0" w:oddHBand="1" w:evenHBand="0" w:firstRowFirstColumn="0" w:firstRowLastColumn="0" w:lastRowFirstColumn="0" w:lastRowLastColumn="0"/>
            </w:pPr>
            <w:r>
              <w:t>–4.97%</w:t>
            </w:r>
          </w:p>
        </w:tc>
        <w:tc>
          <w:tcPr>
            <w:tcW w:w="0" w:type="auto"/>
            <w:hideMark/>
          </w:tcPr>
          <w:p w14:paraId="7950DC8E" w14:textId="77777777" w:rsidR="00E434E7" w:rsidRDefault="00E434E7" w:rsidP="00D83ECB">
            <w:pPr>
              <w:cnfStyle w:val="000000100000" w:firstRow="0" w:lastRow="0" w:firstColumn="0" w:lastColumn="0" w:oddVBand="0" w:evenVBand="0" w:oddHBand="1" w:evenHBand="0" w:firstRowFirstColumn="0" w:firstRowLastColumn="0" w:lastRowFirstColumn="0" w:lastRowLastColumn="0"/>
            </w:pPr>
            <w:r>
              <w:t>3.45%</w:t>
            </w:r>
          </w:p>
        </w:tc>
        <w:tc>
          <w:tcPr>
            <w:tcW w:w="0" w:type="auto"/>
            <w:hideMark/>
          </w:tcPr>
          <w:p w14:paraId="2E2A26AD" w14:textId="77777777" w:rsidR="00E434E7" w:rsidRDefault="00E434E7" w:rsidP="00D83ECB">
            <w:pPr>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rPr>
              <w:t>📉</w:t>
            </w:r>
            <w:r>
              <w:t xml:space="preserve"> Declined in FY24 due to net loss; partial recovery in FY25, but still below optimal.</w:t>
            </w:r>
          </w:p>
        </w:tc>
      </w:tr>
      <w:tr w:rsidR="00E434E7" w14:paraId="1BF6DDA3" w14:textId="77777777" w:rsidTr="004F3CA6">
        <w:tc>
          <w:tcPr>
            <w:cnfStyle w:val="001000000000" w:firstRow="0" w:lastRow="0" w:firstColumn="1" w:lastColumn="0" w:oddVBand="0" w:evenVBand="0" w:oddHBand="0" w:evenHBand="0" w:firstRowFirstColumn="0" w:firstRowLastColumn="0" w:lastRowFirstColumn="0" w:lastRowLastColumn="0"/>
            <w:tcW w:w="0" w:type="auto"/>
            <w:hideMark/>
          </w:tcPr>
          <w:p w14:paraId="70C6F59B" w14:textId="77777777" w:rsidR="00E434E7" w:rsidRDefault="00E434E7" w:rsidP="00D83ECB">
            <w:r>
              <w:rPr>
                <w:rStyle w:val="Strong"/>
              </w:rPr>
              <w:t>Net Profit Margin</w:t>
            </w:r>
          </w:p>
        </w:tc>
        <w:tc>
          <w:tcPr>
            <w:tcW w:w="0" w:type="auto"/>
            <w:hideMark/>
          </w:tcPr>
          <w:p w14:paraId="1BC93B10" w14:textId="77777777" w:rsidR="00E434E7" w:rsidRDefault="00E434E7" w:rsidP="00D83ECB">
            <w:pPr>
              <w:cnfStyle w:val="000000000000" w:firstRow="0" w:lastRow="0" w:firstColumn="0" w:lastColumn="0" w:oddVBand="0" w:evenVBand="0" w:oddHBand="0" w:evenHBand="0" w:firstRowFirstColumn="0" w:firstRowLastColumn="0" w:lastRowFirstColumn="0" w:lastRowLastColumn="0"/>
            </w:pPr>
            <w:r>
              <w:t>7.05%</w:t>
            </w:r>
          </w:p>
        </w:tc>
        <w:tc>
          <w:tcPr>
            <w:tcW w:w="0" w:type="auto"/>
            <w:hideMark/>
          </w:tcPr>
          <w:p w14:paraId="11EBA31E" w14:textId="77777777" w:rsidR="00E434E7" w:rsidRDefault="00E434E7" w:rsidP="00D83ECB">
            <w:pPr>
              <w:cnfStyle w:val="000000000000" w:firstRow="0" w:lastRow="0" w:firstColumn="0" w:lastColumn="0" w:oddVBand="0" w:evenVBand="0" w:oddHBand="0" w:evenHBand="0" w:firstRowFirstColumn="0" w:firstRowLastColumn="0" w:lastRowFirstColumn="0" w:lastRowLastColumn="0"/>
            </w:pPr>
            <w:r>
              <w:t>2.09%</w:t>
            </w:r>
          </w:p>
        </w:tc>
        <w:tc>
          <w:tcPr>
            <w:tcW w:w="0" w:type="auto"/>
            <w:hideMark/>
          </w:tcPr>
          <w:p w14:paraId="17DD6242" w14:textId="77777777" w:rsidR="00E434E7" w:rsidRDefault="00E434E7" w:rsidP="00D83ECB">
            <w:pPr>
              <w:cnfStyle w:val="000000000000" w:firstRow="0" w:lastRow="0" w:firstColumn="0" w:lastColumn="0" w:oddVBand="0" w:evenVBand="0" w:oddHBand="0" w:evenHBand="0" w:firstRowFirstColumn="0" w:firstRowLastColumn="0" w:lastRowFirstColumn="0" w:lastRowLastColumn="0"/>
            </w:pPr>
            <w:r>
              <w:t>4.89%</w:t>
            </w:r>
          </w:p>
        </w:tc>
        <w:tc>
          <w:tcPr>
            <w:tcW w:w="0" w:type="auto"/>
            <w:hideMark/>
          </w:tcPr>
          <w:p w14:paraId="230F45D6" w14:textId="77777777" w:rsidR="00E434E7" w:rsidRDefault="00E434E7" w:rsidP="00D83ECB">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r>
              <w:t xml:space="preserve"> Margin compression in FY24; improved in FY25 via cost control and better pricing.</w:t>
            </w:r>
          </w:p>
        </w:tc>
      </w:tr>
      <w:tr w:rsidR="00E434E7" w14:paraId="7919C314" w14:textId="77777777" w:rsidTr="004F3C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A18736" w14:textId="77777777" w:rsidR="00E434E7" w:rsidRDefault="00E434E7" w:rsidP="00D83ECB">
            <w:r>
              <w:rPr>
                <w:rStyle w:val="Strong"/>
              </w:rPr>
              <w:t>Earnings Per Share (EPS)</w:t>
            </w:r>
          </w:p>
        </w:tc>
        <w:tc>
          <w:tcPr>
            <w:tcW w:w="0" w:type="auto"/>
            <w:hideMark/>
          </w:tcPr>
          <w:p w14:paraId="17CD0A05" w14:textId="77777777" w:rsidR="00E434E7" w:rsidRDefault="00E434E7" w:rsidP="00D83ECB">
            <w:pPr>
              <w:cnfStyle w:val="000000100000" w:firstRow="0" w:lastRow="0" w:firstColumn="0" w:lastColumn="0" w:oddVBand="0" w:evenVBand="0" w:oddHBand="1" w:evenHBand="0" w:firstRowFirstColumn="0" w:firstRowLastColumn="0" w:lastRowFirstColumn="0" w:lastRowLastColumn="0"/>
            </w:pPr>
            <w:r>
              <w:t>₹6.61</w:t>
            </w:r>
          </w:p>
        </w:tc>
        <w:tc>
          <w:tcPr>
            <w:tcW w:w="0" w:type="auto"/>
            <w:hideMark/>
          </w:tcPr>
          <w:p w14:paraId="30062EC5" w14:textId="77777777" w:rsidR="00E434E7" w:rsidRDefault="00E434E7" w:rsidP="00D83ECB">
            <w:pPr>
              <w:cnfStyle w:val="000000100000" w:firstRow="0" w:lastRow="0" w:firstColumn="0" w:lastColumn="0" w:oddVBand="0" w:evenVBand="0" w:oddHBand="1" w:evenHBand="0" w:firstRowFirstColumn="0" w:firstRowLastColumn="0" w:lastRowFirstColumn="0" w:lastRowLastColumn="0"/>
            </w:pPr>
            <w:r>
              <w:t>₹</w:t>
            </w:r>
            <w:r>
              <w:rPr>
                <w:rFonts w:ascii="MV Boli" w:hAnsi="MV Boli" w:cs="MV Boli"/>
              </w:rPr>
              <w:t>–</w:t>
            </w:r>
            <w:r>
              <w:t>3.62</w:t>
            </w:r>
          </w:p>
        </w:tc>
        <w:tc>
          <w:tcPr>
            <w:tcW w:w="0" w:type="auto"/>
            <w:hideMark/>
          </w:tcPr>
          <w:p w14:paraId="783D03F2" w14:textId="77777777" w:rsidR="00E434E7" w:rsidRDefault="00E434E7" w:rsidP="00D83ECB">
            <w:pPr>
              <w:cnfStyle w:val="000000100000" w:firstRow="0" w:lastRow="0" w:firstColumn="0" w:lastColumn="0" w:oddVBand="0" w:evenVBand="0" w:oddHBand="1" w:evenHBand="0" w:firstRowFirstColumn="0" w:firstRowLastColumn="0" w:lastRowFirstColumn="0" w:lastRowLastColumn="0"/>
            </w:pPr>
            <w:r>
              <w:t>₹2.74</w:t>
            </w:r>
          </w:p>
        </w:tc>
        <w:tc>
          <w:tcPr>
            <w:tcW w:w="0" w:type="auto"/>
            <w:hideMark/>
          </w:tcPr>
          <w:p w14:paraId="57CD4696" w14:textId="77777777" w:rsidR="00E434E7" w:rsidRDefault="00E434E7" w:rsidP="00D83ECB">
            <w:pPr>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rPr>
              <w:t>📉</w:t>
            </w:r>
            <w:r>
              <w:t xml:space="preserve"> EPS turned negative in FY24; rebounded in FY25 with stronger domestic performance.</w:t>
            </w:r>
          </w:p>
        </w:tc>
      </w:tr>
    </w:tbl>
    <w:p w14:paraId="6C5DC741" w14:textId="77777777" w:rsidR="00E434E7" w:rsidRDefault="00000000" w:rsidP="00E434E7">
      <w:r>
        <w:pict w14:anchorId="6BC46D1B">
          <v:rect id="_x0000_i1026" style="width:0;height:1.5pt" o:hralign="center" o:hrstd="t" o:hr="t" fillcolor="#a0a0a0" stroked="f"/>
        </w:pict>
      </w:r>
    </w:p>
    <w:p w14:paraId="64B20584" w14:textId="77777777" w:rsidR="00E434E7" w:rsidRDefault="00E434E7" w:rsidP="00E434E7">
      <w:pPr>
        <w:pStyle w:val="Heading3"/>
      </w:pPr>
      <w:r>
        <w:rPr>
          <w:rFonts w:ascii="Segoe UI Symbol" w:hAnsi="Segoe UI Symbol" w:cs="Segoe UI Symbol"/>
        </w:rPr>
        <w:t>🔍</w:t>
      </w:r>
      <w:r>
        <w:t xml:space="preserve"> Summary</w:t>
      </w:r>
    </w:p>
    <w:p w14:paraId="1C8A915E" w14:textId="77777777" w:rsidR="00E434E7" w:rsidRDefault="00E434E7" w:rsidP="00E434E7">
      <w:pPr>
        <w:widowControl/>
        <w:numPr>
          <w:ilvl w:val="0"/>
          <w:numId w:val="18"/>
        </w:numPr>
        <w:autoSpaceDE/>
        <w:autoSpaceDN/>
        <w:spacing w:before="100" w:beforeAutospacing="1" w:after="100" w:afterAutospacing="1"/>
      </w:pPr>
      <w:r>
        <w:rPr>
          <w:rStyle w:val="Strong"/>
        </w:rPr>
        <w:t>FY 2022–23</w:t>
      </w:r>
      <w:r>
        <w:t>: Strong profitability across all metrics.</w:t>
      </w:r>
    </w:p>
    <w:p w14:paraId="0AF772A8" w14:textId="77777777" w:rsidR="00E434E7" w:rsidRDefault="00E434E7" w:rsidP="00E434E7">
      <w:pPr>
        <w:widowControl/>
        <w:numPr>
          <w:ilvl w:val="0"/>
          <w:numId w:val="18"/>
        </w:numPr>
        <w:autoSpaceDE/>
        <w:autoSpaceDN/>
        <w:spacing w:before="100" w:beforeAutospacing="1" w:after="100" w:afterAutospacing="1"/>
      </w:pPr>
      <w:r>
        <w:rPr>
          <w:rStyle w:val="Strong"/>
        </w:rPr>
        <w:t>FY 2023–24</w:t>
      </w:r>
      <w:r>
        <w:t>: Sharp decline due to global headwinds, European losses, and tax impacts.</w:t>
      </w:r>
    </w:p>
    <w:p w14:paraId="51F650A6" w14:textId="77777777" w:rsidR="00E434E7" w:rsidRDefault="00E434E7" w:rsidP="00E434E7">
      <w:pPr>
        <w:widowControl/>
        <w:numPr>
          <w:ilvl w:val="0"/>
          <w:numId w:val="18"/>
        </w:numPr>
        <w:autoSpaceDE/>
        <w:autoSpaceDN/>
        <w:spacing w:before="100" w:beforeAutospacing="1" w:after="100" w:afterAutospacing="1"/>
      </w:pPr>
      <w:r>
        <w:rPr>
          <w:rStyle w:val="Strong"/>
        </w:rPr>
        <w:t>FY 2024–25</w:t>
      </w:r>
      <w:r>
        <w:t>: Signs of recovery, though full strength not yet restored.</w:t>
      </w:r>
    </w:p>
    <w:p w14:paraId="7180E44A" w14:textId="77777777" w:rsidR="00E434E7" w:rsidRDefault="00000000" w:rsidP="00E434E7">
      <w:r>
        <w:pict w14:anchorId="699A8A2F">
          <v:rect id="_x0000_i1027" style="width:0;height:1.5pt" o:hralign="center" o:hrstd="t" o:hr="t" fillcolor="#a0a0a0" stroked="f"/>
        </w:pict>
      </w:r>
    </w:p>
    <w:p w14:paraId="78C2F1FA" w14:textId="77777777" w:rsidR="00E434E7" w:rsidRPr="00CA0591" w:rsidRDefault="00E434E7" w:rsidP="00E434E7">
      <w:pPr>
        <w:rPr>
          <w:rFonts w:ascii="Book Antiqua" w:hAnsi="Book Antiqua"/>
        </w:rPr>
      </w:pPr>
    </w:p>
    <w:p w14:paraId="69C9F0D7" w14:textId="77777777" w:rsidR="00E434E7" w:rsidRDefault="00E434E7" w:rsidP="00E434E7">
      <w:pPr>
        <w:rPr>
          <w:rFonts w:ascii="Book Antiqua" w:hAnsi="Book Antiqua"/>
        </w:rPr>
      </w:pPr>
    </w:p>
    <w:p w14:paraId="03294D0A" w14:textId="77777777" w:rsidR="00E434E7" w:rsidRPr="007C7C29" w:rsidRDefault="00E434E7" w:rsidP="00E434E7">
      <w:pPr>
        <w:pStyle w:val="ListParagraph"/>
        <w:widowControl/>
        <w:numPr>
          <w:ilvl w:val="0"/>
          <w:numId w:val="4"/>
        </w:numPr>
        <w:autoSpaceDE/>
        <w:autoSpaceDN/>
        <w:spacing w:after="120" w:line="264" w:lineRule="auto"/>
        <w:contextualSpacing/>
        <w:rPr>
          <w:rFonts w:ascii="Book Antiqua" w:hAnsi="Book Antiqua"/>
        </w:rPr>
      </w:pPr>
      <w:r w:rsidRPr="007C7C29">
        <w:rPr>
          <w:rFonts w:ascii="Book Antiqua" w:hAnsi="Book Antiqua"/>
        </w:rPr>
        <w:t xml:space="preserve">Solvency </w:t>
      </w:r>
      <w:proofErr w:type="spellStart"/>
      <w:r w:rsidRPr="007C7C29">
        <w:rPr>
          <w:rFonts w:ascii="Book Antiqua" w:hAnsi="Book Antiqua"/>
        </w:rPr>
        <w:t>Ration</w:t>
      </w:r>
      <w:proofErr w:type="spellEnd"/>
      <w:r w:rsidRPr="007C7C29">
        <w:rPr>
          <w:rFonts w:ascii="Book Antiqua" w:hAnsi="Book Antiqua"/>
        </w:rPr>
        <w:t>:</w:t>
      </w:r>
    </w:p>
    <w:p w14:paraId="627D1F72" w14:textId="77777777" w:rsidR="00E434E7" w:rsidRPr="007C7C29" w:rsidRDefault="00E434E7" w:rsidP="00E434E7">
      <w:pPr>
        <w:pStyle w:val="ListParagraph"/>
        <w:widowControl/>
        <w:numPr>
          <w:ilvl w:val="0"/>
          <w:numId w:val="2"/>
        </w:numPr>
        <w:autoSpaceDE/>
        <w:autoSpaceDN/>
        <w:spacing w:after="120" w:line="264" w:lineRule="auto"/>
        <w:contextualSpacing/>
      </w:pPr>
      <w:r w:rsidRPr="007C7C29">
        <w:rPr>
          <w:rFonts w:ascii="Book Antiqua" w:hAnsi="Book Antiqua"/>
        </w:rPr>
        <w:t xml:space="preserve">Debt-to-Equity Ratio- </w:t>
      </w:r>
      <w:hyperlink r:id="rId11" w:history="1">
        <w:r w:rsidRPr="007C7C29">
          <w:rPr>
            <w:rStyle w:val="Hyperlink"/>
          </w:rPr>
          <w:t xml:space="preserve">Debt to equity ratio of TATA STEEL LTD – NSE:TATASTEEL – </w:t>
        </w:r>
        <w:proofErr w:type="spellStart"/>
        <w:r w:rsidRPr="007C7C29">
          <w:rPr>
            <w:rStyle w:val="Hyperlink"/>
          </w:rPr>
          <w:t>TradingView</w:t>
        </w:r>
        <w:proofErr w:type="spellEnd"/>
      </w:hyperlink>
    </w:p>
    <w:p w14:paraId="752C35B3" w14:textId="0981F1D6" w:rsidR="00E434E7" w:rsidRDefault="00E434E7" w:rsidP="00E434E7">
      <w:pPr>
        <w:pStyle w:val="ListParagraph"/>
        <w:widowControl/>
        <w:numPr>
          <w:ilvl w:val="0"/>
          <w:numId w:val="2"/>
        </w:numPr>
        <w:autoSpaceDE/>
        <w:autoSpaceDN/>
        <w:spacing w:after="120" w:line="264" w:lineRule="auto"/>
        <w:contextualSpacing/>
      </w:pPr>
      <w:r w:rsidRPr="007C7C29">
        <w:rPr>
          <w:rFonts w:ascii="Book Antiqua" w:hAnsi="Book Antiqua"/>
        </w:rPr>
        <w:t>Interest Coverage ratio-</w:t>
      </w:r>
      <w:hyperlink r:id="rId12" w:history="1">
        <w:r>
          <w:rPr>
            <w:rStyle w:val="Hyperlink"/>
          </w:rPr>
          <w:t>Interest Coverage analysis of Tata Steel Ltd., FY Ratio 2.12 - Good Interest Coverage</w:t>
        </w:r>
      </w:hyperlink>
    </w:p>
    <w:p w14:paraId="3C150A57" w14:textId="77777777" w:rsidR="00E434E7" w:rsidRDefault="00E434E7" w:rsidP="00E434E7">
      <w:pPr>
        <w:pStyle w:val="Heading2"/>
      </w:pPr>
      <w:r>
        <w:rPr>
          <w:rFonts w:ascii="Segoe UI Symbol" w:hAnsi="Segoe UI Symbol" w:cs="Segoe UI Symbol"/>
        </w:rPr>
        <w:t>📊</w:t>
      </w:r>
      <w:r>
        <w:t xml:space="preserve"> </w:t>
      </w:r>
      <w:r>
        <w:rPr>
          <w:rStyle w:val="Strong"/>
          <w:b w:val="0"/>
          <w:bCs w:val="0"/>
        </w:rPr>
        <w:t>Trend Table – Solvency Ratios (Tata Steel Ltd)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DDDD8" w:themeFill="text2" w:themeFillTint="33"/>
        <w:tblCellMar>
          <w:top w:w="15" w:type="dxa"/>
          <w:left w:w="15" w:type="dxa"/>
          <w:bottom w:w="15" w:type="dxa"/>
          <w:right w:w="15" w:type="dxa"/>
        </w:tblCellMar>
        <w:tblLook w:val="04A0" w:firstRow="1" w:lastRow="0" w:firstColumn="1" w:lastColumn="0" w:noHBand="0" w:noVBand="1"/>
      </w:tblPr>
      <w:tblGrid>
        <w:gridCol w:w="1531"/>
        <w:gridCol w:w="858"/>
        <w:gridCol w:w="858"/>
        <w:gridCol w:w="858"/>
        <w:gridCol w:w="5082"/>
      </w:tblGrid>
      <w:tr w:rsidR="00E434E7" w14:paraId="70F28A6A" w14:textId="77777777" w:rsidTr="00D83ECB">
        <w:trPr>
          <w:tblHeader/>
          <w:tblCellSpacing w:w="15" w:type="dxa"/>
        </w:trPr>
        <w:tc>
          <w:tcPr>
            <w:tcW w:w="0" w:type="auto"/>
            <w:shd w:val="clear" w:color="auto" w:fill="DDDDD8" w:themeFill="text2" w:themeFillTint="33"/>
            <w:vAlign w:val="center"/>
            <w:hideMark/>
          </w:tcPr>
          <w:p w14:paraId="0E3A7E41" w14:textId="77777777" w:rsidR="00E434E7" w:rsidRDefault="00E434E7" w:rsidP="00D83ECB">
            <w:pPr>
              <w:jc w:val="center"/>
              <w:rPr>
                <w:b/>
                <w:bCs/>
              </w:rPr>
            </w:pPr>
            <w:r>
              <w:rPr>
                <w:rStyle w:val="Strong"/>
              </w:rPr>
              <w:t>Ratio</w:t>
            </w:r>
          </w:p>
        </w:tc>
        <w:tc>
          <w:tcPr>
            <w:tcW w:w="0" w:type="auto"/>
            <w:shd w:val="clear" w:color="auto" w:fill="DDDDD8" w:themeFill="text2" w:themeFillTint="33"/>
            <w:vAlign w:val="center"/>
            <w:hideMark/>
          </w:tcPr>
          <w:p w14:paraId="750A4480" w14:textId="77777777" w:rsidR="00E434E7" w:rsidRDefault="00E434E7" w:rsidP="00D83ECB">
            <w:pPr>
              <w:jc w:val="center"/>
              <w:rPr>
                <w:b/>
                <w:bCs/>
              </w:rPr>
            </w:pPr>
            <w:r>
              <w:rPr>
                <w:rStyle w:val="Strong"/>
              </w:rPr>
              <w:t>FY 2022–23</w:t>
            </w:r>
          </w:p>
        </w:tc>
        <w:tc>
          <w:tcPr>
            <w:tcW w:w="0" w:type="auto"/>
            <w:shd w:val="clear" w:color="auto" w:fill="DDDDD8" w:themeFill="text2" w:themeFillTint="33"/>
            <w:vAlign w:val="center"/>
            <w:hideMark/>
          </w:tcPr>
          <w:p w14:paraId="25F2C7E1" w14:textId="77777777" w:rsidR="00E434E7" w:rsidRDefault="00E434E7" w:rsidP="00D83ECB">
            <w:pPr>
              <w:jc w:val="center"/>
              <w:rPr>
                <w:b/>
                <w:bCs/>
              </w:rPr>
            </w:pPr>
            <w:r>
              <w:rPr>
                <w:rStyle w:val="Strong"/>
              </w:rPr>
              <w:t>FY 2023–24</w:t>
            </w:r>
          </w:p>
        </w:tc>
        <w:tc>
          <w:tcPr>
            <w:tcW w:w="0" w:type="auto"/>
            <w:shd w:val="clear" w:color="auto" w:fill="DDDDD8" w:themeFill="text2" w:themeFillTint="33"/>
            <w:vAlign w:val="center"/>
            <w:hideMark/>
          </w:tcPr>
          <w:p w14:paraId="6DEAD36F" w14:textId="77777777" w:rsidR="00E434E7" w:rsidRDefault="00E434E7" w:rsidP="00D83ECB">
            <w:pPr>
              <w:jc w:val="center"/>
              <w:rPr>
                <w:b/>
                <w:bCs/>
              </w:rPr>
            </w:pPr>
            <w:r>
              <w:rPr>
                <w:rStyle w:val="Strong"/>
              </w:rPr>
              <w:t>FY 2024–25</w:t>
            </w:r>
          </w:p>
        </w:tc>
        <w:tc>
          <w:tcPr>
            <w:tcW w:w="0" w:type="auto"/>
            <w:shd w:val="clear" w:color="auto" w:fill="DDDDD8" w:themeFill="text2" w:themeFillTint="33"/>
            <w:vAlign w:val="center"/>
            <w:hideMark/>
          </w:tcPr>
          <w:p w14:paraId="64BE3B37" w14:textId="77777777" w:rsidR="00E434E7" w:rsidRDefault="00E434E7" w:rsidP="00D83ECB">
            <w:pPr>
              <w:jc w:val="center"/>
              <w:rPr>
                <w:b/>
                <w:bCs/>
              </w:rPr>
            </w:pPr>
            <w:r>
              <w:rPr>
                <w:rStyle w:val="Strong"/>
              </w:rPr>
              <w:t>Trend &amp; Commentary</w:t>
            </w:r>
          </w:p>
        </w:tc>
      </w:tr>
      <w:tr w:rsidR="00E434E7" w14:paraId="21D95CD7" w14:textId="77777777" w:rsidTr="00D83ECB">
        <w:trPr>
          <w:tblCellSpacing w:w="15" w:type="dxa"/>
        </w:trPr>
        <w:tc>
          <w:tcPr>
            <w:tcW w:w="0" w:type="auto"/>
            <w:shd w:val="clear" w:color="auto" w:fill="DDDDD8" w:themeFill="text2" w:themeFillTint="33"/>
            <w:vAlign w:val="center"/>
            <w:hideMark/>
          </w:tcPr>
          <w:p w14:paraId="23B4F1C1" w14:textId="77777777" w:rsidR="00E434E7" w:rsidRDefault="00E434E7" w:rsidP="00D83ECB">
            <w:r>
              <w:rPr>
                <w:rStyle w:val="Strong"/>
              </w:rPr>
              <w:t>Debt-to-Equity Ratio</w:t>
            </w:r>
          </w:p>
        </w:tc>
        <w:tc>
          <w:tcPr>
            <w:tcW w:w="0" w:type="auto"/>
            <w:shd w:val="clear" w:color="auto" w:fill="DDDDD8" w:themeFill="text2" w:themeFillTint="33"/>
            <w:vAlign w:val="center"/>
            <w:hideMark/>
          </w:tcPr>
          <w:p w14:paraId="6FAB4CA8" w14:textId="77777777" w:rsidR="00E434E7" w:rsidRDefault="00E434E7" w:rsidP="00D83ECB">
            <w:r>
              <w:t>0.77</w:t>
            </w:r>
          </w:p>
        </w:tc>
        <w:tc>
          <w:tcPr>
            <w:tcW w:w="0" w:type="auto"/>
            <w:shd w:val="clear" w:color="auto" w:fill="DDDDD8" w:themeFill="text2" w:themeFillTint="33"/>
            <w:vAlign w:val="center"/>
            <w:hideMark/>
          </w:tcPr>
          <w:p w14:paraId="19A8B72E" w14:textId="77777777" w:rsidR="00E434E7" w:rsidRDefault="00E434E7" w:rsidP="00D83ECB">
            <w:r>
              <w:t>0.90</w:t>
            </w:r>
          </w:p>
        </w:tc>
        <w:tc>
          <w:tcPr>
            <w:tcW w:w="0" w:type="auto"/>
            <w:shd w:val="clear" w:color="auto" w:fill="DDDDD8" w:themeFill="text2" w:themeFillTint="33"/>
            <w:vAlign w:val="center"/>
            <w:hideMark/>
          </w:tcPr>
          <w:p w14:paraId="788813C8" w14:textId="77777777" w:rsidR="00E434E7" w:rsidRDefault="00E434E7" w:rsidP="00D83ECB">
            <w:r>
              <w:t>0.99</w:t>
            </w:r>
          </w:p>
        </w:tc>
        <w:tc>
          <w:tcPr>
            <w:tcW w:w="0" w:type="auto"/>
            <w:shd w:val="clear" w:color="auto" w:fill="DDDDD8" w:themeFill="text2" w:themeFillTint="33"/>
            <w:vAlign w:val="center"/>
            <w:hideMark/>
          </w:tcPr>
          <w:p w14:paraId="176BE914" w14:textId="77777777" w:rsidR="00E434E7" w:rsidRDefault="00E434E7" w:rsidP="00D83ECB">
            <w:r>
              <w:rPr>
                <w:rFonts w:ascii="Segoe UI Symbol" w:hAnsi="Segoe UI Symbol" w:cs="Segoe UI Symbol"/>
              </w:rPr>
              <w:t>📈</w:t>
            </w:r>
            <w:r>
              <w:t xml:space="preserve"> Rising trend indicates increasing financial leverage; driven by expansion and restructuring.</w:t>
            </w:r>
          </w:p>
        </w:tc>
      </w:tr>
      <w:tr w:rsidR="00E434E7" w14:paraId="4090044E" w14:textId="77777777" w:rsidTr="00D83ECB">
        <w:trPr>
          <w:tblCellSpacing w:w="15" w:type="dxa"/>
        </w:trPr>
        <w:tc>
          <w:tcPr>
            <w:tcW w:w="0" w:type="auto"/>
            <w:shd w:val="clear" w:color="auto" w:fill="DDDDD8" w:themeFill="text2" w:themeFillTint="33"/>
            <w:vAlign w:val="center"/>
            <w:hideMark/>
          </w:tcPr>
          <w:p w14:paraId="2ACB5CE7" w14:textId="77777777" w:rsidR="00E434E7" w:rsidRDefault="00E434E7" w:rsidP="00D83ECB">
            <w:r>
              <w:rPr>
                <w:rStyle w:val="Strong"/>
              </w:rPr>
              <w:t>Interest Coverage Ratio</w:t>
            </w:r>
          </w:p>
        </w:tc>
        <w:tc>
          <w:tcPr>
            <w:tcW w:w="0" w:type="auto"/>
            <w:shd w:val="clear" w:color="auto" w:fill="DDDDD8" w:themeFill="text2" w:themeFillTint="33"/>
            <w:vAlign w:val="center"/>
            <w:hideMark/>
          </w:tcPr>
          <w:p w14:paraId="56B7D79E" w14:textId="77777777" w:rsidR="00E434E7" w:rsidRDefault="00E434E7" w:rsidP="00D83ECB">
            <w:r>
              <w:t>3.83</w:t>
            </w:r>
          </w:p>
        </w:tc>
        <w:tc>
          <w:tcPr>
            <w:tcW w:w="0" w:type="auto"/>
            <w:shd w:val="clear" w:color="auto" w:fill="DDDDD8" w:themeFill="text2" w:themeFillTint="33"/>
            <w:vAlign w:val="center"/>
            <w:hideMark/>
          </w:tcPr>
          <w:p w14:paraId="65D7B019" w14:textId="77777777" w:rsidR="00E434E7" w:rsidRDefault="00E434E7" w:rsidP="00D83ECB">
            <w:r>
              <w:t>0.85</w:t>
            </w:r>
          </w:p>
        </w:tc>
        <w:tc>
          <w:tcPr>
            <w:tcW w:w="0" w:type="auto"/>
            <w:shd w:val="clear" w:color="auto" w:fill="DDDDD8" w:themeFill="text2" w:themeFillTint="33"/>
            <w:vAlign w:val="center"/>
            <w:hideMark/>
          </w:tcPr>
          <w:p w14:paraId="1E8B97E9" w14:textId="77777777" w:rsidR="00E434E7" w:rsidRDefault="00E434E7" w:rsidP="00D83ECB">
            <w:r>
              <w:t>2.12</w:t>
            </w:r>
          </w:p>
        </w:tc>
        <w:tc>
          <w:tcPr>
            <w:tcW w:w="0" w:type="auto"/>
            <w:shd w:val="clear" w:color="auto" w:fill="DDDDD8" w:themeFill="text2" w:themeFillTint="33"/>
            <w:vAlign w:val="center"/>
            <w:hideMark/>
          </w:tcPr>
          <w:p w14:paraId="6C4F7D8A" w14:textId="77777777" w:rsidR="00E434E7" w:rsidRDefault="00E434E7" w:rsidP="00D83ECB">
            <w:r>
              <w:rPr>
                <w:rFonts w:ascii="Segoe UI Symbol" w:hAnsi="Segoe UI Symbol" w:cs="Segoe UI Symbol"/>
              </w:rPr>
              <w:t>📉</w:t>
            </w:r>
            <w:r>
              <w:t xml:space="preserve"> Sharp dip in FY24 due to lower operating income; partial recovery in FY25 shows improved debt servicing capacity.</w:t>
            </w:r>
          </w:p>
        </w:tc>
      </w:tr>
    </w:tbl>
    <w:p w14:paraId="7001F0D6" w14:textId="77777777" w:rsidR="00E434E7" w:rsidRDefault="00000000" w:rsidP="00E434E7">
      <w:r>
        <w:pict w14:anchorId="68B42422">
          <v:rect id="_x0000_i1028" style="width:0;height:1.5pt" o:hralign="center" o:hrstd="t" o:hr="t" fillcolor="#a0a0a0" stroked="f"/>
        </w:pict>
      </w:r>
    </w:p>
    <w:p w14:paraId="15812D0B" w14:textId="77777777" w:rsidR="00E434E7" w:rsidRDefault="00E434E7" w:rsidP="00E434E7">
      <w:pPr>
        <w:pStyle w:val="Heading3"/>
      </w:pPr>
      <w:r>
        <w:rPr>
          <w:rFonts w:ascii="Segoe UI Symbol" w:hAnsi="Segoe UI Symbol" w:cs="Segoe UI Symbol"/>
        </w:rPr>
        <w:t>🔍</w:t>
      </w:r>
      <w:r>
        <w:t xml:space="preserve"> Summary</w:t>
      </w:r>
    </w:p>
    <w:p w14:paraId="17A9B6AC" w14:textId="77777777" w:rsidR="00E434E7" w:rsidRDefault="00E434E7" w:rsidP="00E434E7">
      <w:pPr>
        <w:widowControl/>
        <w:numPr>
          <w:ilvl w:val="0"/>
          <w:numId w:val="19"/>
        </w:numPr>
        <w:autoSpaceDE/>
        <w:autoSpaceDN/>
        <w:spacing w:before="100" w:beforeAutospacing="1" w:after="100" w:afterAutospacing="1"/>
      </w:pPr>
      <w:r>
        <w:rPr>
          <w:rStyle w:val="Strong"/>
        </w:rPr>
        <w:t>Debt-to-Equity</w:t>
      </w:r>
      <w:r>
        <w:t xml:space="preserve">: Tata Steel’s leverage has increased over the years, reflecting capital-intensive investments (e.g., </w:t>
      </w:r>
      <w:proofErr w:type="spellStart"/>
      <w:r>
        <w:t>Kalinganagar</w:t>
      </w:r>
      <w:proofErr w:type="spellEnd"/>
      <w:r>
        <w:t xml:space="preserve"> expansion, green steel transition).</w:t>
      </w:r>
    </w:p>
    <w:p w14:paraId="64D19662" w14:textId="77777777" w:rsidR="00E434E7" w:rsidRDefault="00E434E7" w:rsidP="00E434E7">
      <w:pPr>
        <w:widowControl/>
        <w:numPr>
          <w:ilvl w:val="0"/>
          <w:numId w:val="19"/>
        </w:numPr>
        <w:autoSpaceDE/>
        <w:autoSpaceDN/>
        <w:spacing w:before="100" w:beforeAutospacing="1" w:after="100" w:afterAutospacing="1"/>
      </w:pPr>
      <w:r>
        <w:rPr>
          <w:rStyle w:val="Strong"/>
        </w:rPr>
        <w:t>Interest Coverage</w:t>
      </w:r>
      <w:r>
        <w:t>: FY 2023–24 saw a significant drop due to weak profitability and high interest costs, but FY 2024–25 shows signs of operational recovery.</w:t>
      </w:r>
    </w:p>
    <w:p w14:paraId="57832CC1" w14:textId="77777777" w:rsidR="00E434E7" w:rsidRPr="007C7C29" w:rsidRDefault="00000000" w:rsidP="00E434E7">
      <w:r>
        <w:pict w14:anchorId="61DB1E3E">
          <v:rect id="_x0000_i1029" style="width:0;height:1.5pt" o:hralign="center" o:hrstd="t" o:hr="t" fillcolor="#a0a0a0" stroked="f"/>
        </w:pict>
      </w:r>
      <w:r w:rsidR="00E434E7">
        <w:br/>
      </w:r>
    </w:p>
    <w:p w14:paraId="5E58CB51" w14:textId="77777777" w:rsidR="00E434E7" w:rsidRPr="007C7C29" w:rsidRDefault="00E434E7" w:rsidP="00E434E7">
      <w:pPr>
        <w:pStyle w:val="ListParagraph"/>
        <w:widowControl/>
        <w:numPr>
          <w:ilvl w:val="0"/>
          <w:numId w:val="4"/>
        </w:numPr>
        <w:autoSpaceDE/>
        <w:autoSpaceDN/>
        <w:spacing w:after="120" w:line="264" w:lineRule="auto"/>
        <w:contextualSpacing/>
        <w:rPr>
          <w:rFonts w:ascii="Book Antiqua" w:hAnsi="Book Antiqua"/>
        </w:rPr>
      </w:pPr>
      <w:r w:rsidRPr="007C7C29">
        <w:rPr>
          <w:rFonts w:ascii="Book Antiqua" w:hAnsi="Book Antiqua"/>
        </w:rPr>
        <w:t>Valuation ration:</w:t>
      </w:r>
    </w:p>
    <w:p w14:paraId="0F7CCF26" w14:textId="77777777" w:rsidR="00E434E7" w:rsidRPr="00CA0591" w:rsidRDefault="00E434E7" w:rsidP="00E434E7">
      <w:pPr>
        <w:pStyle w:val="ListParagraph"/>
        <w:widowControl/>
        <w:numPr>
          <w:ilvl w:val="0"/>
          <w:numId w:val="3"/>
        </w:numPr>
        <w:autoSpaceDE/>
        <w:autoSpaceDN/>
        <w:spacing w:after="120" w:line="264" w:lineRule="auto"/>
        <w:contextualSpacing/>
        <w:rPr>
          <w:rStyle w:val="Hyperlink"/>
          <w:color w:val="auto"/>
          <w:u w:val="none"/>
        </w:rPr>
      </w:pPr>
      <w:r>
        <w:lastRenderedPageBreak/>
        <w:t xml:space="preserve">Price-to-Earnings Ratio (P/E Ratio)- </w:t>
      </w:r>
      <w:hyperlink r:id="rId13" w:history="1">
        <w:r>
          <w:rPr>
            <w:rStyle w:val="Hyperlink"/>
          </w:rPr>
          <w:t>TATA STEEL Price/</w:t>
        </w:r>
        <w:proofErr w:type="gramStart"/>
        <w:r>
          <w:rPr>
            <w:rStyle w:val="Hyperlink"/>
          </w:rPr>
          <w:t>Earnings(</w:t>
        </w:r>
        <w:proofErr w:type="gramEnd"/>
        <w:r>
          <w:rPr>
            <w:rStyle w:val="Hyperlink"/>
          </w:rPr>
          <w:t>PE) Ratio-11 Aug,2025</w:t>
        </w:r>
      </w:hyperlink>
    </w:p>
    <w:p w14:paraId="4223ADC9" w14:textId="77777777" w:rsidR="00E434E7" w:rsidRDefault="00E434E7" w:rsidP="00E434E7">
      <w:pPr>
        <w:pStyle w:val="NormalWeb"/>
      </w:pPr>
      <w:r>
        <w:t xml:space="preserve">Here’s a </w:t>
      </w:r>
      <w:r>
        <w:rPr>
          <w:rStyle w:val="Strong"/>
        </w:rPr>
        <w:t>trend table</w:t>
      </w:r>
      <w:r>
        <w:t xml:space="preserve"> for Tata Steel </w:t>
      </w:r>
      <w:proofErr w:type="spellStart"/>
      <w:r>
        <w:t>Ltd’s</w:t>
      </w:r>
      <w:proofErr w:type="spellEnd"/>
      <w:r>
        <w:t xml:space="preserve"> </w:t>
      </w:r>
      <w:r>
        <w:rPr>
          <w:rStyle w:val="Strong"/>
        </w:rPr>
        <w:t>Price-to-Earnings (P/E) Ratio</w:t>
      </w:r>
      <w:r>
        <w:t xml:space="preserve"> over the last three fiscal years, along with commentary:</w:t>
      </w:r>
    </w:p>
    <w:p w14:paraId="6DCECEB6" w14:textId="77777777" w:rsidR="00E434E7" w:rsidRDefault="00000000" w:rsidP="00E434E7">
      <w:r>
        <w:pict w14:anchorId="2E240DF6">
          <v:rect id="_x0000_i1030" style="width:0;height:1.5pt" o:hralign="center" o:hrstd="t" o:hr="t" fillcolor="#a0a0a0" stroked="f"/>
        </w:pict>
      </w:r>
    </w:p>
    <w:p w14:paraId="31DCFC07" w14:textId="77777777" w:rsidR="00E434E7" w:rsidRDefault="00E434E7" w:rsidP="00E434E7">
      <w:pPr>
        <w:pStyle w:val="Heading2"/>
      </w:pPr>
      <w:r>
        <w:rPr>
          <w:rFonts w:ascii="Segoe UI Symbol" w:hAnsi="Segoe UI Symbol" w:cs="Segoe UI Symbol"/>
        </w:rPr>
        <w:t>📊</w:t>
      </w:r>
      <w:r>
        <w:t xml:space="preserve"> </w:t>
      </w:r>
      <w:r>
        <w:rPr>
          <w:rStyle w:val="Strong"/>
          <w:b w:val="0"/>
          <w:bCs w:val="0"/>
        </w:rPr>
        <w:t>Trend Table – Valuation Ratio (P/E Ratio)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DDDD8" w:themeFill="text2" w:themeFillTint="33"/>
        <w:tblCellMar>
          <w:top w:w="15" w:type="dxa"/>
          <w:left w:w="15" w:type="dxa"/>
          <w:bottom w:w="15" w:type="dxa"/>
          <w:right w:w="15" w:type="dxa"/>
        </w:tblCellMar>
        <w:tblLook w:val="04A0" w:firstRow="1" w:lastRow="0" w:firstColumn="1" w:lastColumn="0" w:noHBand="0" w:noVBand="1"/>
      </w:tblPr>
      <w:tblGrid>
        <w:gridCol w:w="1170"/>
        <w:gridCol w:w="967"/>
        <w:gridCol w:w="7050"/>
      </w:tblGrid>
      <w:tr w:rsidR="00E434E7" w14:paraId="06B2D39C" w14:textId="77777777" w:rsidTr="00D83ECB">
        <w:trPr>
          <w:tblHeader/>
          <w:tblCellSpacing w:w="15" w:type="dxa"/>
        </w:trPr>
        <w:tc>
          <w:tcPr>
            <w:tcW w:w="0" w:type="auto"/>
            <w:shd w:val="clear" w:color="auto" w:fill="DDDDD8" w:themeFill="text2" w:themeFillTint="33"/>
            <w:vAlign w:val="center"/>
            <w:hideMark/>
          </w:tcPr>
          <w:p w14:paraId="05BD5F34" w14:textId="77777777" w:rsidR="00E434E7" w:rsidRDefault="00E434E7" w:rsidP="00D83ECB">
            <w:pPr>
              <w:jc w:val="center"/>
              <w:rPr>
                <w:b/>
                <w:bCs/>
              </w:rPr>
            </w:pPr>
            <w:r>
              <w:rPr>
                <w:rStyle w:val="Strong"/>
              </w:rPr>
              <w:t>Year</w:t>
            </w:r>
          </w:p>
        </w:tc>
        <w:tc>
          <w:tcPr>
            <w:tcW w:w="0" w:type="auto"/>
            <w:shd w:val="clear" w:color="auto" w:fill="DDDDD8" w:themeFill="text2" w:themeFillTint="33"/>
            <w:vAlign w:val="center"/>
            <w:hideMark/>
          </w:tcPr>
          <w:p w14:paraId="4CFA0C61" w14:textId="77777777" w:rsidR="00E434E7" w:rsidRDefault="00E434E7" w:rsidP="00D83ECB">
            <w:pPr>
              <w:jc w:val="center"/>
              <w:rPr>
                <w:b/>
                <w:bCs/>
              </w:rPr>
            </w:pPr>
            <w:r>
              <w:rPr>
                <w:rStyle w:val="Strong"/>
              </w:rPr>
              <w:t>P/E Ratio</w:t>
            </w:r>
          </w:p>
        </w:tc>
        <w:tc>
          <w:tcPr>
            <w:tcW w:w="0" w:type="auto"/>
            <w:shd w:val="clear" w:color="auto" w:fill="DDDDD8" w:themeFill="text2" w:themeFillTint="33"/>
            <w:vAlign w:val="center"/>
            <w:hideMark/>
          </w:tcPr>
          <w:p w14:paraId="2FB9D1D0" w14:textId="77777777" w:rsidR="00E434E7" w:rsidRDefault="00E434E7" w:rsidP="00D83ECB">
            <w:pPr>
              <w:jc w:val="center"/>
              <w:rPr>
                <w:b/>
                <w:bCs/>
              </w:rPr>
            </w:pPr>
            <w:r>
              <w:rPr>
                <w:rStyle w:val="Strong"/>
              </w:rPr>
              <w:t>Commentary</w:t>
            </w:r>
          </w:p>
        </w:tc>
      </w:tr>
      <w:tr w:rsidR="00E434E7" w14:paraId="1C19E122" w14:textId="77777777" w:rsidTr="00D83ECB">
        <w:trPr>
          <w:tblCellSpacing w:w="15" w:type="dxa"/>
        </w:trPr>
        <w:tc>
          <w:tcPr>
            <w:tcW w:w="0" w:type="auto"/>
            <w:shd w:val="clear" w:color="auto" w:fill="DDDDD8" w:themeFill="text2" w:themeFillTint="33"/>
            <w:vAlign w:val="center"/>
            <w:hideMark/>
          </w:tcPr>
          <w:p w14:paraId="156CC03F" w14:textId="77777777" w:rsidR="00E434E7" w:rsidRDefault="00E434E7" w:rsidP="00D83ECB">
            <w:r>
              <w:rPr>
                <w:rStyle w:val="Strong"/>
              </w:rPr>
              <w:t>FY 2022–23</w:t>
            </w:r>
          </w:p>
        </w:tc>
        <w:tc>
          <w:tcPr>
            <w:tcW w:w="0" w:type="auto"/>
            <w:shd w:val="clear" w:color="auto" w:fill="DDDDD8" w:themeFill="text2" w:themeFillTint="33"/>
            <w:vAlign w:val="center"/>
            <w:hideMark/>
          </w:tcPr>
          <w:p w14:paraId="0817E9B0" w14:textId="77777777" w:rsidR="00E434E7" w:rsidRDefault="00E434E7" w:rsidP="00D83ECB">
            <w:r>
              <w:rPr>
                <w:rStyle w:val="Strong"/>
              </w:rPr>
              <w:t>14.57x</w:t>
            </w:r>
          </w:p>
        </w:tc>
        <w:tc>
          <w:tcPr>
            <w:tcW w:w="0" w:type="auto"/>
            <w:shd w:val="clear" w:color="auto" w:fill="DDDDD8" w:themeFill="text2" w:themeFillTint="33"/>
            <w:vAlign w:val="center"/>
            <w:hideMark/>
          </w:tcPr>
          <w:p w14:paraId="186CAC47" w14:textId="77777777" w:rsidR="00E434E7" w:rsidRDefault="00E434E7" w:rsidP="00D83ECB">
            <w:r>
              <w:rPr>
                <w:rFonts w:ascii="Segoe UI Symbol" w:hAnsi="Segoe UI Symbol" w:cs="Segoe UI Symbol"/>
              </w:rPr>
              <w:t>📈</w:t>
            </w:r>
            <w:r>
              <w:t xml:space="preserve"> Reasonable valuation; reflects moderate investor confidence and stable earnings.</w:t>
            </w:r>
          </w:p>
        </w:tc>
      </w:tr>
      <w:tr w:rsidR="00E434E7" w14:paraId="42C6304B" w14:textId="77777777" w:rsidTr="00D83ECB">
        <w:trPr>
          <w:tblCellSpacing w:w="15" w:type="dxa"/>
        </w:trPr>
        <w:tc>
          <w:tcPr>
            <w:tcW w:w="0" w:type="auto"/>
            <w:shd w:val="clear" w:color="auto" w:fill="DDDDD8" w:themeFill="text2" w:themeFillTint="33"/>
            <w:vAlign w:val="center"/>
            <w:hideMark/>
          </w:tcPr>
          <w:p w14:paraId="27DE97D1" w14:textId="77777777" w:rsidR="00E434E7" w:rsidRDefault="00E434E7" w:rsidP="00D83ECB">
            <w:r>
              <w:rPr>
                <w:rStyle w:val="Strong"/>
              </w:rPr>
              <w:t>FY 2023–24</w:t>
            </w:r>
          </w:p>
        </w:tc>
        <w:tc>
          <w:tcPr>
            <w:tcW w:w="0" w:type="auto"/>
            <w:shd w:val="clear" w:color="auto" w:fill="DDDDD8" w:themeFill="text2" w:themeFillTint="33"/>
            <w:vAlign w:val="center"/>
            <w:hideMark/>
          </w:tcPr>
          <w:p w14:paraId="2172E4D3" w14:textId="77777777" w:rsidR="00E434E7" w:rsidRDefault="00E434E7" w:rsidP="00D83ECB">
            <w:r>
              <w:rPr>
                <w:rStyle w:val="Strong"/>
              </w:rPr>
              <w:t>–43.07x</w:t>
            </w:r>
          </w:p>
        </w:tc>
        <w:tc>
          <w:tcPr>
            <w:tcW w:w="0" w:type="auto"/>
            <w:shd w:val="clear" w:color="auto" w:fill="DDDDD8" w:themeFill="text2" w:themeFillTint="33"/>
            <w:vAlign w:val="center"/>
            <w:hideMark/>
          </w:tcPr>
          <w:p w14:paraId="4FC13975" w14:textId="77777777" w:rsidR="00E434E7" w:rsidRDefault="00E434E7" w:rsidP="00D83ECB">
            <w:r>
              <w:rPr>
                <w:rFonts w:ascii="Segoe UI Symbol" w:hAnsi="Segoe UI Symbol" w:cs="Segoe UI Symbol"/>
              </w:rPr>
              <w:t>📉</w:t>
            </w:r>
            <w:r>
              <w:t xml:space="preserve"> Negative P/E due to net loss; indicates poor earnings and valuation disconnect.</w:t>
            </w:r>
          </w:p>
        </w:tc>
      </w:tr>
      <w:tr w:rsidR="00E434E7" w14:paraId="4DA9EB6B" w14:textId="77777777" w:rsidTr="00D83ECB">
        <w:trPr>
          <w:tblCellSpacing w:w="15" w:type="dxa"/>
        </w:trPr>
        <w:tc>
          <w:tcPr>
            <w:tcW w:w="0" w:type="auto"/>
            <w:shd w:val="clear" w:color="auto" w:fill="DDDDD8" w:themeFill="text2" w:themeFillTint="33"/>
            <w:vAlign w:val="center"/>
            <w:hideMark/>
          </w:tcPr>
          <w:p w14:paraId="48379193" w14:textId="77777777" w:rsidR="00E434E7" w:rsidRDefault="00E434E7" w:rsidP="00D83ECB">
            <w:r>
              <w:rPr>
                <w:rStyle w:val="Strong"/>
              </w:rPr>
              <w:t>FY 2024–25</w:t>
            </w:r>
          </w:p>
        </w:tc>
        <w:tc>
          <w:tcPr>
            <w:tcW w:w="0" w:type="auto"/>
            <w:shd w:val="clear" w:color="auto" w:fill="DDDDD8" w:themeFill="text2" w:themeFillTint="33"/>
            <w:vAlign w:val="center"/>
            <w:hideMark/>
          </w:tcPr>
          <w:p w14:paraId="16D89690" w14:textId="77777777" w:rsidR="00E434E7" w:rsidRDefault="00E434E7" w:rsidP="00D83ECB">
            <w:r>
              <w:rPr>
                <w:rStyle w:val="Strong"/>
              </w:rPr>
              <w:t>56.30x</w:t>
            </w:r>
          </w:p>
        </w:tc>
        <w:tc>
          <w:tcPr>
            <w:tcW w:w="0" w:type="auto"/>
            <w:shd w:val="clear" w:color="auto" w:fill="DDDDD8" w:themeFill="text2" w:themeFillTint="33"/>
            <w:vAlign w:val="center"/>
            <w:hideMark/>
          </w:tcPr>
          <w:p w14:paraId="0E14C3D8" w14:textId="77777777" w:rsidR="00E434E7" w:rsidRDefault="00E434E7" w:rsidP="00D83ECB">
            <w:r>
              <w:rPr>
                <w:rFonts w:ascii="Segoe UI Symbol" w:hAnsi="Segoe UI Symbol" w:cs="Segoe UI Symbol"/>
              </w:rPr>
              <w:t>📈</w:t>
            </w:r>
            <w:r>
              <w:t xml:space="preserve"> Sharp rise; suggests high investor expectations despite modest earnings recovery.</w:t>
            </w:r>
          </w:p>
        </w:tc>
      </w:tr>
    </w:tbl>
    <w:p w14:paraId="0AB93952" w14:textId="77777777" w:rsidR="00E434E7" w:rsidRDefault="00000000" w:rsidP="00E434E7">
      <w:r>
        <w:pict w14:anchorId="38385D40">
          <v:rect id="_x0000_i1031" style="width:0;height:1.5pt" o:hralign="center" o:hrstd="t" o:hr="t" fillcolor="#a0a0a0" stroked="f"/>
        </w:pict>
      </w:r>
    </w:p>
    <w:p w14:paraId="7ED8C345" w14:textId="77777777" w:rsidR="00E434E7" w:rsidRDefault="00E434E7" w:rsidP="00E434E7">
      <w:pPr>
        <w:pStyle w:val="Heading3"/>
      </w:pPr>
      <w:r>
        <w:rPr>
          <w:rFonts w:ascii="Segoe UI Symbol" w:hAnsi="Segoe UI Symbol" w:cs="Segoe UI Symbol"/>
        </w:rPr>
        <w:t>🔍</w:t>
      </w:r>
      <w:r>
        <w:t xml:space="preserve"> Summary</w:t>
      </w:r>
    </w:p>
    <w:p w14:paraId="5CC82F04" w14:textId="77777777" w:rsidR="00E434E7" w:rsidRDefault="00E434E7" w:rsidP="00E434E7">
      <w:pPr>
        <w:widowControl/>
        <w:numPr>
          <w:ilvl w:val="0"/>
          <w:numId w:val="20"/>
        </w:numPr>
        <w:autoSpaceDE/>
        <w:autoSpaceDN/>
        <w:spacing w:before="100" w:beforeAutospacing="1" w:after="100" w:afterAutospacing="1"/>
      </w:pPr>
      <w:r>
        <w:rPr>
          <w:rStyle w:val="Strong"/>
        </w:rPr>
        <w:t>FY 2022–23</w:t>
      </w:r>
      <w:r>
        <w:t>: P/E ratio was healthy, aligning with consistent profitability.</w:t>
      </w:r>
    </w:p>
    <w:p w14:paraId="06C09D86" w14:textId="77777777" w:rsidR="00E434E7" w:rsidRDefault="00E434E7" w:rsidP="00E434E7">
      <w:pPr>
        <w:widowControl/>
        <w:numPr>
          <w:ilvl w:val="0"/>
          <w:numId w:val="20"/>
        </w:numPr>
        <w:autoSpaceDE/>
        <w:autoSpaceDN/>
        <w:spacing w:before="100" w:beforeAutospacing="1" w:after="100" w:afterAutospacing="1"/>
      </w:pPr>
      <w:r>
        <w:rPr>
          <w:rStyle w:val="Strong"/>
        </w:rPr>
        <w:t>FY 2023–24</w:t>
      </w:r>
      <w:r>
        <w:t>: Turned negative due to losses, making valuation metrics unreliable.</w:t>
      </w:r>
    </w:p>
    <w:p w14:paraId="2667D4D4" w14:textId="77777777" w:rsidR="00E434E7" w:rsidRDefault="00E434E7" w:rsidP="00E434E7">
      <w:pPr>
        <w:widowControl/>
        <w:numPr>
          <w:ilvl w:val="0"/>
          <w:numId w:val="20"/>
        </w:numPr>
        <w:autoSpaceDE/>
        <w:autoSpaceDN/>
        <w:spacing w:before="100" w:beforeAutospacing="1" w:after="100" w:afterAutospacing="1"/>
      </w:pPr>
      <w:r>
        <w:rPr>
          <w:rStyle w:val="Strong"/>
        </w:rPr>
        <w:t>FY 2024–25</w:t>
      </w:r>
      <w:r>
        <w:t xml:space="preserve">: Surged significantly, possibly indicating </w:t>
      </w:r>
      <w:r>
        <w:rPr>
          <w:rStyle w:val="Strong"/>
        </w:rPr>
        <w:t>overvaluation</w:t>
      </w:r>
      <w:r>
        <w:t xml:space="preserve"> or </w:t>
      </w:r>
      <w:r>
        <w:rPr>
          <w:rStyle w:val="Strong"/>
        </w:rPr>
        <w:t>speculative optimism</w:t>
      </w:r>
      <w:r>
        <w:t>, especially as EPS remained modest.</w:t>
      </w:r>
    </w:p>
    <w:p w14:paraId="785C96DD" w14:textId="77777777" w:rsidR="00E434E7" w:rsidRDefault="00E434E7" w:rsidP="00E434E7">
      <w:pPr>
        <w:pStyle w:val="Title"/>
        <w:jc w:val="center"/>
        <w:rPr>
          <w:color w:val="505046" w:themeColor="text2"/>
        </w:rPr>
      </w:pPr>
      <w:r w:rsidRPr="006F0A78">
        <w:t>Part B</w:t>
      </w:r>
    </w:p>
    <w:p w14:paraId="131491ED" w14:textId="77777777" w:rsidR="00E434E7" w:rsidRDefault="00E434E7" w:rsidP="00E434E7">
      <w:pPr>
        <w:pStyle w:val="Heading3"/>
      </w:pPr>
      <w:r>
        <w:rPr>
          <w:rFonts w:ascii="Segoe UI Symbol" w:hAnsi="Segoe UI Symbol" w:cs="Segoe UI Symbol"/>
        </w:rPr>
        <w:t>🏢</w:t>
      </w:r>
      <w:r>
        <w:t xml:space="preserve"> </w:t>
      </w:r>
      <w:r>
        <w:rPr>
          <w:rStyle w:val="Strong"/>
          <w:b w:val="0"/>
          <w:bCs w:val="0"/>
        </w:rPr>
        <w:t>Company Background: Tata Steel Ltd</w:t>
      </w:r>
    </w:p>
    <w:p w14:paraId="172EEB78" w14:textId="77777777" w:rsidR="00E434E7" w:rsidRDefault="00E434E7" w:rsidP="00E434E7">
      <w:pPr>
        <w:pStyle w:val="Heading4"/>
      </w:pPr>
      <w:r>
        <w:rPr>
          <w:rFonts w:ascii="Segoe UI Symbol" w:hAnsi="Segoe UI Symbol" w:cs="Segoe UI Symbol"/>
        </w:rPr>
        <w:t>📜</w:t>
      </w:r>
      <w:r>
        <w:t xml:space="preserve"> History</w:t>
      </w:r>
    </w:p>
    <w:p w14:paraId="7E0C212C" w14:textId="77777777" w:rsidR="00E434E7" w:rsidRDefault="00E434E7" w:rsidP="009552AC">
      <w:pPr>
        <w:widowControl/>
        <w:numPr>
          <w:ilvl w:val="0"/>
          <w:numId w:val="5"/>
        </w:numPr>
        <w:autoSpaceDE/>
        <w:autoSpaceDN/>
        <w:spacing w:before="100" w:beforeAutospacing="1" w:after="100" w:afterAutospacing="1" w:line="264" w:lineRule="auto"/>
      </w:pPr>
      <w:r>
        <w:t xml:space="preserve">Founded in </w:t>
      </w:r>
      <w:r>
        <w:rPr>
          <w:rStyle w:val="Strong"/>
        </w:rPr>
        <w:t>1907</w:t>
      </w:r>
      <w:r>
        <w:t xml:space="preserve"> by </w:t>
      </w:r>
      <w:proofErr w:type="spellStart"/>
      <w:r>
        <w:rPr>
          <w:rStyle w:val="Strong"/>
        </w:rPr>
        <w:t>Jamsetji</w:t>
      </w:r>
      <w:proofErr w:type="spellEnd"/>
      <w:r>
        <w:rPr>
          <w:rStyle w:val="Strong"/>
        </w:rPr>
        <w:t xml:space="preserve"> Tata</w:t>
      </w:r>
      <w:r>
        <w:t>, Tata Steel is one of India’s oldest and most respected industrial companies.</w:t>
      </w:r>
    </w:p>
    <w:p w14:paraId="3261993C" w14:textId="77777777" w:rsidR="00E434E7" w:rsidRDefault="00E434E7" w:rsidP="009552AC">
      <w:pPr>
        <w:widowControl/>
        <w:numPr>
          <w:ilvl w:val="0"/>
          <w:numId w:val="5"/>
        </w:numPr>
        <w:autoSpaceDE/>
        <w:autoSpaceDN/>
        <w:spacing w:before="100" w:beforeAutospacing="1" w:after="100" w:afterAutospacing="1" w:line="264" w:lineRule="auto"/>
      </w:pPr>
      <w:r>
        <w:t xml:space="preserve">Headquartered in </w:t>
      </w:r>
      <w:r>
        <w:rPr>
          <w:rStyle w:val="Strong"/>
        </w:rPr>
        <w:t>Jamshedpur</w:t>
      </w:r>
      <w:r>
        <w:t>, it was the first integrated steel plant in Asia.</w:t>
      </w:r>
    </w:p>
    <w:p w14:paraId="65405D33" w14:textId="77777777" w:rsidR="00E434E7" w:rsidRDefault="00E434E7" w:rsidP="009552AC">
      <w:pPr>
        <w:widowControl/>
        <w:numPr>
          <w:ilvl w:val="0"/>
          <w:numId w:val="5"/>
        </w:numPr>
        <w:autoSpaceDE/>
        <w:autoSpaceDN/>
        <w:spacing w:before="100" w:beforeAutospacing="1" w:after="100" w:afterAutospacing="1" w:line="264" w:lineRule="auto"/>
      </w:pPr>
      <w:r>
        <w:t xml:space="preserve">It is part of the </w:t>
      </w:r>
      <w:r>
        <w:rPr>
          <w:rStyle w:val="Strong"/>
        </w:rPr>
        <w:t>Tata Group</w:t>
      </w:r>
      <w:r>
        <w:t>, a global conglomerate with a legacy of over 150 years.</w:t>
      </w:r>
    </w:p>
    <w:p w14:paraId="71445586" w14:textId="77777777" w:rsidR="00E434E7" w:rsidRDefault="00E434E7" w:rsidP="009552AC">
      <w:pPr>
        <w:widowControl/>
        <w:numPr>
          <w:ilvl w:val="0"/>
          <w:numId w:val="5"/>
        </w:numPr>
        <w:autoSpaceDE/>
        <w:autoSpaceDN/>
        <w:spacing w:before="100" w:beforeAutospacing="1" w:after="100" w:afterAutospacing="1" w:line="264" w:lineRule="auto"/>
      </w:pPr>
      <w:r>
        <w:t xml:space="preserve">Over the decades, Tata Steel has expanded globally, acquiring companies like </w:t>
      </w:r>
      <w:r>
        <w:rPr>
          <w:rStyle w:val="Strong"/>
        </w:rPr>
        <w:t>Corus (UK)</w:t>
      </w:r>
      <w:r>
        <w:t xml:space="preserve"> and establishing operations in </w:t>
      </w:r>
      <w:r>
        <w:rPr>
          <w:rStyle w:val="Strong"/>
        </w:rPr>
        <w:t>Europe, Southeast Asia, and Africa</w:t>
      </w:r>
      <w:r>
        <w:t>.</w:t>
      </w:r>
    </w:p>
    <w:p w14:paraId="6591FA60" w14:textId="77777777" w:rsidR="00E434E7" w:rsidRDefault="00E434E7" w:rsidP="00E434E7">
      <w:pPr>
        <w:pStyle w:val="Heading4"/>
      </w:pPr>
      <w:r>
        <w:rPr>
          <w:rFonts w:ascii="Segoe UI Symbol" w:hAnsi="Segoe UI Symbol" w:cs="Segoe UI Symbol"/>
        </w:rPr>
        <w:t>🎯</w:t>
      </w:r>
      <w:r>
        <w:t xml:space="preserve"> Mission</w:t>
      </w:r>
    </w:p>
    <w:p w14:paraId="2C3F2917" w14:textId="77777777" w:rsidR="00E434E7" w:rsidRDefault="00E434E7" w:rsidP="00E434E7">
      <w:pPr>
        <w:pStyle w:val="NormalWeb"/>
      </w:pPr>
      <w:r>
        <w:rPr>
          <w:rStyle w:val="Emphasis"/>
          <w:rFonts w:eastAsiaTheme="majorEastAsia"/>
        </w:rPr>
        <w:t>"To be the global steel industry benchmark in Value Creation and Corporate Citizenship."</w:t>
      </w:r>
    </w:p>
    <w:p w14:paraId="0E1826A2" w14:textId="77777777" w:rsidR="00E434E7" w:rsidRDefault="00E434E7" w:rsidP="00E434E7">
      <w:pPr>
        <w:widowControl/>
        <w:numPr>
          <w:ilvl w:val="0"/>
          <w:numId w:val="6"/>
        </w:numPr>
        <w:autoSpaceDE/>
        <w:autoSpaceDN/>
        <w:spacing w:before="100" w:beforeAutospacing="1" w:after="100" w:afterAutospacing="1" w:line="264" w:lineRule="auto"/>
      </w:pPr>
      <w:r>
        <w:t>Focuses on delivering superior quality products.</w:t>
      </w:r>
    </w:p>
    <w:p w14:paraId="4F8ECF12" w14:textId="77777777" w:rsidR="00E434E7" w:rsidRDefault="00E434E7" w:rsidP="00E434E7">
      <w:pPr>
        <w:widowControl/>
        <w:numPr>
          <w:ilvl w:val="0"/>
          <w:numId w:val="6"/>
        </w:numPr>
        <w:autoSpaceDE/>
        <w:autoSpaceDN/>
        <w:spacing w:before="100" w:beforeAutospacing="1" w:after="100" w:afterAutospacing="1" w:line="264" w:lineRule="auto"/>
      </w:pPr>
      <w:r>
        <w:t>Emphasizes innovation, sustainability, and ethical business practices.</w:t>
      </w:r>
    </w:p>
    <w:p w14:paraId="34AAC48D" w14:textId="77777777" w:rsidR="00E434E7" w:rsidRDefault="00E434E7" w:rsidP="00E434E7">
      <w:pPr>
        <w:pStyle w:val="Heading4"/>
      </w:pPr>
      <w:r>
        <w:rPr>
          <w:rFonts w:ascii="Segoe UI Symbol" w:hAnsi="Segoe UI Symbol" w:cs="Segoe UI Symbol"/>
        </w:rPr>
        <w:t>👁</w:t>
      </w:r>
      <w:r>
        <w:t>️ Vision</w:t>
      </w:r>
    </w:p>
    <w:p w14:paraId="164314FD" w14:textId="77777777" w:rsidR="00E434E7" w:rsidRDefault="00E434E7" w:rsidP="00E434E7">
      <w:pPr>
        <w:pStyle w:val="NormalWeb"/>
      </w:pPr>
      <w:r>
        <w:rPr>
          <w:rStyle w:val="Emphasis"/>
          <w:rFonts w:eastAsiaTheme="majorEastAsia"/>
        </w:rPr>
        <w:t>"To be a world-class organization in every aspect—producing high-quality steel, driving economic growth, and supporting communities."</w:t>
      </w:r>
    </w:p>
    <w:p w14:paraId="2688F77E" w14:textId="77777777" w:rsidR="00E434E7" w:rsidRDefault="00E434E7" w:rsidP="00E434E7">
      <w:pPr>
        <w:widowControl/>
        <w:numPr>
          <w:ilvl w:val="0"/>
          <w:numId w:val="7"/>
        </w:numPr>
        <w:autoSpaceDE/>
        <w:autoSpaceDN/>
        <w:spacing w:before="100" w:beforeAutospacing="1" w:after="100" w:afterAutospacing="1" w:line="264" w:lineRule="auto"/>
      </w:pPr>
      <w:r>
        <w:t>Aims to scale new heights through technology, talent, and responsible operations.</w:t>
      </w:r>
    </w:p>
    <w:p w14:paraId="6F8B5E7C" w14:textId="77777777" w:rsidR="00E434E7" w:rsidRDefault="00E434E7" w:rsidP="00E434E7">
      <w:pPr>
        <w:pStyle w:val="Heading4"/>
      </w:pPr>
      <w:r w:rsidRPr="00E66DC9">
        <w:rPr>
          <w:rFonts w:ascii="Segoe UI Symbol" w:hAnsi="Segoe UI Symbol" w:cs="Segoe UI Symbol"/>
          <w:sz w:val="32"/>
          <w:szCs w:val="32"/>
        </w:rPr>
        <w:lastRenderedPageBreak/>
        <w:t>🛠</w:t>
      </w:r>
      <w:r w:rsidRPr="00E66DC9">
        <w:rPr>
          <w:sz w:val="32"/>
          <w:szCs w:val="32"/>
        </w:rPr>
        <w:t>️</w:t>
      </w:r>
      <w:r>
        <w:t xml:space="preserve"> Core Products &amp; Services</w:t>
      </w:r>
    </w:p>
    <w:p w14:paraId="50B4A059" w14:textId="77777777" w:rsidR="00E434E7" w:rsidRDefault="00E434E7" w:rsidP="00E434E7">
      <w:pPr>
        <w:widowControl/>
        <w:numPr>
          <w:ilvl w:val="0"/>
          <w:numId w:val="8"/>
        </w:numPr>
        <w:autoSpaceDE/>
        <w:autoSpaceDN/>
        <w:spacing w:before="100" w:beforeAutospacing="1" w:after="100" w:afterAutospacing="1" w:line="264" w:lineRule="auto"/>
      </w:pPr>
      <w:r>
        <w:rPr>
          <w:rStyle w:val="Strong"/>
        </w:rPr>
        <w:t>Flat Products</w:t>
      </w:r>
      <w:r>
        <w:t>: Hot-rolled coils, cold-rolled sheets, galvanized steel.</w:t>
      </w:r>
    </w:p>
    <w:p w14:paraId="3C78665A" w14:textId="77777777" w:rsidR="00E434E7" w:rsidRDefault="00E434E7" w:rsidP="00E434E7">
      <w:pPr>
        <w:widowControl/>
        <w:numPr>
          <w:ilvl w:val="0"/>
          <w:numId w:val="8"/>
        </w:numPr>
        <w:autoSpaceDE/>
        <w:autoSpaceDN/>
        <w:spacing w:before="100" w:beforeAutospacing="1" w:after="100" w:afterAutospacing="1" w:line="264" w:lineRule="auto"/>
      </w:pPr>
      <w:r>
        <w:rPr>
          <w:rStyle w:val="Strong"/>
        </w:rPr>
        <w:t>Long Products</w:t>
      </w:r>
      <w:r>
        <w:t>: Wire rods, rebars, structural steel.</w:t>
      </w:r>
    </w:p>
    <w:p w14:paraId="71FB535F" w14:textId="77777777" w:rsidR="00E434E7" w:rsidRDefault="00E434E7" w:rsidP="00E434E7">
      <w:pPr>
        <w:widowControl/>
        <w:numPr>
          <w:ilvl w:val="0"/>
          <w:numId w:val="8"/>
        </w:numPr>
        <w:autoSpaceDE/>
        <w:autoSpaceDN/>
        <w:spacing w:before="100" w:beforeAutospacing="1" w:after="100" w:afterAutospacing="1" w:line="264" w:lineRule="auto"/>
      </w:pPr>
      <w:r>
        <w:rPr>
          <w:rStyle w:val="Strong"/>
        </w:rPr>
        <w:t>Tubes &amp; Pipes</w:t>
      </w:r>
      <w:r>
        <w:t>: Used in construction, automotive, and infrastructure.</w:t>
      </w:r>
    </w:p>
    <w:p w14:paraId="51BA6B0E" w14:textId="77777777" w:rsidR="00E434E7" w:rsidRDefault="00E434E7" w:rsidP="00E434E7">
      <w:pPr>
        <w:widowControl/>
        <w:numPr>
          <w:ilvl w:val="0"/>
          <w:numId w:val="8"/>
        </w:numPr>
        <w:autoSpaceDE/>
        <w:autoSpaceDN/>
        <w:spacing w:before="100" w:beforeAutospacing="1" w:after="100" w:afterAutospacing="1" w:line="264" w:lineRule="auto"/>
      </w:pPr>
      <w:r>
        <w:rPr>
          <w:rStyle w:val="Strong"/>
        </w:rPr>
        <w:t>Specialty Steel</w:t>
      </w:r>
      <w:r>
        <w:t xml:space="preserve">: For aerospace, </w:t>
      </w:r>
      <w:proofErr w:type="spellStart"/>
      <w:r>
        <w:t>defense</w:t>
      </w:r>
      <w:proofErr w:type="spellEnd"/>
      <w:r>
        <w:t>, and high-performance applications.</w:t>
      </w:r>
    </w:p>
    <w:p w14:paraId="020A43F1" w14:textId="1E847CA8" w:rsidR="00E434E7" w:rsidRDefault="00E434E7" w:rsidP="00E434E7">
      <w:pPr>
        <w:widowControl/>
        <w:numPr>
          <w:ilvl w:val="0"/>
          <w:numId w:val="8"/>
        </w:numPr>
        <w:autoSpaceDE/>
        <w:autoSpaceDN/>
        <w:spacing w:before="100" w:beforeAutospacing="1" w:after="100" w:afterAutospacing="1" w:line="264" w:lineRule="auto"/>
      </w:pPr>
      <w:r>
        <w:rPr>
          <w:rStyle w:val="Strong"/>
        </w:rPr>
        <w:t>Services</w:t>
      </w:r>
      <w:r>
        <w:t>: Engineering solutions, supply chain management, and digital platforms for steel procurement.</w:t>
      </w:r>
      <w:r>
        <w:br/>
      </w:r>
      <w:r w:rsidR="00000000">
        <w:pict w14:anchorId="655E33A5">
          <v:rect id="_x0000_i1032" style="width:0;height:1.5pt" o:hralign="center" o:hrstd="t" o:hr="t" fillcolor="#a0a0a0" stroked="f"/>
        </w:pict>
      </w:r>
    </w:p>
    <w:p w14:paraId="5EDD1A77" w14:textId="77777777" w:rsidR="00E434E7" w:rsidRDefault="00E434E7" w:rsidP="00E434E7">
      <w:pPr>
        <w:pStyle w:val="Heading2"/>
      </w:pPr>
      <w:r>
        <w:rPr>
          <w:rFonts w:ascii="Segoe UI Symbol" w:hAnsi="Segoe UI Symbol" w:cs="Segoe UI Symbol"/>
        </w:rPr>
        <w:t>📊</w:t>
      </w:r>
      <w:r>
        <w:t xml:space="preserve"> </w:t>
      </w:r>
      <w:r>
        <w:rPr>
          <w:rStyle w:val="Strong"/>
          <w:b w:val="0"/>
          <w:bCs w:val="0"/>
        </w:rPr>
        <w:t>2. Financial Performance Analysis – Tata Steel Ltd</w:t>
      </w:r>
    </w:p>
    <w:p w14:paraId="634D1DA0" w14:textId="77777777" w:rsidR="00E434E7" w:rsidRDefault="00E434E7" w:rsidP="00E434E7">
      <w:pPr>
        <w:pStyle w:val="Heading3"/>
      </w:pPr>
      <w:r>
        <w:rPr>
          <w:rFonts w:ascii="Segoe UI Symbol" w:hAnsi="Segoe UI Symbol" w:cs="Segoe UI Symbol"/>
        </w:rPr>
        <w:t>🔍</w:t>
      </w:r>
      <w:r>
        <w:t xml:space="preserve"> </w:t>
      </w:r>
      <w:r>
        <w:rPr>
          <w:rStyle w:val="Strong"/>
          <w:b w:val="0"/>
          <w:bCs w:val="0"/>
        </w:rPr>
        <w:t>Product &amp; Service Evolution (Last 5 Years)</w:t>
      </w:r>
    </w:p>
    <w:p w14:paraId="78073F54" w14:textId="77777777" w:rsidR="00E434E7" w:rsidRDefault="00E434E7" w:rsidP="00E434E7">
      <w:pPr>
        <w:widowControl/>
        <w:numPr>
          <w:ilvl w:val="0"/>
          <w:numId w:val="9"/>
        </w:numPr>
        <w:autoSpaceDE/>
        <w:autoSpaceDN/>
        <w:spacing w:before="100" w:beforeAutospacing="1" w:after="100" w:afterAutospacing="1" w:line="264" w:lineRule="auto"/>
      </w:pPr>
      <w:r>
        <w:rPr>
          <w:rStyle w:val="Strong"/>
        </w:rPr>
        <w:t>Flat Products</w:t>
      </w:r>
      <w:r>
        <w:t>: Hot-rolled coils, cold-rolled sheets, galvanized steel—used in automotive, construction, and appliances.</w:t>
      </w:r>
    </w:p>
    <w:p w14:paraId="4915840F" w14:textId="77777777" w:rsidR="00E434E7" w:rsidRDefault="00E434E7" w:rsidP="00E434E7">
      <w:pPr>
        <w:widowControl/>
        <w:numPr>
          <w:ilvl w:val="0"/>
          <w:numId w:val="9"/>
        </w:numPr>
        <w:autoSpaceDE/>
        <w:autoSpaceDN/>
        <w:spacing w:before="100" w:beforeAutospacing="1" w:after="100" w:afterAutospacing="1" w:line="264" w:lineRule="auto"/>
      </w:pPr>
      <w:r>
        <w:rPr>
          <w:rStyle w:val="Strong"/>
        </w:rPr>
        <w:t>Long Products</w:t>
      </w:r>
      <w:r>
        <w:t>: Wire rods, rebars, structural steel—critical for infrastructure and real estate.</w:t>
      </w:r>
    </w:p>
    <w:p w14:paraId="597807BE" w14:textId="77777777" w:rsidR="00E434E7" w:rsidRDefault="00E434E7" w:rsidP="00E434E7">
      <w:pPr>
        <w:widowControl/>
        <w:numPr>
          <w:ilvl w:val="0"/>
          <w:numId w:val="9"/>
        </w:numPr>
        <w:autoSpaceDE/>
        <w:autoSpaceDN/>
        <w:spacing w:before="100" w:beforeAutospacing="1" w:after="100" w:afterAutospacing="1" w:line="264" w:lineRule="auto"/>
      </w:pPr>
      <w:r>
        <w:rPr>
          <w:rStyle w:val="Strong"/>
        </w:rPr>
        <w:t>Specialty Steel</w:t>
      </w:r>
      <w:r>
        <w:t xml:space="preserve">: High-grade steel for aerospace, </w:t>
      </w:r>
      <w:proofErr w:type="spellStart"/>
      <w:r>
        <w:t>defense</w:t>
      </w:r>
      <w:proofErr w:type="spellEnd"/>
      <w:r>
        <w:t>, and precision engineering.</w:t>
      </w:r>
    </w:p>
    <w:p w14:paraId="6CCDEB1F" w14:textId="77777777" w:rsidR="00E434E7" w:rsidRDefault="00E434E7" w:rsidP="00E434E7">
      <w:pPr>
        <w:widowControl/>
        <w:numPr>
          <w:ilvl w:val="0"/>
          <w:numId w:val="9"/>
        </w:numPr>
        <w:autoSpaceDE/>
        <w:autoSpaceDN/>
        <w:spacing w:before="100" w:beforeAutospacing="1" w:after="100" w:afterAutospacing="1" w:line="264" w:lineRule="auto"/>
      </w:pPr>
      <w:r>
        <w:rPr>
          <w:rStyle w:val="Strong"/>
        </w:rPr>
        <w:t>Tubes &amp; Pipes</w:t>
      </w:r>
      <w:r>
        <w:t>: For industrial and fluid transport applications.</w:t>
      </w:r>
    </w:p>
    <w:p w14:paraId="32C20211" w14:textId="77777777" w:rsidR="00E434E7" w:rsidRDefault="00E434E7" w:rsidP="00E434E7">
      <w:pPr>
        <w:widowControl/>
        <w:numPr>
          <w:ilvl w:val="0"/>
          <w:numId w:val="9"/>
        </w:numPr>
        <w:autoSpaceDE/>
        <w:autoSpaceDN/>
        <w:spacing w:before="100" w:beforeAutospacing="1" w:after="100" w:afterAutospacing="1" w:line="264" w:lineRule="auto"/>
      </w:pPr>
      <w:r>
        <w:rPr>
          <w:rStyle w:val="Strong"/>
        </w:rPr>
        <w:t>Digital Platforms</w:t>
      </w:r>
      <w:r>
        <w:t xml:space="preserve">: Tata Steel has launched </w:t>
      </w:r>
      <w:r>
        <w:rPr>
          <w:rStyle w:val="Strong"/>
        </w:rPr>
        <w:t xml:space="preserve">Tata </w:t>
      </w:r>
      <w:proofErr w:type="spellStart"/>
      <w:r>
        <w:rPr>
          <w:rStyle w:val="Strong"/>
        </w:rPr>
        <w:t>nexarc</w:t>
      </w:r>
      <w:proofErr w:type="spellEnd"/>
      <w:r>
        <w:t xml:space="preserve"> to digitize procurement and supply chain for MSMEs.</w:t>
      </w:r>
    </w:p>
    <w:p w14:paraId="55CA30A2" w14:textId="77777777" w:rsidR="007D6D90" w:rsidRDefault="00E434E7" w:rsidP="007D6D90">
      <w:pPr>
        <w:numPr>
          <w:ilvl w:val="0"/>
          <w:numId w:val="9"/>
        </w:numPr>
        <w:spacing w:line="264" w:lineRule="auto"/>
        <w:rPr>
          <w:lang w:val="en-IN" w:eastAsia="en-IN"/>
        </w:rPr>
      </w:pPr>
      <w:r>
        <w:rPr>
          <w:rStyle w:val="Strong"/>
        </w:rPr>
        <w:t>Green Steel Initiatives</w:t>
      </w:r>
      <w:r>
        <w:t xml:space="preserve">: Investments in </w:t>
      </w:r>
      <w:proofErr w:type="spellStart"/>
      <w:r>
        <w:rPr>
          <w:rStyle w:val="Strong"/>
        </w:rPr>
        <w:t>HIsarna</w:t>
      </w:r>
      <w:proofErr w:type="spellEnd"/>
      <w:r>
        <w:rPr>
          <w:rStyle w:val="Strong"/>
        </w:rPr>
        <w:t xml:space="preserve"> technology</w:t>
      </w:r>
      <w:r>
        <w:t xml:space="preserve"> and </w:t>
      </w:r>
      <w:r>
        <w:rPr>
          <w:rStyle w:val="Strong"/>
        </w:rPr>
        <w:t>electric arc furnaces</w:t>
      </w:r>
      <w:r>
        <w:t xml:space="preserve"> for low-carbon steel production.</w:t>
      </w:r>
    </w:p>
    <w:tbl>
      <w:tblPr>
        <w:tblW w:w="10545"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0"/>
        <w:gridCol w:w="1734"/>
        <w:gridCol w:w="1411"/>
        <w:gridCol w:w="4042"/>
        <w:gridCol w:w="2298"/>
      </w:tblGrid>
      <w:tr w:rsidR="00651A59" w:rsidRPr="00E84D8B" w14:paraId="2474FB29" w14:textId="77777777" w:rsidTr="00CA406F">
        <w:trPr>
          <w:tblHeader/>
          <w:tblCellSpacing w:w="15" w:type="dxa"/>
          <w:jc w:val="center"/>
        </w:trPr>
        <w:tc>
          <w:tcPr>
            <w:tcW w:w="0" w:type="auto"/>
            <w:vAlign w:val="center"/>
            <w:hideMark/>
          </w:tcPr>
          <w:p w14:paraId="7397AD8A" w14:textId="77777777" w:rsidR="00651A59" w:rsidRPr="00E84D8B" w:rsidRDefault="00651A59" w:rsidP="00651A59">
            <w:pPr>
              <w:widowControl/>
              <w:autoSpaceDE/>
              <w:autoSpaceDN/>
              <w:spacing w:before="100" w:beforeAutospacing="1" w:after="100" w:afterAutospacing="1" w:line="264" w:lineRule="auto"/>
              <w:ind w:left="360"/>
              <w:rPr>
                <w:rFonts w:ascii="Bookman Old Style" w:hAnsi="Bookman Old Style"/>
                <w:b/>
                <w:bCs/>
                <w:sz w:val="14"/>
                <w:szCs w:val="14"/>
                <w:lang w:val="en-IN"/>
              </w:rPr>
            </w:pPr>
            <w:r w:rsidRPr="00E84D8B">
              <w:rPr>
                <w:rFonts w:ascii="Bookman Old Style" w:hAnsi="Bookman Old Style"/>
                <w:b/>
                <w:bCs/>
                <w:sz w:val="14"/>
                <w:szCs w:val="14"/>
                <w:lang w:val="en-IN"/>
              </w:rPr>
              <w:t>FY</w:t>
            </w:r>
          </w:p>
        </w:tc>
        <w:tc>
          <w:tcPr>
            <w:tcW w:w="0" w:type="auto"/>
            <w:vAlign w:val="center"/>
            <w:hideMark/>
          </w:tcPr>
          <w:p w14:paraId="1CE986BD" w14:textId="77777777" w:rsidR="00651A59" w:rsidRPr="00E84D8B" w:rsidRDefault="00651A59" w:rsidP="00651A59">
            <w:pPr>
              <w:widowControl/>
              <w:autoSpaceDE/>
              <w:autoSpaceDN/>
              <w:spacing w:before="100" w:beforeAutospacing="1" w:after="100" w:afterAutospacing="1" w:line="264" w:lineRule="auto"/>
              <w:ind w:left="360"/>
              <w:rPr>
                <w:rFonts w:ascii="Bookman Old Style" w:hAnsi="Bookman Old Style"/>
                <w:b/>
                <w:bCs/>
                <w:sz w:val="14"/>
                <w:szCs w:val="14"/>
                <w:lang w:val="en-IN"/>
              </w:rPr>
            </w:pPr>
            <w:r w:rsidRPr="00E84D8B">
              <w:rPr>
                <w:rFonts w:ascii="Bookman Old Style" w:hAnsi="Bookman Old Style"/>
                <w:b/>
                <w:bCs/>
                <w:sz w:val="14"/>
                <w:szCs w:val="14"/>
                <w:lang w:val="en-IN"/>
              </w:rPr>
              <w:t>Consolidated Revenue (</w:t>
            </w:r>
            <w:r w:rsidRPr="00E84D8B">
              <w:rPr>
                <w:b/>
                <w:bCs/>
                <w:sz w:val="14"/>
                <w:szCs w:val="14"/>
                <w:lang w:val="en-IN"/>
              </w:rPr>
              <w:t>₹ </w:t>
            </w:r>
            <w:r w:rsidRPr="00E84D8B">
              <w:rPr>
                <w:rFonts w:ascii="Bookman Old Style" w:hAnsi="Bookman Old Style"/>
                <w:b/>
                <w:bCs/>
                <w:sz w:val="14"/>
                <w:szCs w:val="14"/>
                <w:lang w:val="en-IN"/>
              </w:rPr>
              <w:t>crore)</w:t>
            </w:r>
          </w:p>
        </w:tc>
        <w:tc>
          <w:tcPr>
            <w:tcW w:w="0" w:type="auto"/>
            <w:vAlign w:val="center"/>
            <w:hideMark/>
          </w:tcPr>
          <w:p w14:paraId="45E2C106" w14:textId="77777777" w:rsidR="00651A59" w:rsidRPr="00E84D8B" w:rsidRDefault="00651A59" w:rsidP="00651A59">
            <w:pPr>
              <w:widowControl/>
              <w:autoSpaceDE/>
              <w:autoSpaceDN/>
              <w:spacing w:before="100" w:beforeAutospacing="1" w:after="100" w:afterAutospacing="1" w:line="264" w:lineRule="auto"/>
              <w:ind w:left="360"/>
              <w:rPr>
                <w:rFonts w:ascii="Bookman Old Style" w:hAnsi="Bookman Old Style"/>
                <w:b/>
                <w:bCs/>
                <w:sz w:val="14"/>
                <w:szCs w:val="14"/>
                <w:lang w:val="en-IN"/>
              </w:rPr>
            </w:pPr>
            <w:r w:rsidRPr="00E84D8B">
              <w:rPr>
                <w:rFonts w:ascii="Bookman Old Style" w:hAnsi="Bookman Old Style"/>
                <w:b/>
                <w:bCs/>
                <w:sz w:val="14"/>
                <w:szCs w:val="14"/>
                <w:lang w:val="en-IN"/>
              </w:rPr>
              <w:t>YoY Trend</w:t>
            </w:r>
          </w:p>
        </w:tc>
        <w:tc>
          <w:tcPr>
            <w:tcW w:w="4012" w:type="dxa"/>
            <w:vAlign w:val="center"/>
            <w:hideMark/>
          </w:tcPr>
          <w:p w14:paraId="2713DE25" w14:textId="77777777" w:rsidR="00651A59" w:rsidRPr="00E84D8B" w:rsidRDefault="00651A59" w:rsidP="00651A59">
            <w:pPr>
              <w:widowControl/>
              <w:autoSpaceDE/>
              <w:autoSpaceDN/>
              <w:spacing w:before="100" w:beforeAutospacing="1" w:after="100" w:afterAutospacing="1" w:line="264" w:lineRule="auto"/>
              <w:ind w:left="360"/>
              <w:rPr>
                <w:rFonts w:ascii="Bookman Old Style" w:hAnsi="Bookman Old Style"/>
                <w:b/>
                <w:bCs/>
                <w:sz w:val="14"/>
                <w:szCs w:val="14"/>
                <w:lang w:val="en-IN"/>
              </w:rPr>
            </w:pPr>
            <w:r w:rsidRPr="00E84D8B">
              <w:rPr>
                <w:rFonts w:ascii="Bookman Old Style" w:hAnsi="Bookman Old Style"/>
                <w:b/>
                <w:bCs/>
                <w:sz w:val="14"/>
                <w:szCs w:val="14"/>
                <w:lang w:val="en-IN"/>
              </w:rPr>
              <w:t>Key 3 Product/Service Families</w:t>
            </w:r>
          </w:p>
        </w:tc>
        <w:tc>
          <w:tcPr>
            <w:tcW w:w="2253" w:type="dxa"/>
            <w:vAlign w:val="center"/>
            <w:hideMark/>
          </w:tcPr>
          <w:p w14:paraId="403DF88C" w14:textId="77777777" w:rsidR="00651A59" w:rsidRPr="00E84D8B" w:rsidRDefault="00651A59" w:rsidP="00651A59">
            <w:pPr>
              <w:widowControl/>
              <w:autoSpaceDE/>
              <w:autoSpaceDN/>
              <w:spacing w:before="100" w:beforeAutospacing="1" w:after="100" w:afterAutospacing="1" w:line="264" w:lineRule="auto"/>
              <w:ind w:left="360"/>
              <w:rPr>
                <w:rFonts w:ascii="Bookman Old Style" w:hAnsi="Bookman Old Style"/>
                <w:b/>
                <w:bCs/>
                <w:sz w:val="14"/>
                <w:szCs w:val="14"/>
                <w:lang w:val="en-IN"/>
              </w:rPr>
            </w:pPr>
            <w:r w:rsidRPr="00E84D8B">
              <w:rPr>
                <w:rFonts w:ascii="Bookman Old Style" w:hAnsi="Bookman Old Style"/>
                <w:b/>
                <w:bCs/>
                <w:sz w:val="14"/>
                <w:szCs w:val="14"/>
                <w:lang w:val="en-IN"/>
              </w:rPr>
              <w:t>Key Notes / Drivers</w:t>
            </w:r>
          </w:p>
        </w:tc>
      </w:tr>
      <w:tr w:rsidR="00651A59" w:rsidRPr="00E84D8B" w14:paraId="2333738A" w14:textId="77777777" w:rsidTr="00CA406F">
        <w:trPr>
          <w:tblCellSpacing w:w="15" w:type="dxa"/>
          <w:jc w:val="center"/>
        </w:trPr>
        <w:tc>
          <w:tcPr>
            <w:tcW w:w="0" w:type="auto"/>
            <w:vAlign w:val="center"/>
            <w:hideMark/>
          </w:tcPr>
          <w:p w14:paraId="36D427BD" w14:textId="77777777" w:rsidR="00651A59" w:rsidRPr="00E84D8B" w:rsidRDefault="00651A59" w:rsidP="00651A59">
            <w:pPr>
              <w:widowControl/>
              <w:autoSpaceDE/>
              <w:autoSpaceDN/>
              <w:spacing w:before="100" w:beforeAutospacing="1" w:after="100" w:afterAutospacing="1" w:line="264" w:lineRule="auto"/>
              <w:ind w:left="360"/>
              <w:rPr>
                <w:rFonts w:ascii="Bookman Old Style" w:hAnsi="Bookman Old Style"/>
                <w:b/>
                <w:bCs/>
                <w:sz w:val="14"/>
                <w:szCs w:val="14"/>
                <w:lang w:val="en-IN"/>
              </w:rPr>
            </w:pPr>
            <w:r w:rsidRPr="00E84D8B">
              <w:rPr>
                <w:rFonts w:ascii="Bookman Old Style" w:hAnsi="Bookman Old Style"/>
                <w:b/>
                <w:bCs/>
                <w:sz w:val="14"/>
                <w:szCs w:val="14"/>
                <w:lang w:val="en-IN"/>
              </w:rPr>
              <w:t>2020</w:t>
            </w:r>
            <w:r w:rsidRPr="00E84D8B">
              <w:rPr>
                <w:rFonts w:ascii="Bookman Old Style" w:hAnsi="Bookman Old Style"/>
                <w:b/>
                <w:bCs/>
                <w:sz w:val="14"/>
                <w:szCs w:val="14"/>
                <w:lang w:val="en-IN"/>
              </w:rPr>
              <w:noBreakHyphen/>
              <w:t>21</w:t>
            </w:r>
          </w:p>
        </w:tc>
        <w:tc>
          <w:tcPr>
            <w:tcW w:w="0" w:type="auto"/>
            <w:vAlign w:val="center"/>
            <w:hideMark/>
          </w:tcPr>
          <w:p w14:paraId="04056152" w14:textId="77777777" w:rsidR="00651A59" w:rsidRPr="00E84D8B" w:rsidRDefault="00651A59" w:rsidP="00651A59">
            <w:pPr>
              <w:widowControl/>
              <w:autoSpaceDE/>
              <w:autoSpaceDN/>
              <w:spacing w:before="100" w:beforeAutospacing="1" w:after="100" w:afterAutospacing="1" w:line="264" w:lineRule="auto"/>
              <w:ind w:left="360"/>
              <w:rPr>
                <w:rFonts w:ascii="Bookman Old Style" w:hAnsi="Bookman Old Style"/>
                <w:sz w:val="14"/>
                <w:szCs w:val="14"/>
                <w:lang w:val="en-IN"/>
              </w:rPr>
            </w:pPr>
            <w:r w:rsidRPr="00E84D8B">
              <w:rPr>
                <w:rFonts w:ascii="Bookman Old Style" w:hAnsi="Bookman Old Style"/>
                <w:sz w:val="14"/>
                <w:szCs w:val="14"/>
                <w:lang w:val="en-IN"/>
              </w:rPr>
              <w:t>~1,56,477</w:t>
            </w:r>
          </w:p>
        </w:tc>
        <w:tc>
          <w:tcPr>
            <w:tcW w:w="0" w:type="auto"/>
            <w:vAlign w:val="center"/>
            <w:hideMark/>
          </w:tcPr>
          <w:p w14:paraId="5D732A3B" w14:textId="77777777" w:rsidR="00651A59" w:rsidRPr="00E84D8B" w:rsidRDefault="00651A59" w:rsidP="00651A59">
            <w:pPr>
              <w:widowControl/>
              <w:autoSpaceDE/>
              <w:autoSpaceDN/>
              <w:spacing w:before="100" w:beforeAutospacing="1" w:after="100" w:afterAutospacing="1" w:line="264" w:lineRule="auto"/>
              <w:ind w:left="360"/>
              <w:rPr>
                <w:rFonts w:ascii="Bookman Old Style" w:hAnsi="Bookman Old Style"/>
                <w:sz w:val="14"/>
                <w:szCs w:val="14"/>
                <w:lang w:val="en-IN"/>
              </w:rPr>
            </w:pPr>
            <w:r w:rsidRPr="00E84D8B">
              <w:rPr>
                <w:rFonts w:ascii="Bookman Old Style" w:hAnsi="Bookman Old Style"/>
                <w:sz w:val="14"/>
                <w:szCs w:val="14"/>
                <w:lang w:val="en-IN"/>
              </w:rPr>
              <w:t>▼</w:t>
            </w:r>
            <w:r w:rsidRPr="00E84D8B">
              <w:rPr>
                <w:sz w:val="14"/>
                <w:szCs w:val="14"/>
                <w:lang w:val="en-IN"/>
              </w:rPr>
              <w:t> </w:t>
            </w:r>
            <w:r w:rsidRPr="00E84D8B">
              <w:rPr>
                <w:rFonts w:ascii="Bookman Old Style" w:hAnsi="Bookman Old Style"/>
                <w:sz w:val="14"/>
                <w:szCs w:val="14"/>
                <w:lang w:val="en-IN"/>
              </w:rPr>
              <w:t>Pandemic impact</w:t>
            </w:r>
          </w:p>
        </w:tc>
        <w:tc>
          <w:tcPr>
            <w:tcW w:w="4012" w:type="dxa"/>
            <w:vAlign w:val="center"/>
            <w:hideMark/>
          </w:tcPr>
          <w:p w14:paraId="2627F00D" w14:textId="77777777" w:rsidR="00651A59" w:rsidRPr="00E84D8B" w:rsidRDefault="00651A59" w:rsidP="00651A59">
            <w:pPr>
              <w:widowControl/>
              <w:autoSpaceDE/>
              <w:autoSpaceDN/>
              <w:spacing w:before="100" w:beforeAutospacing="1" w:after="100" w:afterAutospacing="1" w:line="264" w:lineRule="auto"/>
              <w:ind w:left="360"/>
              <w:rPr>
                <w:rFonts w:ascii="Bookman Old Style" w:hAnsi="Bookman Old Style"/>
                <w:sz w:val="14"/>
                <w:szCs w:val="14"/>
                <w:lang w:val="en-IN"/>
              </w:rPr>
            </w:pPr>
            <w:r w:rsidRPr="00E84D8B">
              <w:rPr>
                <w:rFonts w:ascii="Bookman Old Style" w:hAnsi="Bookman Old Style"/>
                <w:sz w:val="14"/>
                <w:szCs w:val="14"/>
                <w:lang w:val="en-IN"/>
              </w:rPr>
              <w:t>1️</w:t>
            </w:r>
            <w:r w:rsidRPr="00E84D8B">
              <w:rPr>
                <w:rFonts w:ascii="Segoe UI Symbol" w:hAnsi="Segoe UI Symbol" w:cs="Segoe UI Symbol"/>
                <w:sz w:val="14"/>
                <w:szCs w:val="14"/>
                <w:lang w:val="en-IN"/>
              </w:rPr>
              <w:t>⃣</w:t>
            </w:r>
            <w:r w:rsidRPr="00E84D8B">
              <w:rPr>
                <w:rFonts w:ascii="Bookman Old Style" w:hAnsi="Bookman Old Style"/>
                <w:sz w:val="14"/>
                <w:szCs w:val="14"/>
                <w:lang w:val="en-IN"/>
              </w:rPr>
              <w:t xml:space="preserve"> Long products – </w:t>
            </w:r>
            <w:proofErr w:type="spellStart"/>
            <w:r w:rsidRPr="00E84D8B">
              <w:rPr>
                <w:rFonts w:ascii="Bookman Old Style" w:hAnsi="Bookman Old Style"/>
                <w:sz w:val="14"/>
                <w:szCs w:val="14"/>
                <w:lang w:val="en-IN"/>
              </w:rPr>
              <w:t>Tiscon</w:t>
            </w:r>
            <w:proofErr w:type="spellEnd"/>
            <w:r w:rsidRPr="00E84D8B">
              <w:rPr>
                <w:rFonts w:ascii="Bookman Old Style" w:hAnsi="Bookman Old Style"/>
                <w:sz w:val="14"/>
                <w:szCs w:val="14"/>
                <w:lang w:val="en-IN"/>
              </w:rPr>
              <w:t xml:space="preserve"> rebars, wire rods</w:t>
            </w:r>
            <w:r w:rsidRPr="00E84D8B">
              <w:rPr>
                <w:rFonts w:ascii="Bookman Old Style" w:hAnsi="Bookman Old Style"/>
                <w:sz w:val="14"/>
                <w:szCs w:val="14"/>
                <w:lang w:val="en-IN"/>
              </w:rPr>
              <w:br/>
              <w:t>2</w:t>
            </w:r>
            <w:r w:rsidRPr="00E84D8B">
              <w:rPr>
                <w:rFonts w:ascii="Bookman Old Style" w:hAnsi="Bookman Old Style" w:cs="Segoe UI Emoji"/>
                <w:sz w:val="14"/>
                <w:szCs w:val="14"/>
                <w:lang w:val="en-IN"/>
              </w:rPr>
              <w:t>️</w:t>
            </w:r>
            <w:r w:rsidRPr="00E84D8B">
              <w:rPr>
                <w:rFonts w:ascii="Segoe UI Symbol" w:hAnsi="Segoe UI Symbol" w:cs="Segoe UI Symbol"/>
                <w:sz w:val="14"/>
                <w:szCs w:val="14"/>
                <w:lang w:val="en-IN"/>
              </w:rPr>
              <w:t>⃣</w:t>
            </w:r>
            <w:r w:rsidRPr="00E84D8B">
              <w:rPr>
                <w:rFonts w:ascii="Bookman Old Style" w:hAnsi="Bookman Old Style"/>
                <w:sz w:val="14"/>
                <w:szCs w:val="14"/>
                <w:lang w:val="en-IN"/>
              </w:rPr>
              <w:t xml:space="preserve"> Flat steel – HR/CR coils, galvanised</w:t>
            </w:r>
            <w:r w:rsidRPr="00E84D8B">
              <w:rPr>
                <w:rFonts w:ascii="Bookman Old Style" w:hAnsi="Bookman Old Style"/>
                <w:sz w:val="14"/>
                <w:szCs w:val="14"/>
                <w:lang w:val="en-IN"/>
              </w:rPr>
              <w:br/>
              <w:t>3</w:t>
            </w:r>
            <w:r w:rsidRPr="00E84D8B">
              <w:rPr>
                <w:rFonts w:ascii="Bookman Old Style" w:hAnsi="Bookman Old Style" w:cs="Segoe UI Emoji"/>
                <w:sz w:val="14"/>
                <w:szCs w:val="14"/>
                <w:lang w:val="en-IN"/>
              </w:rPr>
              <w:t>️</w:t>
            </w:r>
            <w:r w:rsidRPr="00E84D8B">
              <w:rPr>
                <w:rFonts w:ascii="Segoe UI Symbol" w:hAnsi="Segoe UI Symbol" w:cs="Segoe UI Symbol"/>
                <w:sz w:val="14"/>
                <w:szCs w:val="14"/>
                <w:lang w:val="en-IN"/>
              </w:rPr>
              <w:t>⃣</w:t>
            </w:r>
            <w:r w:rsidRPr="00E84D8B">
              <w:rPr>
                <w:rFonts w:ascii="Bookman Old Style" w:hAnsi="Bookman Old Style"/>
                <w:sz w:val="14"/>
                <w:szCs w:val="14"/>
                <w:lang w:val="en-IN"/>
              </w:rPr>
              <w:t xml:space="preserve"> Roofing solutions – Tata </w:t>
            </w:r>
            <w:proofErr w:type="spellStart"/>
            <w:r w:rsidRPr="00E84D8B">
              <w:rPr>
                <w:rFonts w:ascii="Bookman Old Style" w:hAnsi="Bookman Old Style"/>
                <w:sz w:val="14"/>
                <w:szCs w:val="14"/>
                <w:lang w:val="en-IN"/>
              </w:rPr>
              <w:t>Shaktee</w:t>
            </w:r>
            <w:proofErr w:type="spellEnd"/>
          </w:p>
        </w:tc>
        <w:tc>
          <w:tcPr>
            <w:tcW w:w="2253" w:type="dxa"/>
            <w:vAlign w:val="center"/>
            <w:hideMark/>
          </w:tcPr>
          <w:p w14:paraId="6530FBA9" w14:textId="77777777" w:rsidR="00651A59" w:rsidRPr="00E84D8B" w:rsidRDefault="00651A59" w:rsidP="00651A59">
            <w:pPr>
              <w:widowControl/>
              <w:autoSpaceDE/>
              <w:autoSpaceDN/>
              <w:spacing w:before="100" w:beforeAutospacing="1" w:after="100" w:afterAutospacing="1" w:line="264" w:lineRule="auto"/>
              <w:ind w:left="360"/>
              <w:rPr>
                <w:rFonts w:ascii="Bookman Old Style" w:hAnsi="Bookman Old Style"/>
                <w:sz w:val="14"/>
                <w:szCs w:val="14"/>
                <w:lang w:val="en-IN"/>
              </w:rPr>
            </w:pPr>
            <w:r w:rsidRPr="00E84D8B">
              <w:rPr>
                <w:rFonts w:ascii="Bookman Old Style" w:hAnsi="Bookman Old Style"/>
                <w:sz w:val="14"/>
                <w:szCs w:val="14"/>
                <w:lang w:val="en-IN"/>
              </w:rPr>
              <w:t>Construction slowdown; domestic retail brands helped offset weaker industrial demand</w:t>
            </w:r>
          </w:p>
        </w:tc>
      </w:tr>
      <w:tr w:rsidR="00651A59" w:rsidRPr="00E84D8B" w14:paraId="182EF9E3" w14:textId="77777777" w:rsidTr="00CA406F">
        <w:trPr>
          <w:tblCellSpacing w:w="15" w:type="dxa"/>
          <w:jc w:val="center"/>
        </w:trPr>
        <w:tc>
          <w:tcPr>
            <w:tcW w:w="0" w:type="auto"/>
            <w:vAlign w:val="center"/>
            <w:hideMark/>
          </w:tcPr>
          <w:p w14:paraId="07E43341" w14:textId="77777777" w:rsidR="00651A59" w:rsidRPr="00E84D8B" w:rsidRDefault="00651A59" w:rsidP="00651A59">
            <w:pPr>
              <w:widowControl/>
              <w:autoSpaceDE/>
              <w:autoSpaceDN/>
              <w:spacing w:before="100" w:beforeAutospacing="1" w:after="100" w:afterAutospacing="1" w:line="264" w:lineRule="auto"/>
              <w:ind w:left="360"/>
              <w:rPr>
                <w:rFonts w:ascii="Bookman Old Style" w:hAnsi="Bookman Old Style"/>
                <w:b/>
                <w:bCs/>
                <w:sz w:val="14"/>
                <w:szCs w:val="14"/>
                <w:lang w:val="en-IN"/>
              </w:rPr>
            </w:pPr>
            <w:r w:rsidRPr="00E84D8B">
              <w:rPr>
                <w:rFonts w:ascii="Bookman Old Style" w:hAnsi="Bookman Old Style"/>
                <w:b/>
                <w:bCs/>
                <w:sz w:val="14"/>
                <w:szCs w:val="14"/>
                <w:lang w:val="en-IN"/>
              </w:rPr>
              <w:t>2021</w:t>
            </w:r>
            <w:r w:rsidRPr="00E84D8B">
              <w:rPr>
                <w:rFonts w:ascii="Bookman Old Style" w:hAnsi="Bookman Old Style"/>
                <w:b/>
                <w:bCs/>
                <w:sz w:val="14"/>
                <w:szCs w:val="14"/>
                <w:lang w:val="en-IN"/>
              </w:rPr>
              <w:noBreakHyphen/>
              <w:t>22</w:t>
            </w:r>
          </w:p>
        </w:tc>
        <w:tc>
          <w:tcPr>
            <w:tcW w:w="0" w:type="auto"/>
            <w:vAlign w:val="center"/>
            <w:hideMark/>
          </w:tcPr>
          <w:p w14:paraId="588EE7FA" w14:textId="77777777" w:rsidR="00651A59" w:rsidRPr="00E84D8B" w:rsidRDefault="00651A59" w:rsidP="00651A59">
            <w:pPr>
              <w:widowControl/>
              <w:autoSpaceDE/>
              <w:autoSpaceDN/>
              <w:spacing w:before="100" w:beforeAutospacing="1" w:after="100" w:afterAutospacing="1" w:line="264" w:lineRule="auto"/>
              <w:ind w:left="360"/>
              <w:rPr>
                <w:rFonts w:ascii="Bookman Old Style" w:hAnsi="Bookman Old Style"/>
                <w:sz w:val="14"/>
                <w:szCs w:val="14"/>
                <w:lang w:val="en-IN"/>
              </w:rPr>
            </w:pPr>
            <w:r w:rsidRPr="00E84D8B">
              <w:rPr>
                <w:rFonts w:ascii="Bookman Old Style" w:hAnsi="Bookman Old Style"/>
                <w:sz w:val="14"/>
                <w:szCs w:val="14"/>
                <w:lang w:val="en-IN"/>
              </w:rPr>
              <w:t>~2,43,960</w:t>
            </w:r>
          </w:p>
        </w:tc>
        <w:tc>
          <w:tcPr>
            <w:tcW w:w="0" w:type="auto"/>
            <w:vAlign w:val="center"/>
            <w:hideMark/>
          </w:tcPr>
          <w:p w14:paraId="7D6657D4" w14:textId="77777777" w:rsidR="00651A59" w:rsidRPr="00E84D8B" w:rsidRDefault="00651A59" w:rsidP="00651A59">
            <w:pPr>
              <w:widowControl/>
              <w:autoSpaceDE/>
              <w:autoSpaceDN/>
              <w:spacing w:before="100" w:beforeAutospacing="1" w:after="100" w:afterAutospacing="1" w:line="264" w:lineRule="auto"/>
              <w:ind w:left="360"/>
              <w:rPr>
                <w:rFonts w:ascii="Bookman Old Style" w:hAnsi="Bookman Old Style"/>
                <w:sz w:val="14"/>
                <w:szCs w:val="14"/>
                <w:lang w:val="en-IN"/>
              </w:rPr>
            </w:pPr>
            <w:r w:rsidRPr="00E84D8B">
              <w:rPr>
                <w:rFonts w:ascii="Bookman Old Style" w:hAnsi="Bookman Old Style"/>
                <w:sz w:val="14"/>
                <w:szCs w:val="14"/>
                <w:lang w:val="en-IN"/>
              </w:rPr>
              <w:t>▲</w:t>
            </w:r>
            <w:r w:rsidRPr="00E84D8B">
              <w:rPr>
                <w:sz w:val="14"/>
                <w:szCs w:val="14"/>
                <w:lang w:val="en-IN"/>
              </w:rPr>
              <w:t> </w:t>
            </w:r>
            <w:r w:rsidRPr="00E84D8B">
              <w:rPr>
                <w:rFonts w:ascii="Bookman Old Style" w:hAnsi="Bookman Old Style"/>
                <w:sz w:val="14"/>
                <w:szCs w:val="14"/>
                <w:lang w:val="en-IN"/>
              </w:rPr>
              <w:t>+56%</w:t>
            </w:r>
          </w:p>
        </w:tc>
        <w:tc>
          <w:tcPr>
            <w:tcW w:w="4012" w:type="dxa"/>
            <w:vAlign w:val="center"/>
            <w:hideMark/>
          </w:tcPr>
          <w:p w14:paraId="5A446370" w14:textId="77777777" w:rsidR="00651A59" w:rsidRPr="00E84D8B" w:rsidRDefault="00651A59" w:rsidP="00651A59">
            <w:pPr>
              <w:widowControl/>
              <w:autoSpaceDE/>
              <w:autoSpaceDN/>
              <w:spacing w:before="100" w:beforeAutospacing="1" w:after="100" w:afterAutospacing="1" w:line="264" w:lineRule="auto"/>
              <w:ind w:left="360"/>
              <w:rPr>
                <w:rFonts w:ascii="Bookman Old Style" w:hAnsi="Bookman Old Style"/>
                <w:sz w:val="14"/>
                <w:szCs w:val="14"/>
                <w:lang w:val="en-IN"/>
              </w:rPr>
            </w:pPr>
            <w:r w:rsidRPr="00E84D8B">
              <w:rPr>
                <w:rFonts w:ascii="Bookman Old Style" w:hAnsi="Bookman Old Style"/>
                <w:sz w:val="14"/>
                <w:szCs w:val="14"/>
                <w:lang w:val="en-IN"/>
              </w:rPr>
              <w:t>1️</w:t>
            </w:r>
            <w:r w:rsidRPr="00E84D8B">
              <w:rPr>
                <w:rFonts w:ascii="Segoe UI Symbol" w:hAnsi="Segoe UI Symbol" w:cs="Segoe UI Symbol"/>
                <w:sz w:val="14"/>
                <w:szCs w:val="14"/>
                <w:lang w:val="en-IN"/>
              </w:rPr>
              <w:t>⃣</w:t>
            </w:r>
            <w:r w:rsidRPr="00E84D8B">
              <w:rPr>
                <w:rFonts w:ascii="Bookman Old Style" w:hAnsi="Bookman Old Style"/>
                <w:sz w:val="14"/>
                <w:szCs w:val="14"/>
                <w:lang w:val="en-IN"/>
              </w:rPr>
              <w:t xml:space="preserve"> Flat &amp; coated steel – incl. colour</w:t>
            </w:r>
            <w:r w:rsidRPr="00E84D8B">
              <w:rPr>
                <w:rFonts w:ascii="Bookman Old Style" w:hAnsi="Bookman Old Style"/>
                <w:sz w:val="14"/>
                <w:szCs w:val="14"/>
                <w:lang w:val="en-IN"/>
              </w:rPr>
              <w:noBreakHyphen/>
              <w:t>coated</w:t>
            </w:r>
            <w:r w:rsidRPr="00E84D8B">
              <w:rPr>
                <w:rFonts w:ascii="Bookman Old Style" w:hAnsi="Bookman Old Style"/>
                <w:sz w:val="14"/>
                <w:szCs w:val="14"/>
                <w:lang w:val="en-IN"/>
              </w:rPr>
              <w:br/>
              <w:t>2</w:t>
            </w:r>
            <w:r w:rsidRPr="00E84D8B">
              <w:rPr>
                <w:rFonts w:ascii="Bookman Old Style" w:hAnsi="Bookman Old Style" w:cs="Segoe UI Emoji"/>
                <w:sz w:val="14"/>
                <w:szCs w:val="14"/>
                <w:lang w:val="en-IN"/>
              </w:rPr>
              <w:t>️</w:t>
            </w:r>
            <w:r w:rsidRPr="00E84D8B">
              <w:rPr>
                <w:rFonts w:ascii="Segoe UI Symbol" w:hAnsi="Segoe UI Symbol" w:cs="Segoe UI Symbol"/>
                <w:sz w:val="14"/>
                <w:szCs w:val="14"/>
                <w:lang w:val="en-IN"/>
              </w:rPr>
              <w:t>⃣</w:t>
            </w:r>
            <w:r w:rsidRPr="00E84D8B">
              <w:rPr>
                <w:rFonts w:ascii="Bookman Old Style" w:hAnsi="Bookman Old Style"/>
                <w:sz w:val="14"/>
                <w:szCs w:val="14"/>
                <w:lang w:val="en-IN"/>
              </w:rPr>
              <w:t xml:space="preserve"> Long products – rebars, sections</w:t>
            </w:r>
            <w:r w:rsidRPr="00E84D8B">
              <w:rPr>
                <w:rFonts w:ascii="Bookman Old Style" w:hAnsi="Bookman Old Style"/>
                <w:sz w:val="14"/>
                <w:szCs w:val="14"/>
                <w:lang w:val="en-IN"/>
              </w:rPr>
              <w:br/>
              <w:t>3</w:t>
            </w:r>
            <w:r w:rsidRPr="00E84D8B">
              <w:rPr>
                <w:rFonts w:ascii="Bookman Old Style" w:hAnsi="Bookman Old Style" w:cs="Segoe UI Emoji"/>
                <w:sz w:val="14"/>
                <w:szCs w:val="14"/>
                <w:lang w:val="en-IN"/>
              </w:rPr>
              <w:t>️</w:t>
            </w:r>
            <w:r w:rsidRPr="00E84D8B">
              <w:rPr>
                <w:rFonts w:ascii="Segoe UI Symbol" w:hAnsi="Segoe UI Symbol" w:cs="Segoe UI Symbol"/>
                <w:sz w:val="14"/>
                <w:szCs w:val="14"/>
                <w:lang w:val="en-IN"/>
              </w:rPr>
              <w:t>⃣</w:t>
            </w:r>
            <w:r w:rsidRPr="00E84D8B">
              <w:rPr>
                <w:rFonts w:ascii="Bookman Old Style" w:hAnsi="Bookman Old Style"/>
                <w:sz w:val="14"/>
                <w:szCs w:val="14"/>
                <w:lang w:val="en-IN"/>
              </w:rPr>
              <w:t xml:space="preserve"> Auto</w:t>
            </w:r>
            <w:r w:rsidRPr="00E84D8B">
              <w:rPr>
                <w:rFonts w:ascii="Bookman Old Style" w:hAnsi="Bookman Old Style"/>
                <w:sz w:val="14"/>
                <w:szCs w:val="14"/>
                <w:lang w:val="en-IN"/>
              </w:rPr>
              <w:noBreakHyphen/>
              <w:t>grade steel</w:t>
            </w:r>
          </w:p>
        </w:tc>
        <w:tc>
          <w:tcPr>
            <w:tcW w:w="2253" w:type="dxa"/>
            <w:vAlign w:val="center"/>
            <w:hideMark/>
          </w:tcPr>
          <w:p w14:paraId="0CA7B09C" w14:textId="77777777" w:rsidR="00651A59" w:rsidRPr="00E84D8B" w:rsidRDefault="00651A59" w:rsidP="00651A59">
            <w:pPr>
              <w:widowControl/>
              <w:autoSpaceDE/>
              <w:autoSpaceDN/>
              <w:spacing w:before="100" w:beforeAutospacing="1" w:after="100" w:afterAutospacing="1" w:line="264" w:lineRule="auto"/>
              <w:ind w:left="360"/>
              <w:rPr>
                <w:rFonts w:ascii="Bookman Old Style" w:hAnsi="Bookman Old Style"/>
                <w:sz w:val="14"/>
                <w:szCs w:val="14"/>
                <w:lang w:val="en-IN"/>
              </w:rPr>
            </w:pPr>
            <w:r w:rsidRPr="00E84D8B">
              <w:rPr>
                <w:rFonts w:ascii="Bookman Old Style" w:hAnsi="Bookman Old Style"/>
                <w:sz w:val="14"/>
                <w:szCs w:val="14"/>
                <w:lang w:val="en-IN"/>
              </w:rPr>
              <w:t>Steel price surge + rebound in auto &amp; infra sectors</w:t>
            </w:r>
          </w:p>
        </w:tc>
      </w:tr>
      <w:tr w:rsidR="00651A59" w:rsidRPr="00E84D8B" w14:paraId="4D723A89" w14:textId="77777777" w:rsidTr="00CA406F">
        <w:trPr>
          <w:tblCellSpacing w:w="15" w:type="dxa"/>
          <w:jc w:val="center"/>
        </w:trPr>
        <w:tc>
          <w:tcPr>
            <w:tcW w:w="0" w:type="auto"/>
            <w:vAlign w:val="center"/>
            <w:hideMark/>
          </w:tcPr>
          <w:p w14:paraId="5D352931" w14:textId="77777777" w:rsidR="00651A59" w:rsidRPr="00E84D8B" w:rsidRDefault="00651A59" w:rsidP="00651A59">
            <w:pPr>
              <w:widowControl/>
              <w:autoSpaceDE/>
              <w:autoSpaceDN/>
              <w:spacing w:before="100" w:beforeAutospacing="1" w:after="100" w:afterAutospacing="1" w:line="264" w:lineRule="auto"/>
              <w:ind w:left="360"/>
              <w:rPr>
                <w:rFonts w:ascii="Bookman Old Style" w:hAnsi="Bookman Old Style"/>
                <w:b/>
                <w:bCs/>
                <w:sz w:val="14"/>
                <w:szCs w:val="14"/>
                <w:lang w:val="en-IN"/>
              </w:rPr>
            </w:pPr>
            <w:r w:rsidRPr="00E84D8B">
              <w:rPr>
                <w:rFonts w:ascii="Bookman Old Style" w:hAnsi="Bookman Old Style"/>
                <w:b/>
                <w:bCs/>
                <w:sz w:val="14"/>
                <w:szCs w:val="14"/>
                <w:lang w:val="en-IN"/>
              </w:rPr>
              <w:t>2022</w:t>
            </w:r>
            <w:r w:rsidRPr="00E84D8B">
              <w:rPr>
                <w:rFonts w:ascii="Bookman Old Style" w:hAnsi="Bookman Old Style"/>
                <w:b/>
                <w:bCs/>
                <w:sz w:val="14"/>
                <w:szCs w:val="14"/>
                <w:lang w:val="en-IN"/>
              </w:rPr>
              <w:noBreakHyphen/>
              <w:t>23</w:t>
            </w:r>
          </w:p>
        </w:tc>
        <w:tc>
          <w:tcPr>
            <w:tcW w:w="0" w:type="auto"/>
            <w:vAlign w:val="center"/>
            <w:hideMark/>
          </w:tcPr>
          <w:p w14:paraId="5B7A31B0" w14:textId="77777777" w:rsidR="00651A59" w:rsidRPr="00E84D8B" w:rsidRDefault="00651A59" w:rsidP="00651A59">
            <w:pPr>
              <w:widowControl/>
              <w:autoSpaceDE/>
              <w:autoSpaceDN/>
              <w:spacing w:before="100" w:beforeAutospacing="1" w:after="100" w:afterAutospacing="1" w:line="264" w:lineRule="auto"/>
              <w:ind w:left="360"/>
              <w:rPr>
                <w:rFonts w:ascii="Bookman Old Style" w:hAnsi="Bookman Old Style"/>
                <w:sz w:val="14"/>
                <w:szCs w:val="14"/>
                <w:lang w:val="en-IN"/>
              </w:rPr>
            </w:pPr>
            <w:r w:rsidRPr="00E84D8B">
              <w:rPr>
                <w:rFonts w:ascii="Bookman Old Style" w:hAnsi="Bookman Old Style"/>
                <w:sz w:val="14"/>
                <w:szCs w:val="14"/>
                <w:lang w:val="en-IN"/>
              </w:rPr>
              <w:t>~2,43,353</w:t>
            </w:r>
          </w:p>
        </w:tc>
        <w:tc>
          <w:tcPr>
            <w:tcW w:w="0" w:type="auto"/>
            <w:vAlign w:val="center"/>
            <w:hideMark/>
          </w:tcPr>
          <w:p w14:paraId="79D1148F" w14:textId="77777777" w:rsidR="00651A59" w:rsidRPr="00E84D8B" w:rsidRDefault="00651A59" w:rsidP="00651A59">
            <w:pPr>
              <w:widowControl/>
              <w:autoSpaceDE/>
              <w:autoSpaceDN/>
              <w:spacing w:before="100" w:beforeAutospacing="1" w:after="100" w:afterAutospacing="1" w:line="264" w:lineRule="auto"/>
              <w:ind w:left="360"/>
              <w:rPr>
                <w:rFonts w:ascii="Bookman Old Style" w:hAnsi="Bookman Old Style"/>
                <w:sz w:val="14"/>
                <w:szCs w:val="14"/>
                <w:lang w:val="en-IN"/>
              </w:rPr>
            </w:pPr>
            <w:r w:rsidRPr="00E84D8B">
              <w:rPr>
                <w:rFonts w:ascii="Bookman Old Style" w:hAnsi="Bookman Old Style"/>
                <w:sz w:val="14"/>
                <w:szCs w:val="14"/>
                <w:lang w:val="en-IN"/>
              </w:rPr>
              <w:t>≈</w:t>
            </w:r>
            <w:r w:rsidRPr="00E84D8B">
              <w:rPr>
                <w:sz w:val="14"/>
                <w:szCs w:val="14"/>
                <w:lang w:val="en-IN"/>
              </w:rPr>
              <w:t> </w:t>
            </w:r>
            <w:r w:rsidRPr="00E84D8B">
              <w:rPr>
                <w:rFonts w:ascii="Bookman Old Style" w:hAnsi="Bookman Old Style"/>
                <w:sz w:val="14"/>
                <w:szCs w:val="14"/>
                <w:lang w:val="en-IN"/>
              </w:rPr>
              <w:t>Flat</w:t>
            </w:r>
          </w:p>
        </w:tc>
        <w:tc>
          <w:tcPr>
            <w:tcW w:w="4012" w:type="dxa"/>
            <w:vAlign w:val="center"/>
            <w:hideMark/>
          </w:tcPr>
          <w:p w14:paraId="650EBA2B" w14:textId="77777777" w:rsidR="00651A59" w:rsidRPr="00E84D8B" w:rsidRDefault="00651A59" w:rsidP="00651A59">
            <w:pPr>
              <w:widowControl/>
              <w:autoSpaceDE/>
              <w:autoSpaceDN/>
              <w:spacing w:before="100" w:beforeAutospacing="1" w:after="100" w:afterAutospacing="1" w:line="264" w:lineRule="auto"/>
              <w:ind w:left="360"/>
              <w:rPr>
                <w:rFonts w:ascii="Bookman Old Style" w:hAnsi="Bookman Old Style"/>
                <w:sz w:val="14"/>
                <w:szCs w:val="14"/>
                <w:lang w:val="en-IN"/>
              </w:rPr>
            </w:pPr>
            <w:r w:rsidRPr="00E84D8B">
              <w:rPr>
                <w:rFonts w:ascii="Bookman Old Style" w:hAnsi="Bookman Old Style"/>
                <w:sz w:val="14"/>
                <w:szCs w:val="14"/>
                <w:lang w:val="en-IN"/>
              </w:rPr>
              <w:t>1️</w:t>
            </w:r>
            <w:r w:rsidRPr="00E84D8B">
              <w:rPr>
                <w:rFonts w:ascii="Segoe UI Symbol" w:hAnsi="Segoe UI Symbol" w:cs="Segoe UI Symbol"/>
                <w:sz w:val="14"/>
                <w:szCs w:val="14"/>
                <w:lang w:val="en-IN"/>
              </w:rPr>
              <w:t>⃣</w:t>
            </w:r>
            <w:r w:rsidRPr="00E84D8B">
              <w:rPr>
                <w:rFonts w:ascii="Bookman Old Style" w:hAnsi="Bookman Old Style"/>
                <w:sz w:val="14"/>
                <w:szCs w:val="14"/>
                <w:lang w:val="en-IN"/>
              </w:rPr>
              <w:t xml:space="preserve"> Value</w:t>
            </w:r>
            <w:r w:rsidRPr="00E84D8B">
              <w:rPr>
                <w:rFonts w:ascii="Bookman Old Style" w:hAnsi="Bookman Old Style"/>
                <w:sz w:val="14"/>
                <w:szCs w:val="14"/>
                <w:lang w:val="en-IN"/>
              </w:rPr>
              <w:noBreakHyphen/>
              <w:t>added coated steel</w:t>
            </w:r>
            <w:r w:rsidRPr="00E84D8B">
              <w:rPr>
                <w:rFonts w:ascii="Bookman Old Style" w:hAnsi="Bookman Old Style"/>
                <w:sz w:val="14"/>
                <w:szCs w:val="14"/>
                <w:lang w:val="en-IN"/>
              </w:rPr>
              <w:br/>
              <w:t>2️</w:t>
            </w:r>
            <w:r w:rsidRPr="00E84D8B">
              <w:rPr>
                <w:rFonts w:ascii="Segoe UI Symbol" w:hAnsi="Segoe UI Symbol" w:cs="Segoe UI Symbol"/>
                <w:sz w:val="14"/>
                <w:szCs w:val="14"/>
                <w:lang w:val="en-IN"/>
              </w:rPr>
              <w:t>⃣</w:t>
            </w:r>
            <w:r w:rsidRPr="00E84D8B">
              <w:rPr>
                <w:rFonts w:ascii="Bookman Old Style" w:hAnsi="Bookman Old Style"/>
                <w:sz w:val="14"/>
                <w:szCs w:val="14"/>
                <w:lang w:val="en-IN"/>
              </w:rPr>
              <w:t xml:space="preserve"> Tubes &amp; hollow sections – Tata </w:t>
            </w:r>
            <w:proofErr w:type="spellStart"/>
            <w:r w:rsidRPr="00E84D8B">
              <w:rPr>
                <w:rFonts w:ascii="Bookman Old Style" w:hAnsi="Bookman Old Style"/>
                <w:sz w:val="14"/>
                <w:szCs w:val="14"/>
                <w:lang w:val="en-IN"/>
              </w:rPr>
              <w:t>Structura</w:t>
            </w:r>
            <w:proofErr w:type="spellEnd"/>
            <w:r w:rsidRPr="00E84D8B">
              <w:rPr>
                <w:rFonts w:ascii="Bookman Old Style" w:hAnsi="Bookman Old Style"/>
                <w:sz w:val="14"/>
                <w:szCs w:val="14"/>
                <w:lang w:val="en-IN"/>
              </w:rPr>
              <w:br/>
              <w:t>3</w:t>
            </w:r>
            <w:r w:rsidRPr="00E84D8B">
              <w:rPr>
                <w:rFonts w:ascii="Bookman Old Style" w:hAnsi="Bookman Old Style" w:cs="Segoe UI Emoji"/>
                <w:sz w:val="14"/>
                <w:szCs w:val="14"/>
                <w:lang w:val="en-IN"/>
              </w:rPr>
              <w:t>️</w:t>
            </w:r>
            <w:r w:rsidRPr="00E84D8B">
              <w:rPr>
                <w:rFonts w:ascii="Segoe UI Symbol" w:hAnsi="Segoe UI Symbol" w:cs="Segoe UI Symbol"/>
                <w:sz w:val="14"/>
                <w:szCs w:val="14"/>
                <w:lang w:val="en-IN"/>
              </w:rPr>
              <w:t>⃣</w:t>
            </w:r>
            <w:r w:rsidRPr="00E84D8B">
              <w:rPr>
                <w:rFonts w:ascii="Bookman Old Style" w:hAnsi="Bookman Old Style"/>
                <w:sz w:val="14"/>
                <w:szCs w:val="14"/>
                <w:lang w:val="en-IN"/>
              </w:rPr>
              <w:t xml:space="preserve"> Branded construction solutions – Pravesh doors</w:t>
            </w:r>
          </w:p>
        </w:tc>
        <w:tc>
          <w:tcPr>
            <w:tcW w:w="2253" w:type="dxa"/>
            <w:vAlign w:val="center"/>
            <w:hideMark/>
          </w:tcPr>
          <w:p w14:paraId="0108E628" w14:textId="77777777" w:rsidR="00651A59" w:rsidRPr="00E84D8B" w:rsidRDefault="00651A59" w:rsidP="00651A59">
            <w:pPr>
              <w:widowControl/>
              <w:autoSpaceDE/>
              <w:autoSpaceDN/>
              <w:spacing w:before="100" w:beforeAutospacing="1" w:after="100" w:afterAutospacing="1" w:line="264" w:lineRule="auto"/>
              <w:ind w:left="360"/>
              <w:rPr>
                <w:rFonts w:ascii="Bookman Old Style" w:hAnsi="Bookman Old Style"/>
                <w:sz w:val="14"/>
                <w:szCs w:val="14"/>
                <w:lang w:val="en-IN"/>
              </w:rPr>
            </w:pPr>
            <w:r w:rsidRPr="00E84D8B">
              <w:rPr>
                <w:rFonts w:ascii="Bookman Old Style" w:hAnsi="Bookman Old Style"/>
                <w:sz w:val="14"/>
                <w:szCs w:val="14"/>
                <w:lang w:val="en-IN"/>
              </w:rPr>
              <w:t>Stable volumes; higher share from downstream, branded products</w:t>
            </w:r>
          </w:p>
        </w:tc>
      </w:tr>
      <w:tr w:rsidR="00651A59" w:rsidRPr="00E84D8B" w14:paraId="463CD49F" w14:textId="77777777" w:rsidTr="00CA406F">
        <w:trPr>
          <w:tblCellSpacing w:w="15" w:type="dxa"/>
          <w:jc w:val="center"/>
        </w:trPr>
        <w:tc>
          <w:tcPr>
            <w:tcW w:w="0" w:type="auto"/>
            <w:vAlign w:val="center"/>
            <w:hideMark/>
          </w:tcPr>
          <w:p w14:paraId="323C87D7" w14:textId="77777777" w:rsidR="00651A59" w:rsidRPr="00E84D8B" w:rsidRDefault="00651A59" w:rsidP="00651A59">
            <w:pPr>
              <w:widowControl/>
              <w:autoSpaceDE/>
              <w:autoSpaceDN/>
              <w:spacing w:before="100" w:beforeAutospacing="1" w:after="100" w:afterAutospacing="1" w:line="264" w:lineRule="auto"/>
              <w:ind w:left="360"/>
              <w:rPr>
                <w:rFonts w:ascii="Bookman Old Style" w:hAnsi="Bookman Old Style"/>
                <w:b/>
                <w:bCs/>
                <w:sz w:val="14"/>
                <w:szCs w:val="14"/>
                <w:lang w:val="en-IN"/>
              </w:rPr>
            </w:pPr>
            <w:r w:rsidRPr="00E84D8B">
              <w:rPr>
                <w:rFonts w:ascii="Bookman Old Style" w:hAnsi="Bookman Old Style"/>
                <w:b/>
                <w:bCs/>
                <w:sz w:val="14"/>
                <w:szCs w:val="14"/>
                <w:lang w:val="en-IN"/>
              </w:rPr>
              <w:t>2023</w:t>
            </w:r>
            <w:r w:rsidRPr="00E84D8B">
              <w:rPr>
                <w:rFonts w:ascii="Bookman Old Style" w:hAnsi="Bookman Old Style"/>
                <w:b/>
                <w:bCs/>
                <w:sz w:val="14"/>
                <w:szCs w:val="14"/>
                <w:lang w:val="en-IN"/>
              </w:rPr>
              <w:noBreakHyphen/>
              <w:t>24</w:t>
            </w:r>
          </w:p>
        </w:tc>
        <w:tc>
          <w:tcPr>
            <w:tcW w:w="0" w:type="auto"/>
            <w:vAlign w:val="center"/>
            <w:hideMark/>
          </w:tcPr>
          <w:p w14:paraId="573421E3" w14:textId="77777777" w:rsidR="00651A59" w:rsidRPr="00E84D8B" w:rsidRDefault="00651A59" w:rsidP="00651A59">
            <w:pPr>
              <w:widowControl/>
              <w:autoSpaceDE/>
              <w:autoSpaceDN/>
              <w:spacing w:before="100" w:beforeAutospacing="1" w:after="100" w:afterAutospacing="1" w:line="264" w:lineRule="auto"/>
              <w:ind w:left="360"/>
              <w:rPr>
                <w:rFonts w:ascii="Bookman Old Style" w:hAnsi="Bookman Old Style"/>
                <w:sz w:val="14"/>
                <w:szCs w:val="14"/>
                <w:lang w:val="en-IN"/>
              </w:rPr>
            </w:pPr>
            <w:r w:rsidRPr="00E84D8B">
              <w:rPr>
                <w:rFonts w:ascii="Bookman Old Style" w:hAnsi="Bookman Old Style"/>
                <w:sz w:val="14"/>
                <w:szCs w:val="14"/>
                <w:lang w:val="en-IN"/>
              </w:rPr>
              <w:t>~2,29,170</w:t>
            </w:r>
          </w:p>
        </w:tc>
        <w:tc>
          <w:tcPr>
            <w:tcW w:w="0" w:type="auto"/>
            <w:vAlign w:val="center"/>
            <w:hideMark/>
          </w:tcPr>
          <w:p w14:paraId="0604F90E" w14:textId="77777777" w:rsidR="00651A59" w:rsidRPr="00E84D8B" w:rsidRDefault="00651A59" w:rsidP="00651A59">
            <w:pPr>
              <w:widowControl/>
              <w:autoSpaceDE/>
              <w:autoSpaceDN/>
              <w:spacing w:before="100" w:beforeAutospacing="1" w:after="100" w:afterAutospacing="1" w:line="264" w:lineRule="auto"/>
              <w:ind w:left="360"/>
              <w:rPr>
                <w:rFonts w:ascii="Bookman Old Style" w:hAnsi="Bookman Old Style"/>
                <w:sz w:val="14"/>
                <w:szCs w:val="14"/>
                <w:lang w:val="en-IN"/>
              </w:rPr>
            </w:pPr>
            <w:r w:rsidRPr="00E84D8B">
              <w:rPr>
                <w:rFonts w:ascii="Bookman Old Style" w:hAnsi="Bookman Old Style"/>
                <w:sz w:val="14"/>
                <w:szCs w:val="14"/>
                <w:lang w:val="en-IN"/>
              </w:rPr>
              <w:t>▼</w:t>
            </w:r>
            <w:r w:rsidRPr="00E84D8B">
              <w:rPr>
                <w:sz w:val="14"/>
                <w:szCs w:val="14"/>
                <w:lang w:val="en-IN"/>
              </w:rPr>
              <w:t> </w:t>
            </w:r>
            <w:r w:rsidRPr="00E84D8B">
              <w:rPr>
                <w:rFonts w:ascii="Bookman Old Style" w:hAnsi="Bookman Old Style"/>
                <w:sz w:val="14"/>
                <w:szCs w:val="14"/>
                <w:lang w:val="en-IN"/>
              </w:rPr>
              <w:t>-6%</w:t>
            </w:r>
          </w:p>
        </w:tc>
        <w:tc>
          <w:tcPr>
            <w:tcW w:w="4012" w:type="dxa"/>
            <w:vAlign w:val="center"/>
            <w:hideMark/>
          </w:tcPr>
          <w:p w14:paraId="07D33DAB" w14:textId="77777777" w:rsidR="00651A59" w:rsidRPr="00E84D8B" w:rsidRDefault="00651A59" w:rsidP="00651A59">
            <w:pPr>
              <w:widowControl/>
              <w:autoSpaceDE/>
              <w:autoSpaceDN/>
              <w:spacing w:before="100" w:beforeAutospacing="1" w:after="100" w:afterAutospacing="1" w:line="264" w:lineRule="auto"/>
              <w:ind w:left="360"/>
              <w:rPr>
                <w:rFonts w:ascii="Bookman Old Style" w:hAnsi="Bookman Old Style"/>
                <w:sz w:val="14"/>
                <w:szCs w:val="14"/>
                <w:lang w:val="en-IN"/>
              </w:rPr>
            </w:pPr>
            <w:r w:rsidRPr="00E84D8B">
              <w:rPr>
                <w:rFonts w:ascii="Bookman Old Style" w:hAnsi="Bookman Old Style"/>
                <w:sz w:val="14"/>
                <w:szCs w:val="14"/>
                <w:lang w:val="en-IN"/>
              </w:rPr>
              <w:t>1️</w:t>
            </w:r>
            <w:r w:rsidRPr="00E84D8B">
              <w:rPr>
                <w:rFonts w:ascii="Segoe UI Symbol" w:hAnsi="Segoe UI Symbol" w:cs="Segoe UI Symbol"/>
                <w:sz w:val="14"/>
                <w:szCs w:val="14"/>
                <w:lang w:val="en-IN"/>
              </w:rPr>
              <w:t>⃣</w:t>
            </w:r>
            <w:r w:rsidRPr="00E84D8B">
              <w:rPr>
                <w:rFonts w:ascii="Bookman Old Style" w:hAnsi="Bookman Old Style"/>
                <w:sz w:val="14"/>
                <w:szCs w:val="14"/>
                <w:lang w:val="en-IN"/>
              </w:rPr>
              <w:t xml:space="preserve"> Flat &amp; coated steel</w:t>
            </w:r>
            <w:r w:rsidRPr="00E84D8B">
              <w:rPr>
                <w:rFonts w:ascii="Bookman Old Style" w:hAnsi="Bookman Old Style"/>
                <w:sz w:val="14"/>
                <w:szCs w:val="14"/>
                <w:lang w:val="en-IN"/>
              </w:rPr>
              <w:br/>
              <w:t>2️</w:t>
            </w:r>
            <w:r w:rsidRPr="00E84D8B">
              <w:rPr>
                <w:rFonts w:ascii="Segoe UI Symbol" w:hAnsi="Segoe UI Symbol" w:cs="Segoe UI Symbol"/>
                <w:sz w:val="14"/>
                <w:szCs w:val="14"/>
                <w:lang w:val="en-IN"/>
              </w:rPr>
              <w:t>⃣</w:t>
            </w:r>
            <w:r w:rsidRPr="00E84D8B">
              <w:rPr>
                <w:rFonts w:ascii="Bookman Old Style" w:hAnsi="Bookman Old Style"/>
                <w:sz w:val="14"/>
                <w:szCs w:val="14"/>
                <w:lang w:val="en-IN"/>
              </w:rPr>
              <w:t xml:space="preserve"> Construction solutions – </w:t>
            </w:r>
            <w:proofErr w:type="spellStart"/>
            <w:r w:rsidRPr="00E84D8B">
              <w:rPr>
                <w:rFonts w:ascii="Bookman Old Style" w:hAnsi="Bookman Old Style"/>
                <w:sz w:val="14"/>
                <w:szCs w:val="14"/>
                <w:lang w:val="en-IN"/>
              </w:rPr>
              <w:t>Shaktee</w:t>
            </w:r>
            <w:proofErr w:type="spellEnd"/>
            <w:r w:rsidRPr="00E84D8B">
              <w:rPr>
                <w:rFonts w:ascii="Bookman Old Style" w:hAnsi="Bookman Old Style"/>
                <w:sz w:val="14"/>
                <w:szCs w:val="14"/>
                <w:lang w:val="en-IN"/>
              </w:rPr>
              <w:t xml:space="preserve"> roofing, Nest</w:t>
            </w:r>
            <w:r w:rsidRPr="00E84D8B">
              <w:rPr>
                <w:rFonts w:ascii="Bookman Old Style" w:hAnsi="Bookman Old Style"/>
                <w:sz w:val="14"/>
                <w:szCs w:val="14"/>
                <w:lang w:val="en-IN"/>
              </w:rPr>
              <w:noBreakHyphen/>
              <w:t>In prefab</w:t>
            </w:r>
            <w:r w:rsidRPr="00E84D8B">
              <w:rPr>
                <w:rFonts w:ascii="Bookman Old Style" w:hAnsi="Bookman Old Style"/>
                <w:sz w:val="14"/>
                <w:szCs w:val="14"/>
                <w:lang w:val="en-IN"/>
              </w:rPr>
              <w:br/>
              <w:t>3</w:t>
            </w:r>
            <w:r w:rsidRPr="00E84D8B">
              <w:rPr>
                <w:rFonts w:ascii="Bookman Old Style" w:hAnsi="Bookman Old Style" w:cs="Segoe UI Emoji"/>
                <w:sz w:val="14"/>
                <w:szCs w:val="14"/>
                <w:lang w:val="en-IN"/>
              </w:rPr>
              <w:t>️</w:t>
            </w:r>
            <w:r w:rsidRPr="00E84D8B">
              <w:rPr>
                <w:rFonts w:ascii="Segoe UI Symbol" w:hAnsi="Segoe UI Symbol" w:cs="Segoe UI Symbol"/>
                <w:sz w:val="14"/>
                <w:szCs w:val="14"/>
                <w:lang w:val="en-IN"/>
              </w:rPr>
              <w:t>⃣</w:t>
            </w:r>
            <w:r w:rsidRPr="00E84D8B">
              <w:rPr>
                <w:rFonts w:ascii="Bookman Old Style" w:hAnsi="Bookman Old Style"/>
                <w:sz w:val="14"/>
                <w:szCs w:val="14"/>
                <w:lang w:val="en-IN"/>
              </w:rPr>
              <w:t xml:space="preserve"> Tubes &amp; hollow sections</w:t>
            </w:r>
          </w:p>
        </w:tc>
        <w:tc>
          <w:tcPr>
            <w:tcW w:w="2253" w:type="dxa"/>
            <w:vAlign w:val="center"/>
            <w:hideMark/>
          </w:tcPr>
          <w:p w14:paraId="4DF189B5" w14:textId="77777777" w:rsidR="00651A59" w:rsidRPr="00E84D8B" w:rsidRDefault="00651A59" w:rsidP="00651A59">
            <w:pPr>
              <w:widowControl/>
              <w:autoSpaceDE/>
              <w:autoSpaceDN/>
              <w:spacing w:before="100" w:beforeAutospacing="1" w:after="100" w:afterAutospacing="1" w:line="264" w:lineRule="auto"/>
              <w:ind w:left="360"/>
              <w:rPr>
                <w:rFonts w:ascii="Bookman Old Style" w:hAnsi="Bookman Old Style"/>
                <w:sz w:val="14"/>
                <w:szCs w:val="14"/>
                <w:lang w:val="en-IN"/>
              </w:rPr>
            </w:pPr>
            <w:r w:rsidRPr="00E84D8B">
              <w:rPr>
                <w:rFonts w:ascii="Bookman Old Style" w:hAnsi="Bookman Old Style"/>
                <w:sz w:val="14"/>
                <w:szCs w:val="14"/>
                <w:lang w:val="en-IN"/>
              </w:rPr>
              <w:t>Price softness globally; India deliveries stable; retail &amp; infra channels grew</w:t>
            </w:r>
          </w:p>
        </w:tc>
      </w:tr>
      <w:tr w:rsidR="00651A59" w:rsidRPr="00E84D8B" w14:paraId="6169D27F" w14:textId="77777777" w:rsidTr="00CA406F">
        <w:trPr>
          <w:tblCellSpacing w:w="15" w:type="dxa"/>
          <w:jc w:val="center"/>
        </w:trPr>
        <w:tc>
          <w:tcPr>
            <w:tcW w:w="0" w:type="auto"/>
            <w:vAlign w:val="center"/>
            <w:hideMark/>
          </w:tcPr>
          <w:p w14:paraId="26B5B8DF" w14:textId="77777777" w:rsidR="00651A59" w:rsidRPr="00E84D8B" w:rsidRDefault="00651A59" w:rsidP="00651A59">
            <w:pPr>
              <w:widowControl/>
              <w:autoSpaceDE/>
              <w:autoSpaceDN/>
              <w:spacing w:before="100" w:beforeAutospacing="1" w:after="100" w:afterAutospacing="1" w:line="264" w:lineRule="auto"/>
              <w:ind w:left="360"/>
              <w:rPr>
                <w:rFonts w:ascii="Bookman Old Style" w:hAnsi="Bookman Old Style"/>
                <w:b/>
                <w:bCs/>
                <w:sz w:val="14"/>
                <w:szCs w:val="14"/>
                <w:lang w:val="en-IN"/>
              </w:rPr>
            </w:pPr>
            <w:r w:rsidRPr="00E84D8B">
              <w:rPr>
                <w:rFonts w:ascii="Bookman Old Style" w:hAnsi="Bookman Old Style"/>
                <w:b/>
                <w:bCs/>
                <w:sz w:val="14"/>
                <w:szCs w:val="14"/>
                <w:lang w:val="en-IN"/>
              </w:rPr>
              <w:t>2024</w:t>
            </w:r>
            <w:r w:rsidRPr="00E84D8B">
              <w:rPr>
                <w:rFonts w:ascii="Bookman Old Style" w:hAnsi="Bookman Old Style"/>
                <w:b/>
                <w:bCs/>
                <w:sz w:val="14"/>
                <w:szCs w:val="14"/>
                <w:lang w:val="en-IN"/>
              </w:rPr>
              <w:noBreakHyphen/>
              <w:t>25</w:t>
            </w:r>
          </w:p>
        </w:tc>
        <w:tc>
          <w:tcPr>
            <w:tcW w:w="0" w:type="auto"/>
            <w:vAlign w:val="center"/>
            <w:hideMark/>
          </w:tcPr>
          <w:p w14:paraId="24820613" w14:textId="77777777" w:rsidR="00651A59" w:rsidRPr="00E84D8B" w:rsidRDefault="00651A59" w:rsidP="00651A59">
            <w:pPr>
              <w:widowControl/>
              <w:autoSpaceDE/>
              <w:autoSpaceDN/>
              <w:spacing w:before="100" w:beforeAutospacing="1" w:after="100" w:afterAutospacing="1" w:line="264" w:lineRule="auto"/>
              <w:ind w:left="360"/>
              <w:rPr>
                <w:rFonts w:ascii="Bookman Old Style" w:hAnsi="Bookman Old Style"/>
                <w:sz w:val="14"/>
                <w:szCs w:val="14"/>
                <w:lang w:val="en-IN"/>
              </w:rPr>
            </w:pPr>
            <w:r w:rsidRPr="00E84D8B">
              <w:rPr>
                <w:rFonts w:ascii="Bookman Old Style" w:hAnsi="Bookman Old Style"/>
                <w:sz w:val="14"/>
                <w:szCs w:val="14"/>
                <w:lang w:val="en-IN"/>
              </w:rPr>
              <w:t>2,18,543</w:t>
            </w:r>
          </w:p>
        </w:tc>
        <w:tc>
          <w:tcPr>
            <w:tcW w:w="0" w:type="auto"/>
            <w:vAlign w:val="center"/>
            <w:hideMark/>
          </w:tcPr>
          <w:p w14:paraId="2B2FD02F" w14:textId="77777777" w:rsidR="00651A59" w:rsidRPr="00E84D8B" w:rsidRDefault="00651A59" w:rsidP="00651A59">
            <w:pPr>
              <w:widowControl/>
              <w:autoSpaceDE/>
              <w:autoSpaceDN/>
              <w:spacing w:before="100" w:beforeAutospacing="1" w:after="100" w:afterAutospacing="1" w:line="264" w:lineRule="auto"/>
              <w:ind w:left="360"/>
              <w:rPr>
                <w:rFonts w:ascii="Bookman Old Style" w:hAnsi="Bookman Old Style"/>
                <w:sz w:val="14"/>
                <w:szCs w:val="14"/>
                <w:lang w:val="en-IN"/>
              </w:rPr>
            </w:pPr>
            <w:r w:rsidRPr="00E84D8B">
              <w:rPr>
                <w:rFonts w:ascii="Bookman Old Style" w:hAnsi="Bookman Old Style"/>
                <w:sz w:val="14"/>
                <w:szCs w:val="14"/>
                <w:lang w:val="en-IN"/>
              </w:rPr>
              <w:t>▼</w:t>
            </w:r>
            <w:r w:rsidRPr="00E84D8B">
              <w:rPr>
                <w:sz w:val="14"/>
                <w:szCs w:val="14"/>
                <w:lang w:val="en-IN"/>
              </w:rPr>
              <w:t> </w:t>
            </w:r>
            <w:r w:rsidRPr="00E84D8B">
              <w:rPr>
                <w:rFonts w:ascii="Bookman Old Style" w:hAnsi="Bookman Old Style"/>
                <w:sz w:val="14"/>
                <w:szCs w:val="14"/>
                <w:lang w:val="en-IN"/>
              </w:rPr>
              <w:t>-5%</w:t>
            </w:r>
          </w:p>
        </w:tc>
        <w:tc>
          <w:tcPr>
            <w:tcW w:w="4012" w:type="dxa"/>
            <w:vAlign w:val="center"/>
            <w:hideMark/>
          </w:tcPr>
          <w:p w14:paraId="64526746" w14:textId="77777777" w:rsidR="00651A59" w:rsidRPr="00E84D8B" w:rsidRDefault="00651A59" w:rsidP="00651A59">
            <w:pPr>
              <w:widowControl/>
              <w:autoSpaceDE/>
              <w:autoSpaceDN/>
              <w:spacing w:before="100" w:beforeAutospacing="1" w:after="100" w:afterAutospacing="1" w:line="264" w:lineRule="auto"/>
              <w:ind w:left="360"/>
              <w:rPr>
                <w:rFonts w:ascii="Bookman Old Style" w:hAnsi="Bookman Old Style"/>
                <w:sz w:val="14"/>
                <w:szCs w:val="14"/>
                <w:lang w:val="en-IN"/>
              </w:rPr>
            </w:pPr>
            <w:r w:rsidRPr="00E84D8B">
              <w:rPr>
                <w:rFonts w:ascii="Bookman Old Style" w:hAnsi="Bookman Old Style"/>
                <w:sz w:val="14"/>
                <w:szCs w:val="14"/>
                <w:lang w:val="en-IN"/>
              </w:rPr>
              <w:t>1️</w:t>
            </w:r>
            <w:r w:rsidRPr="00E84D8B">
              <w:rPr>
                <w:rFonts w:ascii="Segoe UI Symbol" w:hAnsi="Segoe UI Symbol" w:cs="Segoe UI Symbol"/>
                <w:sz w:val="14"/>
                <w:szCs w:val="14"/>
                <w:lang w:val="en-IN"/>
              </w:rPr>
              <w:t>⃣</w:t>
            </w:r>
            <w:r w:rsidRPr="00E84D8B">
              <w:rPr>
                <w:rFonts w:ascii="Bookman Old Style" w:hAnsi="Bookman Old Style"/>
                <w:sz w:val="14"/>
                <w:szCs w:val="14"/>
                <w:lang w:val="en-IN"/>
              </w:rPr>
              <w:t xml:space="preserve"> Coated steel</w:t>
            </w:r>
            <w:r w:rsidRPr="00E84D8B">
              <w:rPr>
                <w:rFonts w:ascii="Bookman Old Style" w:hAnsi="Bookman Old Style"/>
                <w:sz w:val="14"/>
                <w:szCs w:val="14"/>
                <w:lang w:val="en-IN"/>
              </w:rPr>
              <w:br/>
              <w:t>2️</w:t>
            </w:r>
            <w:r w:rsidRPr="00E84D8B">
              <w:rPr>
                <w:rFonts w:ascii="Segoe UI Symbol" w:hAnsi="Segoe UI Symbol" w:cs="Segoe UI Symbol"/>
                <w:sz w:val="14"/>
                <w:szCs w:val="14"/>
                <w:lang w:val="en-IN"/>
              </w:rPr>
              <w:t>⃣</w:t>
            </w:r>
            <w:r w:rsidRPr="00E84D8B">
              <w:rPr>
                <w:rFonts w:ascii="Bookman Old Style" w:hAnsi="Bookman Old Style"/>
                <w:sz w:val="14"/>
                <w:szCs w:val="14"/>
                <w:lang w:val="en-IN"/>
              </w:rPr>
              <w:t xml:space="preserve"> Tubes &amp; hollow sections</w:t>
            </w:r>
            <w:r w:rsidRPr="00E84D8B">
              <w:rPr>
                <w:rFonts w:ascii="Bookman Old Style" w:hAnsi="Bookman Old Style"/>
                <w:sz w:val="14"/>
                <w:szCs w:val="14"/>
                <w:lang w:val="en-IN"/>
              </w:rPr>
              <w:br/>
              <w:t>3️</w:t>
            </w:r>
            <w:r w:rsidRPr="00E84D8B">
              <w:rPr>
                <w:rFonts w:ascii="Segoe UI Symbol" w:hAnsi="Segoe UI Symbol" w:cs="Segoe UI Symbol"/>
                <w:sz w:val="14"/>
                <w:szCs w:val="14"/>
                <w:lang w:val="en-IN"/>
              </w:rPr>
              <w:t>⃣</w:t>
            </w:r>
            <w:r w:rsidRPr="00E84D8B">
              <w:rPr>
                <w:rFonts w:ascii="Bookman Old Style" w:hAnsi="Bookman Old Style"/>
                <w:sz w:val="14"/>
                <w:szCs w:val="14"/>
                <w:lang w:val="en-IN"/>
              </w:rPr>
              <w:t xml:space="preserve"> Mining/industrial wear</w:t>
            </w:r>
            <w:r w:rsidRPr="00E84D8B">
              <w:rPr>
                <w:rFonts w:ascii="Bookman Old Style" w:hAnsi="Bookman Old Style"/>
                <w:sz w:val="14"/>
                <w:szCs w:val="14"/>
                <w:lang w:val="en-IN"/>
              </w:rPr>
              <w:noBreakHyphen/>
              <w:t>resistant steel</w:t>
            </w:r>
          </w:p>
        </w:tc>
        <w:tc>
          <w:tcPr>
            <w:tcW w:w="2253" w:type="dxa"/>
            <w:vAlign w:val="center"/>
            <w:hideMark/>
          </w:tcPr>
          <w:p w14:paraId="4850DE37" w14:textId="77777777" w:rsidR="00651A59" w:rsidRPr="00E84D8B" w:rsidRDefault="00651A59" w:rsidP="00651A59">
            <w:pPr>
              <w:widowControl/>
              <w:autoSpaceDE/>
              <w:autoSpaceDN/>
              <w:spacing w:before="100" w:beforeAutospacing="1" w:after="100" w:afterAutospacing="1" w:line="264" w:lineRule="auto"/>
              <w:ind w:left="360"/>
              <w:rPr>
                <w:rFonts w:ascii="Bookman Old Style" w:hAnsi="Bookman Old Style"/>
                <w:sz w:val="14"/>
                <w:szCs w:val="14"/>
                <w:lang w:val="en-IN"/>
              </w:rPr>
            </w:pPr>
            <w:r w:rsidRPr="00E84D8B">
              <w:rPr>
                <w:rFonts w:ascii="Bookman Old Style" w:hAnsi="Bookman Old Style"/>
                <w:sz w:val="14"/>
                <w:szCs w:val="14"/>
                <w:lang w:val="en-IN"/>
              </w:rPr>
              <w:t>Growth in high</w:t>
            </w:r>
            <w:r w:rsidRPr="00E84D8B">
              <w:rPr>
                <w:rFonts w:ascii="Bookman Old Style" w:hAnsi="Bookman Old Style"/>
                <w:sz w:val="14"/>
                <w:szCs w:val="14"/>
                <w:lang w:val="en-IN"/>
              </w:rPr>
              <w:noBreakHyphen/>
              <w:t>margin coated/tube segments; rising EV &amp; solar infra demand</w:t>
            </w:r>
          </w:p>
        </w:tc>
      </w:tr>
    </w:tbl>
    <w:p w14:paraId="4C748CAD" w14:textId="77777777" w:rsidR="00E434E7" w:rsidRDefault="00000000" w:rsidP="00E434E7">
      <w:r>
        <w:pict w14:anchorId="69F02126">
          <v:rect id="_x0000_i1033" style="width:0;height:1.5pt" o:hralign="center" o:hrstd="t" o:hr="t" fillcolor="#a0a0a0" stroked="f"/>
        </w:pict>
      </w:r>
    </w:p>
    <w:p w14:paraId="2E45AD54" w14:textId="4E783F9A" w:rsidR="00E434E7" w:rsidRDefault="00E434E7" w:rsidP="00E434E7">
      <w:pPr>
        <w:pStyle w:val="Heading3"/>
      </w:pPr>
      <w:r>
        <w:rPr>
          <w:rFonts w:ascii="Segoe UI Symbol" w:hAnsi="Segoe UI Symbol" w:cs="Segoe UI Symbol"/>
        </w:rPr>
        <w:t>💪</w:t>
      </w:r>
      <w:r>
        <w:t xml:space="preserve"> </w:t>
      </w:r>
      <w:r>
        <w:rPr>
          <w:rStyle w:val="Strong"/>
          <w:b w:val="0"/>
          <w:bCs w:val="0"/>
        </w:rPr>
        <w:t>Strengths</w:t>
      </w:r>
      <w:r w:rsidR="00313505">
        <w:rPr>
          <w:rStyle w:val="Strong"/>
          <w:b w:val="0"/>
          <w:bCs w:val="0"/>
        </w:rPr>
        <w:br/>
      </w:r>
    </w:p>
    <w:p w14:paraId="4217393F" w14:textId="77777777" w:rsidR="00E434E7" w:rsidRDefault="00E434E7" w:rsidP="00E434E7">
      <w:pPr>
        <w:widowControl/>
        <w:numPr>
          <w:ilvl w:val="0"/>
          <w:numId w:val="10"/>
        </w:numPr>
        <w:autoSpaceDE/>
        <w:autoSpaceDN/>
        <w:spacing w:before="100" w:beforeAutospacing="1" w:after="100" w:afterAutospacing="1" w:line="264" w:lineRule="auto"/>
      </w:pPr>
      <w:r>
        <w:rPr>
          <w:rStyle w:val="Strong"/>
        </w:rPr>
        <w:t>Global Presence</w:t>
      </w:r>
      <w:r>
        <w:t>: Operations in 26+ countries, including India, UK, Netherlands, and Southeast Asia.</w:t>
      </w:r>
    </w:p>
    <w:p w14:paraId="0FFBF58A" w14:textId="77777777" w:rsidR="00E434E7" w:rsidRDefault="00E434E7" w:rsidP="00E434E7">
      <w:pPr>
        <w:widowControl/>
        <w:numPr>
          <w:ilvl w:val="0"/>
          <w:numId w:val="10"/>
        </w:numPr>
        <w:autoSpaceDE/>
        <w:autoSpaceDN/>
        <w:spacing w:before="100" w:beforeAutospacing="1" w:after="100" w:afterAutospacing="1" w:line="264" w:lineRule="auto"/>
      </w:pPr>
      <w:r>
        <w:rPr>
          <w:rStyle w:val="Strong"/>
        </w:rPr>
        <w:t>Brand Legacy</w:t>
      </w:r>
      <w:r>
        <w:t>: Over 100 years of trust under the Tata Group umbrella.</w:t>
      </w:r>
    </w:p>
    <w:p w14:paraId="500765D4" w14:textId="77777777" w:rsidR="00E434E7" w:rsidRDefault="00E434E7" w:rsidP="00E434E7">
      <w:pPr>
        <w:widowControl/>
        <w:numPr>
          <w:ilvl w:val="0"/>
          <w:numId w:val="10"/>
        </w:numPr>
        <w:autoSpaceDE/>
        <w:autoSpaceDN/>
        <w:spacing w:before="100" w:beforeAutospacing="1" w:after="100" w:afterAutospacing="1" w:line="264" w:lineRule="auto"/>
      </w:pPr>
      <w:r>
        <w:rPr>
          <w:rStyle w:val="Strong"/>
        </w:rPr>
        <w:t>Innovation &amp; R&amp;D</w:t>
      </w:r>
      <w:r>
        <w:t>: 142 patents filed and 86 new products launched in FY24 alone.</w:t>
      </w:r>
    </w:p>
    <w:p w14:paraId="46DA66C8" w14:textId="77777777" w:rsidR="00E434E7" w:rsidRDefault="00E434E7" w:rsidP="00E434E7">
      <w:pPr>
        <w:widowControl/>
        <w:numPr>
          <w:ilvl w:val="0"/>
          <w:numId w:val="10"/>
        </w:numPr>
        <w:autoSpaceDE/>
        <w:autoSpaceDN/>
        <w:spacing w:before="100" w:beforeAutospacing="1" w:after="100" w:afterAutospacing="1" w:line="264" w:lineRule="auto"/>
      </w:pPr>
      <w:r>
        <w:rPr>
          <w:rStyle w:val="Strong"/>
        </w:rPr>
        <w:t>Sustainability Focus</w:t>
      </w:r>
      <w:r>
        <w:t>: ₹1,568 crore invested in ESG initiatives in FY25.</w:t>
      </w:r>
    </w:p>
    <w:p w14:paraId="43A5EEA8" w14:textId="77777777" w:rsidR="00E434E7" w:rsidRDefault="00E434E7" w:rsidP="00E434E7">
      <w:pPr>
        <w:widowControl/>
        <w:numPr>
          <w:ilvl w:val="0"/>
          <w:numId w:val="10"/>
        </w:numPr>
        <w:autoSpaceDE/>
        <w:autoSpaceDN/>
        <w:spacing w:before="100" w:beforeAutospacing="1" w:after="100" w:afterAutospacing="1" w:line="264" w:lineRule="auto"/>
      </w:pPr>
      <w:r>
        <w:rPr>
          <w:rStyle w:val="Strong"/>
        </w:rPr>
        <w:t>Strong Domestic Growth</w:t>
      </w:r>
      <w:r>
        <w:t xml:space="preserve">: Expansion of </w:t>
      </w:r>
      <w:proofErr w:type="spellStart"/>
      <w:r>
        <w:t>Kalinganagar</w:t>
      </w:r>
      <w:proofErr w:type="spellEnd"/>
      <w:r>
        <w:t xml:space="preserve"> plant from 3 MT to 8 MT capacity.</w:t>
      </w:r>
    </w:p>
    <w:p w14:paraId="4FC1815E" w14:textId="77777777" w:rsidR="00E434E7" w:rsidRDefault="00E434E7" w:rsidP="00E434E7">
      <w:pPr>
        <w:pStyle w:val="Heading3"/>
      </w:pPr>
      <w:r>
        <w:rPr>
          <w:rFonts w:ascii="Segoe UI Symbol" w:hAnsi="Segoe UI Symbol" w:cs="Segoe UI Symbol"/>
        </w:rPr>
        <w:t>⚠</w:t>
      </w:r>
      <w:r>
        <w:t xml:space="preserve">️ </w:t>
      </w:r>
      <w:r>
        <w:rPr>
          <w:rStyle w:val="Strong"/>
          <w:b w:val="0"/>
          <w:bCs w:val="0"/>
        </w:rPr>
        <w:t>Weaknesses</w:t>
      </w:r>
    </w:p>
    <w:p w14:paraId="4D8CC0EC" w14:textId="77777777" w:rsidR="00E434E7" w:rsidRDefault="00E434E7" w:rsidP="00E434E7">
      <w:pPr>
        <w:widowControl/>
        <w:numPr>
          <w:ilvl w:val="0"/>
          <w:numId w:val="11"/>
        </w:numPr>
        <w:autoSpaceDE/>
        <w:autoSpaceDN/>
        <w:spacing w:before="100" w:beforeAutospacing="1" w:after="100" w:afterAutospacing="1" w:line="264" w:lineRule="auto"/>
      </w:pPr>
      <w:r>
        <w:rPr>
          <w:rStyle w:val="Strong"/>
        </w:rPr>
        <w:t>European Losses</w:t>
      </w:r>
      <w:r>
        <w:t>: UK and Netherlands operations continue to underperform, with UK posting a £385M EBITDA loss.</w:t>
      </w:r>
    </w:p>
    <w:p w14:paraId="2BD20C68" w14:textId="77777777" w:rsidR="00E434E7" w:rsidRDefault="00E434E7" w:rsidP="00E434E7">
      <w:pPr>
        <w:widowControl/>
        <w:numPr>
          <w:ilvl w:val="0"/>
          <w:numId w:val="11"/>
        </w:numPr>
        <w:autoSpaceDE/>
        <w:autoSpaceDN/>
        <w:spacing w:before="100" w:beforeAutospacing="1" w:after="100" w:afterAutospacing="1" w:line="264" w:lineRule="auto"/>
      </w:pPr>
      <w:r>
        <w:rPr>
          <w:rStyle w:val="Strong"/>
        </w:rPr>
        <w:lastRenderedPageBreak/>
        <w:t>Debt Burden</w:t>
      </w:r>
      <w:r>
        <w:t>: Total debt of ₹38,024 crore due to capital-intensive expansions.</w:t>
      </w:r>
    </w:p>
    <w:p w14:paraId="3432B01F" w14:textId="77777777" w:rsidR="00E434E7" w:rsidRDefault="00E434E7" w:rsidP="00E434E7">
      <w:pPr>
        <w:widowControl/>
        <w:numPr>
          <w:ilvl w:val="0"/>
          <w:numId w:val="11"/>
        </w:numPr>
        <w:autoSpaceDE/>
        <w:autoSpaceDN/>
        <w:spacing w:before="100" w:beforeAutospacing="1" w:after="100" w:afterAutospacing="1" w:line="264" w:lineRule="auto"/>
      </w:pPr>
      <w:r>
        <w:rPr>
          <w:rStyle w:val="Strong"/>
        </w:rPr>
        <w:t>Modest ROE</w:t>
      </w:r>
      <w:r>
        <w:t>: Despite high revenues, net returns remain modest (~6% ROE in FY25).</w:t>
      </w:r>
    </w:p>
    <w:p w14:paraId="5555F611" w14:textId="3D004FD6" w:rsidR="00313505" w:rsidRPr="00313505" w:rsidRDefault="00E434E7" w:rsidP="00313505">
      <w:pPr>
        <w:widowControl/>
        <w:numPr>
          <w:ilvl w:val="0"/>
          <w:numId w:val="11"/>
        </w:numPr>
        <w:autoSpaceDE/>
        <w:autoSpaceDN/>
        <w:spacing w:before="100" w:beforeAutospacing="1" w:after="100" w:afterAutospacing="1" w:line="264" w:lineRule="auto"/>
      </w:pPr>
      <w:r>
        <w:rPr>
          <w:rStyle w:val="Strong"/>
        </w:rPr>
        <w:t>PR Challenges</w:t>
      </w:r>
      <w:r>
        <w:t>: Layoffs and environmental concerns in Europe have affected brand perception.</w:t>
      </w:r>
    </w:p>
    <w:p w14:paraId="5DCDD971" w14:textId="77777777" w:rsidR="00313505" w:rsidRPr="00313505" w:rsidRDefault="00313505" w:rsidP="00313505">
      <w:pPr>
        <w:widowControl/>
        <w:autoSpaceDE/>
        <w:autoSpaceDN/>
        <w:spacing w:before="100" w:beforeAutospacing="1" w:after="100" w:afterAutospacing="1" w:line="264" w:lineRule="auto"/>
        <w:rPr>
          <w:b/>
          <w:bCs/>
          <w:lang w:val="en-IN"/>
        </w:rPr>
      </w:pPr>
      <w:r w:rsidRPr="00313505">
        <w:rPr>
          <w:b/>
          <w:bCs/>
          <w:lang w:val="en-IN"/>
        </w:rPr>
        <w:t>Tata Steel: Strengths &amp; Weaknesses</w:t>
      </w:r>
    </w:p>
    <w:p w14:paraId="3D1BBA23" w14:textId="77777777" w:rsidR="00313505" w:rsidRPr="00313505" w:rsidRDefault="00313505" w:rsidP="00313505">
      <w:pPr>
        <w:widowControl/>
        <w:autoSpaceDE/>
        <w:autoSpaceDN/>
        <w:spacing w:before="100" w:beforeAutospacing="1" w:after="100" w:afterAutospacing="1" w:line="264" w:lineRule="auto"/>
        <w:rPr>
          <w:b/>
          <w:bCs/>
          <w:lang w:val="en-IN"/>
        </w:rPr>
      </w:pPr>
      <w:r w:rsidRPr="00313505">
        <w:rPr>
          <w:b/>
          <w:bCs/>
          <w:lang w:val="en-IN"/>
        </w:rPr>
        <w:t>Strengths</w:t>
      </w:r>
    </w:p>
    <w:p w14:paraId="6BC0B4BE" w14:textId="77777777" w:rsidR="00313505" w:rsidRPr="00313505" w:rsidRDefault="00313505" w:rsidP="00313505">
      <w:pPr>
        <w:widowControl/>
        <w:numPr>
          <w:ilvl w:val="0"/>
          <w:numId w:val="36"/>
        </w:numPr>
        <w:autoSpaceDE/>
        <w:autoSpaceDN/>
        <w:spacing w:before="100" w:beforeAutospacing="1" w:after="100" w:afterAutospacing="1" w:line="264" w:lineRule="auto"/>
        <w:rPr>
          <w:lang w:val="en-IN"/>
        </w:rPr>
      </w:pPr>
      <w:r w:rsidRPr="00313505">
        <w:rPr>
          <w:b/>
          <w:bCs/>
          <w:lang w:val="en-IN"/>
        </w:rPr>
        <w:t>Deeply Integrated Operations &amp; Quality Control</w:t>
      </w:r>
      <w:r w:rsidRPr="00313505">
        <w:rPr>
          <w:lang w:val="en-IN"/>
        </w:rPr>
        <w:br/>
        <w:t>Tata Steel maintains fully integrated operations—from captive mines to steel production—ensuring cost-efficiency, quality, and control over its supply chain. It also taps into economies of scale through its mining, ore, and production assets.</w:t>
      </w:r>
      <w:r w:rsidRPr="00313505">
        <w:rPr>
          <w:lang w:val="en-IN"/>
        </w:rPr>
        <w:br/>
        <w:t>(</w:t>
      </w:r>
      <w:hyperlink r:id="rId14" w:tooltip="Extensive SWOT Analysis Of Tata Steel - 2025 Update | IIDE" w:history="1">
        <w:r w:rsidRPr="00313505">
          <w:rPr>
            <w:rStyle w:val="Hyperlink"/>
            <w:lang w:val="en-IN"/>
          </w:rPr>
          <w:t>IIDE - The Digital School</w:t>
        </w:r>
      </w:hyperlink>
      <w:r w:rsidRPr="00313505">
        <w:rPr>
          <w:lang w:val="en-IN"/>
        </w:rPr>
        <w:t xml:space="preserve">, </w:t>
      </w:r>
      <w:hyperlink r:id="rId15" w:tooltip="Tata Steel SWOT Analysis - Key Strengths &amp; Weaknesses | MBA Skool" w:history="1">
        <w:r w:rsidRPr="00313505">
          <w:rPr>
            <w:rStyle w:val="Hyperlink"/>
            <w:lang w:val="en-IN"/>
          </w:rPr>
          <w:t xml:space="preserve">MBA </w:t>
        </w:r>
        <w:proofErr w:type="spellStart"/>
        <w:r w:rsidRPr="00313505">
          <w:rPr>
            <w:rStyle w:val="Hyperlink"/>
            <w:lang w:val="en-IN"/>
          </w:rPr>
          <w:t>Skool</w:t>
        </w:r>
        <w:proofErr w:type="spellEnd"/>
      </w:hyperlink>
      <w:r w:rsidRPr="00313505">
        <w:rPr>
          <w:lang w:val="en-IN"/>
        </w:rPr>
        <w:t>)</w:t>
      </w:r>
    </w:p>
    <w:p w14:paraId="5AE2C9AB" w14:textId="77777777" w:rsidR="00313505" w:rsidRPr="00313505" w:rsidRDefault="00313505" w:rsidP="00313505">
      <w:pPr>
        <w:widowControl/>
        <w:numPr>
          <w:ilvl w:val="0"/>
          <w:numId w:val="36"/>
        </w:numPr>
        <w:autoSpaceDE/>
        <w:autoSpaceDN/>
        <w:spacing w:before="100" w:beforeAutospacing="1" w:after="100" w:afterAutospacing="1" w:line="264" w:lineRule="auto"/>
        <w:rPr>
          <w:lang w:val="en-IN"/>
        </w:rPr>
      </w:pPr>
      <w:r w:rsidRPr="00313505">
        <w:rPr>
          <w:b/>
          <w:bCs/>
          <w:lang w:val="en-IN"/>
        </w:rPr>
        <w:t>Extensive Global Presence &amp; Diversified Portfolio</w:t>
      </w:r>
      <w:r w:rsidRPr="00313505">
        <w:rPr>
          <w:lang w:val="en-IN"/>
        </w:rPr>
        <w:br/>
        <w:t>With operations across 26 countries and a commercial footprint in over 50 nations, Tata Steel benefits from geographical diversification and resilience to regional demand shocks. Its product offerings span structural, long, flat, agricultural, and specialized steels.</w:t>
      </w:r>
      <w:r w:rsidRPr="00313505">
        <w:rPr>
          <w:lang w:val="en-IN"/>
        </w:rPr>
        <w:br/>
        <w:t>(</w:t>
      </w:r>
      <w:hyperlink r:id="rId16" w:tooltip="Tata Steel SWOT Analysis : Strengths, Weaknesses, Opportunities, and Threats – Latterly.org" w:history="1">
        <w:r w:rsidRPr="00313505">
          <w:rPr>
            <w:rStyle w:val="Hyperlink"/>
            <w:lang w:val="en-IN"/>
          </w:rPr>
          <w:t>Latterly</w:t>
        </w:r>
      </w:hyperlink>
      <w:r w:rsidRPr="00313505">
        <w:rPr>
          <w:lang w:val="en-IN"/>
        </w:rPr>
        <w:t xml:space="preserve">, </w:t>
      </w:r>
      <w:hyperlink r:id="rId17" w:tooltip="SWOT Analysis of Tata Steel (Updated 2025) | Marketing91" w:history="1">
        <w:r w:rsidRPr="00313505">
          <w:rPr>
            <w:rStyle w:val="Hyperlink"/>
            <w:lang w:val="en-IN"/>
          </w:rPr>
          <w:t>Marketing91</w:t>
        </w:r>
      </w:hyperlink>
      <w:r w:rsidRPr="00313505">
        <w:rPr>
          <w:lang w:val="en-IN"/>
        </w:rPr>
        <w:t xml:space="preserve">, </w:t>
      </w:r>
      <w:hyperlink r:id="rId18" w:tooltip="Tata Steel" w:history="1">
        <w:r w:rsidRPr="00313505">
          <w:rPr>
            <w:rStyle w:val="Hyperlink"/>
            <w:lang w:val="en-IN"/>
          </w:rPr>
          <w:t>Wikipedia</w:t>
        </w:r>
      </w:hyperlink>
      <w:r w:rsidRPr="00313505">
        <w:rPr>
          <w:lang w:val="en-IN"/>
        </w:rPr>
        <w:t>)</w:t>
      </w:r>
    </w:p>
    <w:p w14:paraId="495F8DA5" w14:textId="77777777" w:rsidR="00313505" w:rsidRPr="00313505" w:rsidRDefault="00313505" w:rsidP="00313505">
      <w:pPr>
        <w:widowControl/>
        <w:numPr>
          <w:ilvl w:val="0"/>
          <w:numId w:val="36"/>
        </w:numPr>
        <w:autoSpaceDE/>
        <w:autoSpaceDN/>
        <w:spacing w:before="100" w:beforeAutospacing="1" w:after="100" w:afterAutospacing="1" w:line="264" w:lineRule="auto"/>
        <w:rPr>
          <w:lang w:val="en-IN"/>
        </w:rPr>
      </w:pPr>
      <w:r w:rsidRPr="00313505">
        <w:rPr>
          <w:b/>
          <w:bCs/>
          <w:lang w:val="en-IN"/>
        </w:rPr>
        <w:t>Strong Brand &amp; Tata Group Legacy</w:t>
      </w:r>
      <w:r w:rsidRPr="00313505">
        <w:rPr>
          <w:lang w:val="en-IN"/>
        </w:rPr>
        <w:br/>
        <w:t>The Tata name carries significant brand equity—reflecting trust, reliability, and fair corporate conduct—which helps Tata Steel maintain strong customer relationships and access new markets.</w:t>
      </w:r>
      <w:r w:rsidRPr="00313505">
        <w:rPr>
          <w:lang w:val="en-IN"/>
        </w:rPr>
        <w:br/>
        <w:t>(</w:t>
      </w:r>
      <w:hyperlink r:id="rId19" w:tooltip="Tata Steel SWOT Analysis : Strengths, Weaknesses, Opportunities, and Threats – Latterly.org" w:history="1">
        <w:r w:rsidRPr="00313505">
          <w:rPr>
            <w:rStyle w:val="Hyperlink"/>
            <w:lang w:val="en-IN"/>
          </w:rPr>
          <w:t>Latterly</w:t>
        </w:r>
      </w:hyperlink>
      <w:r w:rsidRPr="00313505">
        <w:rPr>
          <w:lang w:val="en-IN"/>
        </w:rPr>
        <w:t xml:space="preserve">, </w:t>
      </w:r>
      <w:hyperlink r:id="rId20" w:tooltip="Extensive SWOT Analysis of Tata Steel in 2025" w:history="1">
        <w:r w:rsidRPr="00313505">
          <w:rPr>
            <w:rStyle w:val="Hyperlink"/>
            <w:lang w:val="en-IN"/>
          </w:rPr>
          <w:t>Academy Of Digital Marketing</w:t>
        </w:r>
      </w:hyperlink>
      <w:r w:rsidRPr="00313505">
        <w:rPr>
          <w:lang w:val="en-IN"/>
        </w:rPr>
        <w:t>)</w:t>
      </w:r>
    </w:p>
    <w:p w14:paraId="71C9DBB0" w14:textId="77777777" w:rsidR="00313505" w:rsidRPr="00313505" w:rsidRDefault="00313505" w:rsidP="00313505">
      <w:pPr>
        <w:widowControl/>
        <w:numPr>
          <w:ilvl w:val="0"/>
          <w:numId w:val="36"/>
        </w:numPr>
        <w:autoSpaceDE/>
        <w:autoSpaceDN/>
        <w:spacing w:before="100" w:beforeAutospacing="1" w:after="100" w:afterAutospacing="1" w:line="264" w:lineRule="auto"/>
        <w:rPr>
          <w:lang w:val="en-IN"/>
        </w:rPr>
      </w:pPr>
      <w:r w:rsidRPr="00313505">
        <w:rPr>
          <w:b/>
          <w:bCs/>
          <w:lang w:val="en-IN"/>
        </w:rPr>
        <w:t>Innovation &amp; Sustainability Focus</w:t>
      </w:r>
      <w:r w:rsidRPr="00313505">
        <w:rPr>
          <w:lang w:val="en-IN"/>
        </w:rPr>
        <w:br/>
        <w:t xml:space="preserve">The company is innovating with advanced smelting technologies (e.g. </w:t>
      </w:r>
      <w:proofErr w:type="spellStart"/>
      <w:r w:rsidRPr="00313505">
        <w:rPr>
          <w:lang w:val="en-IN"/>
        </w:rPr>
        <w:t>HIsarna</w:t>
      </w:r>
      <w:proofErr w:type="spellEnd"/>
      <w:r w:rsidRPr="00313505">
        <w:rPr>
          <w:lang w:val="en-IN"/>
        </w:rPr>
        <w:t>, greener EAF transition) and even pioneering hydrogen transport pipes—a potential game-changer in the clean-energy space.</w:t>
      </w:r>
    </w:p>
    <w:p w14:paraId="67FDEC97" w14:textId="77777777" w:rsidR="00313505" w:rsidRPr="00313505" w:rsidRDefault="00313505" w:rsidP="00313505">
      <w:pPr>
        <w:widowControl/>
        <w:autoSpaceDE/>
        <w:autoSpaceDN/>
        <w:spacing w:before="100" w:beforeAutospacing="1" w:after="100" w:afterAutospacing="1" w:line="264" w:lineRule="auto"/>
        <w:rPr>
          <w:lang w:val="en-IN"/>
        </w:rPr>
      </w:pPr>
      <w:r w:rsidRPr="00313505">
        <w:rPr>
          <w:lang w:val="en-IN"/>
        </w:rPr>
        <w:t>“Tata Steel has achieved a groundbreaking milestone by becoming India’s first company to develop hydrogen transport pipes…”</w:t>
      </w:r>
      <w:r w:rsidRPr="00313505">
        <w:rPr>
          <w:lang w:val="en-IN"/>
        </w:rPr>
        <w:br/>
        <w:t>(</w:t>
      </w:r>
      <w:proofErr w:type="spellStart"/>
      <w:r>
        <w:fldChar w:fldCharType="begin"/>
      </w:r>
      <w:r>
        <w:instrText>HYPERLINK "https://rankexdigital.com/swot-analysis-of-tata-steel/?utm_source=chatgpt.com" \o "In-Depth SWOT Analysis of Tata Steel [Updated 2025]"</w:instrText>
      </w:r>
      <w:r>
        <w:fldChar w:fldCharType="separate"/>
      </w:r>
      <w:r w:rsidRPr="00313505">
        <w:rPr>
          <w:rStyle w:val="Hyperlink"/>
          <w:lang w:val="en-IN"/>
        </w:rPr>
        <w:t>Rankex</w:t>
      </w:r>
      <w:proofErr w:type="spellEnd"/>
      <w:r w:rsidRPr="00313505">
        <w:rPr>
          <w:rStyle w:val="Hyperlink"/>
          <w:lang w:val="en-IN"/>
        </w:rPr>
        <w:t xml:space="preserve"> Digital</w:t>
      </w:r>
      <w:r>
        <w:fldChar w:fldCharType="end"/>
      </w:r>
      <w:r w:rsidRPr="00313505">
        <w:rPr>
          <w:lang w:val="en-IN"/>
        </w:rPr>
        <w:t xml:space="preserve">, </w:t>
      </w:r>
      <w:hyperlink r:id="rId21" w:tooltip="HIsarna ironmaking process" w:history="1">
        <w:r w:rsidRPr="00313505">
          <w:rPr>
            <w:rStyle w:val="Hyperlink"/>
            <w:lang w:val="en-IN"/>
          </w:rPr>
          <w:t>Wikipedia</w:t>
        </w:r>
      </w:hyperlink>
      <w:r w:rsidRPr="00313505">
        <w:rPr>
          <w:lang w:val="en-IN"/>
        </w:rPr>
        <w:t xml:space="preserve">, </w:t>
      </w:r>
      <w:hyperlink r:id="rId22" w:tooltip="Tata Steel becomes India's first to develop hydrogen transport pipes." w:history="1">
        <w:r w:rsidRPr="00313505">
          <w:rPr>
            <w:rStyle w:val="Hyperlink"/>
            <w:lang w:val="en-IN"/>
          </w:rPr>
          <w:t>Reddit</w:t>
        </w:r>
      </w:hyperlink>
      <w:r w:rsidRPr="00313505">
        <w:rPr>
          <w:lang w:val="en-IN"/>
        </w:rPr>
        <w:t>)</w:t>
      </w:r>
    </w:p>
    <w:p w14:paraId="136A4E3A" w14:textId="77777777" w:rsidR="00313505" w:rsidRPr="00313505" w:rsidRDefault="00000000" w:rsidP="00313505">
      <w:pPr>
        <w:widowControl/>
        <w:autoSpaceDE/>
        <w:autoSpaceDN/>
        <w:spacing w:before="100" w:beforeAutospacing="1" w:after="100" w:afterAutospacing="1" w:line="264" w:lineRule="auto"/>
        <w:rPr>
          <w:lang w:val="en-IN"/>
        </w:rPr>
      </w:pPr>
      <w:r>
        <w:rPr>
          <w:lang w:val="en-IN"/>
        </w:rPr>
        <w:pict w14:anchorId="5492D3A5">
          <v:rect id="_x0000_i1034" style="width:0;height:1.5pt" o:hralign="center" o:hrstd="t" o:hr="t" fillcolor="#a0a0a0" stroked="f"/>
        </w:pict>
      </w:r>
    </w:p>
    <w:p w14:paraId="7047B3BA" w14:textId="77777777" w:rsidR="00313505" w:rsidRPr="00313505" w:rsidRDefault="00313505" w:rsidP="00313505">
      <w:pPr>
        <w:widowControl/>
        <w:autoSpaceDE/>
        <w:autoSpaceDN/>
        <w:spacing w:before="100" w:beforeAutospacing="1" w:after="100" w:afterAutospacing="1" w:line="264" w:lineRule="auto"/>
        <w:rPr>
          <w:b/>
          <w:bCs/>
          <w:lang w:val="en-IN"/>
        </w:rPr>
      </w:pPr>
      <w:r w:rsidRPr="00313505">
        <w:rPr>
          <w:b/>
          <w:bCs/>
          <w:lang w:val="en-IN"/>
        </w:rPr>
        <w:t>Weaknesses</w:t>
      </w:r>
    </w:p>
    <w:p w14:paraId="09C6CA4E" w14:textId="77777777" w:rsidR="00313505" w:rsidRPr="00313505" w:rsidRDefault="00313505" w:rsidP="00313505">
      <w:pPr>
        <w:widowControl/>
        <w:numPr>
          <w:ilvl w:val="0"/>
          <w:numId w:val="37"/>
        </w:numPr>
        <w:autoSpaceDE/>
        <w:autoSpaceDN/>
        <w:spacing w:before="100" w:beforeAutospacing="1" w:after="100" w:afterAutospacing="1" w:line="264" w:lineRule="auto"/>
        <w:rPr>
          <w:lang w:val="en-IN"/>
        </w:rPr>
      </w:pPr>
      <w:r w:rsidRPr="00313505">
        <w:rPr>
          <w:b/>
          <w:bCs/>
          <w:lang w:val="en-IN"/>
        </w:rPr>
        <w:t>Heavy Dependence on Europe</w:t>
      </w:r>
      <w:r w:rsidRPr="00313505">
        <w:rPr>
          <w:lang w:val="en-IN"/>
        </w:rPr>
        <w:br/>
        <w:t>Over 50% of Tata Steel's operations are tied to Europe, making it vulnerable to slowdowns, regulatory shifts, or market disruptions there.</w:t>
      </w:r>
      <w:r w:rsidRPr="00313505">
        <w:rPr>
          <w:lang w:val="en-IN"/>
        </w:rPr>
        <w:br/>
        <w:t>(</w:t>
      </w:r>
      <w:hyperlink r:id="rId23" w:tooltip="Extensive SWOT Analysis Of Tata Steel - 2025 Update | IIDE" w:history="1">
        <w:r w:rsidRPr="00313505">
          <w:rPr>
            <w:rStyle w:val="Hyperlink"/>
            <w:lang w:val="en-IN"/>
          </w:rPr>
          <w:t>IIDE - The Digital School</w:t>
        </w:r>
      </w:hyperlink>
      <w:r w:rsidRPr="00313505">
        <w:rPr>
          <w:lang w:val="en-IN"/>
        </w:rPr>
        <w:t xml:space="preserve">, </w:t>
      </w:r>
      <w:hyperlink r:id="rId24" w:tooltip="Extensive SWOT Analysis of Tata Steel in 2025" w:history="1">
        <w:r w:rsidRPr="00313505">
          <w:rPr>
            <w:rStyle w:val="Hyperlink"/>
            <w:lang w:val="en-IN"/>
          </w:rPr>
          <w:t>Academy Of Digital Marketing</w:t>
        </w:r>
      </w:hyperlink>
      <w:r w:rsidRPr="00313505">
        <w:rPr>
          <w:lang w:val="en-IN"/>
        </w:rPr>
        <w:t xml:space="preserve">, </w:t>
      </w:r>
      <w:hyperlink r:id="rId25" w:tooltip="Tata Steel" w:history="1">
        <w:r w:rsidRPr="00313505">
          <w:rPr>
            <w:rStyle w:val="Hyperlink"/>
            <w:lang w:val="en-IN"/>
          </w:rPr>
          <w:t>Wikipedia</w:t>
        </w:r>
      </w:hyperlink>
      <w:r w:rsidRPr="00313505">
        <w:rPr>
          <w:lang w:val="en-IN"/>
        </w:rPr>
        <w:t>)</w:t>
      </w:r>
    </w:p>
    <w:p w14:paraId="2A4BBCD2" w14:textId="77777777" w:rsidR="00313505" w:rsidRPr="00313505" w:rsidRDefault="00313505" w:rsidP="00313505">
      <w:pPr>
        <w:widowControl/>
        <w:numPr>
          <w:ilvl w:val="0"/>
          <w:numId w:val="37"/>
        </w:numPr>
        <w:autoSpaceDE/>
        <w:autoSpaceDN/>
        <w:spacing w:before="100" w:beforeAutospacing="1" w:after="100" w:afterAutospacing="1" w:line="264" w:lineRule="auto"/>
        <w:rPr>
          <w:lang w:val="en-IN"/>
        </w:rPr>
      </w:pPr>
      <w:r w:rsidRPr="00313505">
        <w:rPr>
          <w:b/>
          <w:bCs/>
          <w:lang w:val="en-IN"/>
        </w:rPr>
        <w:t>Operational Complexity in Europe</w:t>
      </w:r>
      <w:r w:rsidRPr="00313505">
        <w:rPr>
          <w:lang w:val="en-IN"/>
        </w:rPr>
        <w:br/>
        <w:t>Unlike its integrated operations in India, its European operations are fragmented and dependent on external suppliers—raising concerns over cost, quality control, and efficiency.</w:t>
      </w:r>
      <w:r w:rsidRPr="00313505">
        <w:rPr>
          <w:lang w:val="en-IN"/>
        </w:rPr>
        <w:br/>
        <w:t>(</w:t>
      </w:r>
      <w:hyperlink r:id="rId26" w:tooltip="Extensive SWOT Analysis Of Tata Steel - 2025 Update | IIDE" w:history="1">
        <w:r w:rsidRPr="00313505">
          <w:rPr>
            <w:rStyle w:val="Hyperlink"/>
            <w:lang w:val="en-IN"/>
          </w:rPr>
          <w:t>IIDE - The Digital School</w:t>
        </w:r>
      </w:hyperlink>
      <w:r w:rsidRPr="00313505">
        <w:rPr>
          <w:lang w:val="en-IN"/>
        </w:rPr>
        <w:t xml:space="preserve">, </w:t>
      </w:r>
      <w:hyperlink r:id="rId27" w:tooltip="Extensive SWOT Analysis of Tata Steel in 2025" w:history="1">
        <w:r w:rsidRPr="00313505">
          <w:rPr>
            <w:rStyle w:val="Hyperlink"/>
            <w:lang w:val="en-IN"/>
          </w:rPr>
          <w:t>Academy Of Digital Marketing</w:t>
        </w:r>
      </w:hyperlink>
      <w:r w:rsidRPr="00313505">
        <w:rPr>
          <w:lang w:val="en-IN"/>
        </w:rPr>
        <w:t>)</w:t>
      </w:r>
    </w:p>
    <w:p w14:paraId="36979DC1" w14:textId="77777777" w:rsidR="00313505" w:rsidRPr="00313505" w:rsidRDefault="00313505" w:rsidP="00313505">
      <w:pPr>
        <w:widowControl/>
        <w:numPr>
          <w:ilvl w:val="0"/>
          <w:numId w:val="37"/>
        </w:numPr>
        <w:autoSpaceDE/>
        <w:autoSpaceDN/>
        <w:spacing w:before="100" w:beforeAutospacing="1" w:after="100" w:afterAutospacing="1" w:line="264" w:lineRule="auto"/>
        <w:rPr>
          <w:lang w:val="en-IN"/>
        </w:rPr>
      </w:pPr>
      <w:r w:rsidRPr="00313505">
        <w:rPr>
          <w:b/>
          <w:bCs/>
          <w:lang w:val="en-IN"/>
        </w:rPr>
        <w:t>Relative Lag in Efficiency &amp; Technology</w:t>
      </w:r>
      <w:r w:rsidRPr="00313505">
        <w:rPr>
          <w:lang w:val="en-IN"/>
        </w:rPr>
        <w:br/>
        <w:t>Compared to global peers, Tata Steel's operational efficiency and tech capabilities are perceived as trailing, particularly in international segments.</w:t>
      </w:r>
      <w:r w:rsidRPr="00313505">
        <w:rPr>
          <w:lang w:val="en-IN"/>
        </w:rPr>
        <w:br/>
        <w:t>(</w:t>
      </w:r>
      <w:hyperlink r:id="rId28" w:tooltip="Tata Steel SWOT Analysis - Key Strengths &amp; Weaknesses | MBA Skool" w:history="1">
        <w:r w:rsidRPr="00313505">
          <w:rPr>
            <w:rStyle w:val="Hyperlink"/>
            <w:lang w:val="en-IN"/>
          </w:rPr>
          <w:t xml:space="preserve">MBA </w:t>
        </w:r>
        <w:proofErr w:type="spellStart"/>
        <w:r w:rsidRPr="00313505">
          <w:rPr>
            <w:rStyle w:val="Hyperlink"/>
            <w:lang w:val="en-IN"/>
          </w:rPr>
          <w:t>Skool</w:t>
        </w:r>
        <w:proofErr w:type="spellEnd"/>
      </w:hyperlink>
      <w:r w:rsidRPr="00313505">
        <w:rPr>
          <w:lang w:val="en-IN"/>
        </w:rPr>
        <w:t xml:space="preserve">, </w:t>
      </w:r>
      <w:hyperlink r:id="rId29" w:tooltip="Extensive SWOT Analysis Of Tata Steel - 2025 Update | IIDE" w:history="1">
        <w:r w:rsidRPr="00313505">
          <w:rPr>
            <w:rStyle w:val="Hyperlink"/>
            <w:lang w:val="en-IN"/>
          </w:rPr>
          <w:t>IIDE - The Digital School</w:t>
        </w:r>
      </w:hyperlink>
      <w:r w:rsidRPr="00313505">
        <w:rPr>
          <w:lang w:val="en-IN"/>
        </w:rPr>
        <w:t>)</w:t>
      </w:r>
    </w:p>
    <w:p w14:paraId="718BCA4E" w14:textId="77777777" w:rsidR="00313505" w:rsidRPr="00313505" w:rsidRDefault="00313505" w:rsidP="00313505">
      <w:pPr>
        <w:widowControl/>
        <w:numPr>
          <w:ilvl w:val="0"/>
          <w:numId w:val="37"/>
        </w:numPr>
        <w:autoSpaceDE/>
        <w:autoSpaceDN/>
        <w:spacing w:before="100" w:beforeAutospacing="1" w:after="100" w:afterAutospacing="1" w:line="264" w:lineRule="auto"/>
        <w:rPr>
          <w:lang w:val="en-IN"/>
        </w:rPr>
      </w:pPr>
      <w:r w:rsidRPr="00313505">
        <w:rPr>
          <w:b/>
          <w:bCs/>
          <w:lang w:val="en-IN"/>
        </w:rPr>
        <w:t>Environmental &amp; Reputation Challenges</w:t>
      </w:r>
      <w:r w:rsidRPr="00313505">
        <w:rPr>
          <w:lang w:val="en-IN"/>
        </w:rPr>
        <w:br/>
        <w:t xml:space="preserve">The company faces scrutiny over a major blast furnace expansion in India, seen as “hypocritical” in light of its shift away from traditional furnaces in the UK for sustainability reasons. Environmental violations in Europe, especially at the IJmuiden plant, also pose </w:t>
      </w:r>
      <w:r w:rsidRPr="00313505">
        <w:rPr>
          <w:lang w:val="en-IN"/>
        </w:rPr>
        <w:lastRenderedPageBreak/>
        <w:t>regulatory and financial risks.</w:t>
      </w:r>
      <w:r w:rsidRPr="00313505">
        <w:rPr>
          <w:lang w:val="en-IN"/>
        </w:rPr>
        <w:br/>
        <w:t>(</w:t>
      </w:r>
      <w:hyperlink r:id="rId30" w:tooltip="'Hypocrisy': Tata builds vast India furnace despite Port Talbot emissions claims" w:history="1">
        <w:r w:rsidRPr="00313505">
          <w:rPr>
            <w:rStyle w:val="Hyperlink"/>
            <w:lang w:val="en-IN"/>
          </w:rPr>
          <w:t>The Guardian</w:t>
        </w:r>
      </w:hyperlink>
      <w:r w:rsidRPr="00313505">
        <w:rPr>
          <w:lang w:val="en-IN"/>
        </w:rPr>
        <w:t xml:space="preserve">, </w:t>
      </w:r>
      <w:hyperlink r:id="rId31" w:tooltip="Tata Steel announces plans to cut 2,800 jobs in a blow to Welsh town built on steelmaking" w:history="1">
        <w:r w:rsidRPr="00313505">
          <w:rPr>
            <w:rStyle w:val="Hyperlink"/>
            <w:lang w:val="en-IN"/>
          </w:rPr>
          <w:t>AP News</w:t>
        </w:r>
      </w:hyperlink>
      <w:r w:rsidRPr="00313505">
        <w:rPr>
          <w:lang w:val="en-IN"/>
        </w:rPr>
        <w:t xml:space="preserve">, </w:t>
      </w:r>
      <w:hyperlink r:id="rId32" w:tooltip="Tata Steel" w:history="1">
        <w:r w:rsidRPr="00313505">
          <w:rPr>
            <w:rStyle w:val="Hyperlink"/>
            <w:lang w:val="en-IN"/>
          </w:rPr>
          <w:t>Wikipedia</w:t>
        </w:r>
      </w:hyperlink>
      <w:r w:rsidRPr="00313505">
        <w:rPr>
          <w:lang w:val="en-IN"/>
        </w:rPr>
        <w:t xml:space="preserve">, </w:t>
      </w:r>
      <w:hyperlink r:id="rId33" w:tooltip="Tata Steel .." w:history="1">
        <w:r w:rsidRPr="00313505">
          <w:rPr>
            <w:rStyle w:val="Hyperlink"/>
            <w:lang w:val="en-IN"/>
          </w:rPr>
          <w:t>Reddit</w:t>
        </w:r>
      </w:hyperlink>
      <w:r w:rsidRPr="00313505">
        <w:rPr>
          <w:lang w:val="en-IN"/>
        </w:rPr>
        <w:t>)</w:t>
      </w:r>
    </w:p>
    <w:p w14:paraId="1ADD0055" w14:textId="77777777" w:rsidR="00313505" w:rsidRPr="00313505" w:rsidRDefault="00000000" w:rsidP="00313505">
      <w:pPr>
        <w:widowControl/>
        <w:autoSpaceDE/>
        <w:autoSpaceDN/>
        <w:spacing w:before="100" w:beforeAutospacing="1" w:after="100" w:afterAutospacing="1" w:line="264" w:lineRule="auto"/>
        <w:rPr>
          <w:lang w:val="en-IN"/>
        </w:rPr>
      </w:pPr>
      <w:r>
        <w:rPr>
          <w:lang w:val="en-IN"/>
        </w:rPr>
        <w:pict w14:anchorId="1FCE542F">
          <v:rect id="_x0000_i1035" style="width:0;height:1.5pt" o:hralign="center" o:hrstd="t" o:hr="t" fillcolor="#a0a0a0" stroked="f"/>
        </w:pict>
      </w:r>
    </w:p>
    <w:p w14:paraId="2B62893B" w14:textId="77777777" w:rsidR="00313505" w:rsidRPr="00313505" w:rsidRDefault="00313505" w:rsidP="00313505">
      <w:pPr>
        <w:widowControl/>
        <w:autoSpaceDE/>
        <w:autoSpaceDN/>
        <w:spacing w:before="100" w:beforeAutospacing="1" w:after="100" w:afterAutospacing="1" w:line="264" w:lineRule="auto"/>
        <w:rPr>
          <w:b/>
          <w:bCs/>
          <w:lang w:val="en-IN"/>
        </w:rPr>
      </w:pPr>
      <w:r w:rsidRPr="00313505">
        <w:rPr>
          <w:b/>
          <w:bCs/>
          <w:lang w:val="en-IN"/>
        </w:rPr>
        <w:t>Summarized SWOT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0"/>
        <w:gridCol w:w="7967"/>
      </w:tblGrid>
      <w:tr w:rsidR="00313505" w:rsidRPr="00313505" w14:paraId="3CD988C5" w14:textId="77777777">
        <w:trPr>
          <w:tblHeader/>
          <w:tblCellSpacing w:w="15" w:type="dxa"/>
        </w:trPr>
        <w:tc>
          <w:tcPr>
            <w:tcW w:w="0" w:type="auto"/>
            <w:vAlign w:val="center"/>
            <w:hideMark/>
          </w:tcPr>
          <w:p w14:paraId="7E3779CA" w14:textId="77777777" w:rsidR="00313505" w:rsidRPr="00313505" w:rsidRDefault="00313505" w:rsidP="00313505">
            <w:pPr>
              <w:widowControl/>
              <w:autoSpaceDE/>
              <w:autoSpaceDN/>
              <w:spacing w:before="100" w:beforeAutospacing="1" w:after="100" w:afterAutospacing="1" w:line="264" w:lineRule="auto"/>
              <w:rPr>
                <w:b/>
                <w:bCs/>
                <w:lang w:val="en-IN"/>
              </w:rPr>
            </w:pPr>
            <w:r w:rsidRPr="00313505">
              <w:rPr>
                <w:b/>
                <w:bCs/>
                <w:lang w:val="en-IN"/>
              </w:rPr>
              <w:t>Category</w:t>
            </w:r>
          </w:p>
        </w:tc>
        <w:tc>
          <w:tcPr>
            <w:tcW w:w="0" w:type="auto"/>
            <w:vAlign w:val="center"/>
            <w:hideMark/>
          </w:tcPr>
          <w:p w14:paraId="31484706" w14:textId="77777777" w:rsidR="00313505" w:rsidRPr="00313505" w:rsidRDefault="00313505" w:rsidP="00313505">
            <w:pPr>
              <w:widowControl/>
              <w:autoSpaceDE/>
              <w:autoSpaceDN/>
              <w:spacing w:before="100" w:beforeAutospacing="1" w:after="100" w:afterAutospacing="1" w:line="264" w:lineRule="auto"/>
              <w:rPr>
                <w:b/>
                <w:bCs/>
                <w:lang w:val="en-IN"/>
              </w:rPr>
            </w:pPr>
            <w:r w:rsidRPr="00313505">
              <w:rPr>
                <w:b/>
                <w:bCs/>
                <w:lang w:val="en-IN"/>
              </w:rPr>
              <w:t>Highlights</w:t>
            </w:r>
          </w:p>
        </w:tc>
      </w:tr>
      <w:tr w:rsidR="00313505" w:rsidRPr="00313505" w14:paraId="6936749D" w14:textId="77777777">
        <w:trPr>
          <w:tblCellSpacing w:w="15" w:type="dxa"/>
        </w:trPr>
        <w:tc>
          <w:tcPr>
            <w:tcW w:w="0" w:type="auto"/>
            <w:vAlign w:val="center"/>
            <w:hideMark/>
          </w:tcPr>
          <w:p w14:paraId="0060D45F" w14:textId="77777777" w:rsidR="00313505" w:rsidRPr="00313505" w:rsidRDefault="00313505" w:rsidP="00313505">
            <w:pPr>
              <w:widowControl/>
              <w:autoSpaceDE/>
              <w:autoSpaceDN/>
              <w:spacing w:before="100" w:beforeAutospacing="1" w:after="100" w:afterAutospacing="1" w:line="264" w:lineRule="auto"/>
              <w:rPr>
                <w:lang w:val="en-IN"/>
              </w:rPr>
            </w:pPr>
            <w:r w:rsidRPr="00313505">
              <w:rPr>
                <w:b/>
                <w:bCs/>
                <w:lang w:val="en-IN"/>
              </w:rPr>
              <w:t>Strengths</w:t>
            </w:r>
          </w:p>
        </w:tc>
        <w:tc>
          <w:tcPr>
            <w:tcW w:w="0" w:type="auto"/>
            <w:vAlign w:val="center"/>
            <w:hideMark/>
          </w:tcPr>
          <w:p w14:paraId="1DBFFC15" w14:textId="77777777" w:rsidR="00313505" w:rsidRPr="00313505" w:rsidRDefault="00313505" w:rsidP="00313505">
            <w:pPr>
              <w:widowControl/>
              <w:autoSpaceDE/>
              <w:autoSpaceDN/>
              <w:spacing w:before="100" w:beforeAutospacing="1" w:after="100" w:afterAutospacing="1" w:line="264" w:lineRule="auto"/>
              <w:rPr>
                <w:lang w:val="en-IN"/>
              </w:rPr>
            </w:pPr>
            <w:r w:rsidRPr="00313505">
              <w:rPr>
                <w:lang w:val="en-IN"/>
              </w:rPr>
              <w:t>- Integrated operations in India &amp; control over raw materials- Global footprint with diverse products- Strong Tata brand and customer trust- Investment in greener tech and innovation</w:t>
            </w:r>
          </w:p>
        </w:tc>
      </w:tr>
      <w:tr w:rsidR="00313505" w:rsidRPr="00313505" w14:paraId="5BFF921B" w14:textId="77777777">
        <w:trPr>
          <w:tblCellSpacing w:w="15" w:type="dxa"/>
        </w:trPr>
        <w:tc>
          <w:tcPr>
            <w:tcW w:w="0" w:type="auto"/>
            <w:vAlign w:val="center"/>
            <w:hideMark/>
          </w:tcPr>
          <w:p w14:paraId="6924A218" w14:textId="77777777" w:rsidR="00313505" w:rsidRPr="00313505" w:rsidRDefault="00313505" w:rsidP="00313505">
            <w:pPr>
              <w:widowControl/>
              <w:autoSpaceDE/>
              <w:autoSpaceDN/>
              <w:spacing w:before="100" w:beforeAutospacing="1" w:after="100" w:afterAutospacing="1" w:line="264" w:lineRule="auto"/>
              <w:rPr>
                <w:lang w:val="en-IN"/>
              </w:rPr>
            </w:pPr>
            <w:r w:rsidRPr="00313505">
              <w:rPr>
                <w:b/>
                <w:bCs/>
                <w:lang w:val="en-IN"/>
              </w:rPr>
              <w:t>Weaknesses</w:t>
            </w:r>
          </w:p>
        </w:tc>
        <w:tc>
          <w:tcPr>
            <w:tcW w:w="0" w:type="auto"/>
            <w:vAlign w:val="center"/>
            <w:hideMark/>
          </w:tcPr>
          <w:p w14:paraId="3D6B649C" w14:textId="77777777" w:rsidR="00313505" w:rsidRPr="00313505" w:rsidRDefault="00313505" w:rsidP="00313505">
            <w:pPr>
              <w:widowControl/>
              <w:autoSpaceDE/>
              <w:autoSpaceDN/>
              <w:spacing w:before="100" w:beforeAutospacing="1" w:after="100" w:afterAutospacing="1" w:line="264" w:lineRule="auto"/>
              <w:rPr>
                <w:lang w:val="en-IN"/>
              </w:rPr>
            </w:pPr>
            <w:r w:rsidRPr="00313505">
              <w:rPr>
                <w:lang w:val="en-IN"/>
              </w:rPr>
              <w:t>- Over-reliance on volatile European markets- Disaggregated, less efficient European operations- Operational and technological lag compared to top global peers- Environmental controversies and regulatory risks</w:t>
            </w:r>
          </w:p>
        </w:tc>
      </w:tr>
    </w:tbl>
    <w:p w14:paraId="4DA3037B" w14:textId="77777777" w:rsidR="00313505" w:rsidRPr="00313505" w:rsidRDefault="00313505" w:rsidP="00313505">
      <w:pPr>
        <w:widowControl/>
        <w:autoSpaceDE/>
        <w:autoSpaceDN/>
        <w:spacing w:before="100" w:beforeAutospacing="1" w:after="100" w:afterAutospacing="1" w:line="264" w:lineRule="auto"/>
        <w:rPr>
          <w:b/>
          <w:bCs/>
          <w:lang w:val="en-IN"/>
        </w:rPr>
      </w:pPr>
      <w:r w:rsidRPr="00313505">
        <w:rPr>
          <w:b/>
          <w:bCs/>
          <w:lang w:val="en-IN"/>
        </w:rPr>
        <w:t>Insights for Investors &amp; Stakeholders</w:t>
      </w:r>
    </w:p>
    <w:p w14:paraId="01C965F8" w14:textId="77777777" w:rsidR="00313505" w:rsidRPr="00313505" w:rsidRDefault="00313505" w:rsidP="00313505">
      <w:pPr>
        <w:widowControl/>
        <w:numPr>
          <w:ilvl w:val="0"/>
          <w:numId w:val="38"/>
        </w:numPr>
        <w:autoSpaceDE/>
        <w:autoSpaceDN/>
        <w:spacing w:before="100" w:beforeAutospacing="1" w:after="100" w:afterAutospacing="1" w:line="264" w:lineRule="auto"/>
        <w:rPr>
          <w:lang w:val="en-IN"/>
        </w:rPr>
      </w:pPr>
      <w:r w:rsidRPr="00313505">
        <w:rPr>
          <w:b/>
          <w:bCs/>
          <w:lang w:val="en-IN"/>
        </w:rPr>
        <w:t>Rebound Potential</w:t>
      </w:r>
      <w:r w:rsidRPr="00313505">
        <w:rPr>
          <w:lang w:val="en-IN"/>
        </w:rPr>
        <w:t xml:space="preserve">: Analysts like Jefferies see promising signs of recovery, citing easing imports, better price spreads, and supportive policy—forecasting around </w:t>
      </w:r>
      <w:r w:rsidRPr="00313505">
        <w:rPr>
          <w:b/>
          <w:bCs/>
          <w:lang w:val="en-IN"/>
        </w:rPr>
        <w:t>23% upside</w:t>
      </w:r>
      <w:r w:rsidRPr="00313505">
        <w:rPr>
          <w:lang w:val="en-IN"/>
        </w:rPr>
        <w:t xml:space="preserve"> for Tata Steel.</w:t>
      </w:r>
      <w:r w:rsidRPr="00313505">
        <w:rPr>
          <w:lang w:val="en-IN"/>
        </w:rPr>
        <w:br/>
        <w:t>(</w:t>
      </w:r>
      <w:hyperlink r:id="rId34" w:tooltip="Jefferies sees 'greenshoots' for Indian metal players, picks Tata Steel and Jindal Stainless as top bets for rebound" w:history="1">
        <w:r w:rsidRPr="00313505">
          <w:rPr>
            <w:rStyle w:val="Hyperlink"/>
            <w:lang w:val="en-IN"/>
          </w:rPr>
          <w:t>The Economic Times</w:t>
        </w:r>
      </w:hyperlink>
      <w:r w:rsidRPr="00313505">
        <w:rPr>
          <w:lang w:val="en-IN"/>
        </w:rPr>
        <w:t>)</w:t>
      </w:r>
    </w:p>
    <w:p w14:paraId="26599E3B" w14:textId="77777777" w:rsidR="00313505" w:rsidRPr="00313505" w:rsidRDefault="00313505" w:rsidP="00313505">
      <w:pPr>
        <w:widowControl/>
        <w:numPr>
          <w:ilvl w:val="0"/>
          <w:numId w:val="38"/>
        </w:numPr>
        <w:autoSpaceDE/>
        <w:autoSpaceDN/>
        <w:spacing w:before="100" w:beforeAutospacing="1" w:after="100" w:afterAutospacing="1" w:line="264" w:lineRule="auto"/>
        <w:rPr>
          <w:lang w:val="en-IN"/>
        </w:rPr>
      </w:pPr>
      <w:r w:rsidRPr="00313505">
        <w:rPr>
          <w:b/>
          <w:bCs/>
          <w:lang w:val="en-IN"/>
        </w:rPr>
        <w:t>Restructuring Focus</w:t>
      </w:r>
      <w:r w:rsidRPr="00313505">
        <w:rPr>
          <w:lang w:val="en-IN"/>
        </w:rPr>
        <w:t>: Tata Steel is implementing a large-scale cost-saving plan—₹11,500 crore for FY26—across India, UK, and Netherlands operations to improve margins and streamline operations.</w:t>
      </w:r>
      <w:r w:rsidRPr="00313505">
        <w:rPr>
          <w:lang w:val="en-IN"/>
        </w:rPr>
        <w:br/>
        <w:t>(</w:t>
      </w:r>
      <w:hyperlink r:id="rId35" w:tooltip="Tata steel, UPL &amp; more: Top stocks on brokers' radar for May 14" w:history="1">
        <w:r w:rsidRPr="00313505">
          <w:rPr>
            <w:rStyle w:val="Hyperlink"/>
            <w:lang w:val="en-IN"/>
          </w:rPr>
          <w:t>The Times of India</w:t>
        </w:r>
      </w:hyperlink>
      <w:r w:rsidRPr="00313505">
        <w:rPr>
          <w:lang w:val="en-IN"/>
        </w:rPr>
        <w:t>)</w:t>
      </w:r>
    </w:p>
    <w:p w14:paraId="231B6D11" w14:textId="6106AFB1" w:rsidR="00313505" w:rsidRPr="00313505" w:rsidRDefault="00313505" w:rsidP="00313505">
      <w:pPr>
        <w:widowControl/>
        <w:numPr>
          <w:ilvl w:val="0"/>
          <w:numId w:val="38"/>
        </w:numPr>
        <w:autoSpaceDE/>
        <w:autoSpaceDN/>
        <w:spacing w:before="100" w:beforeAutospacing="1" w:after="100" w:afterAutospacing="1" w:line="264" w:lineRule="auto"/>
        <w:rPr>
          <w:lang w:val="en-IN"/>
        </w:rPr>
      </w:pPr>
      <w:r w:rsidRPr="00313505">
        <w:rPr>
          <w:b/>
          <w:bCs/>
          <w:lang w:val="en-IN"/>
        </w:rPr>
        <w:t>Market Pressure</w:t>
      </w:r>
      <w:r w:rsidRPr="00313505">
        <w:rPr>
          <w:lang w:val="en-IN"/>
        </w:rPr>
        <w:t>: While margins are under strain due to cheap Chinese imports and tariff shifts, domestic demand and falling raw material costs provide some mitigation.</w:t>
      </w:r>
      <w:r w:rsidRPr="00313505">
        <w:rPr>
          <w:lang w:val="en-IN"/>
        </w:rPr>
        <w:br/>
        <w:t>(</w:t>
      </w:r>
      <w:hyperlink r:id="rId36" w:tooltip="Indian steel prices facing risk from Chinese imports, tariff pressures, Fitch says" w:history="1">
        <w:r w:rsidRPr="00313505">
          <w:rPr>
            <w:rStyle w:val="Hyperlink"/>
            <w:lang w:val="en-IN"/>
          </w:rPr>
          <w:t>Reuters</w:t>
        </w:r>
      </w:hyperlink>
      <w:r w:rsidRPr="00313505">
        <w:rPr>
          <w:lang w:val="en-IN"/>
        </w:rPr>
        <w:t>)</w:t>
      </w:r>
    </w:p>
    <w:p w14:paraId="41BA01D7" w14:textId="77777777" w:rsidR="00E434E7" w:rsidRDefault="00000000" w:rsidP="00E434E7">
      <w:r>
        <w:pict w14:anchorId="3C349156">
          <v:rect id="_x0000_i1036" style="width:0;height:1.5pt" o:hralign="center" o:hrstd="t" o:hr="t" fillcolor="#a0a0a0" stroked="f"/>
        </w:pict>
      </w:r>
    </w:p>
    <w:p w14:paraId="17E5734B" w14:textId="10826539" w:rsidR="00E434E7" w:rsidRDefault="00E434E7" w:rsidP="00E434E7">
      <w:pPr>
        <w:pStyle w:val="Heading3"/>
      </w:pPr>
      <w:r>
        <w:rPr>
          <w:rFonts w:ascii="Segoe UI Symbol" w:hAnsi="Segoe UI Symbol" w:cs="Segoe UI Symbol"/>
        </w:rPr>
        <w:t>🌱</w:t>
      </w:r>
      <w:r>
        <w:t xml:space="preserve"> </w:t>
      </w:r>
      <w:r>
        <w:rPr>
          <w:rStyle w:val="Strong"/>
          <w:b w:val="0"/>
          <w:bCs w:val="0"/>
        </w:rPr>
        <w:t>CSR Initiatives</w:t>
      </w:r>
      <w:r w:rsidR="0021234D" w:rsidRPr="0021234D">
        <w:rPr>
          <w:rStyle w:val="Strong"/>
          <w:b w:val="0"/>
          <w:bCs w:val="0"/>
          <w:noProof/>
        </w:rPr>
        <w:drawing>
          <wp:inline distT="0" distB="0" distL="0" distR="0" wp14:anchorId="7571E60A" wp14:editId="43B8C4AC">
            <wp:extent cx="5763895" cy="2680335"/>
            <wp:effectExtent l="0" t="0" r="8255" b="5715"/>
            <wp:docPr id="2050796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796255" name=""/>
                    <pic:cNvPicPr/>
                  </pic:nvPicPr>
                  <pic:blipFill>
                    <a:blip r:embed="rId37"/>
                    <a:stretch>
                      <a:fillRect/>
                    </a:stretch>
                  </pic:blipFill>
                  <pic:spPr>
                    <a:xfrm>
                      <a:off x="0" y="0"/>
                      <a:ext cx="5763895" cy="2680335"/>
                    </a:xfrm>
                    <a:prstGeom prst="rect">
                      <a:avLst/>
                    </a:prstGeom>
                  </pic:spPr>
                </pic:pic>
              </a:graphicData>
            </a:graphic>
          </wp:inline>
        </w:drawing>
      </w:r>
    </w:p>
    <w:p w14:paraId="5884C415" w14:textId="77777777" w:rsidR="00E434E7" w:rsidRDefault="00E434E7" w:rsidP="00E434E7">
      <w:pPr>
        <w:pStyle w:val="NormalWeb"/>
      </w:pPr>
      <w:r>
        <w:t>Tata Steel is a pioneer in corporate social responsibility:</w:t>
      </w:r>
    </w:p>
    <w:p w14:paraId="78635089" w14:textId="77777777" w:rsidR="00E434E7" w:rsidRDefault="00E434E7" w:rsidP="00E434E7">
      <w:pPr>
        <w:widowControl/>
        <w:numPr>
          <w:ilvl w:val="0"/>
          <w:numId w:val="12"/>
        </w:numPr>
        <w:autoSpaceDE/>
        <w:autoSpaceDN/>
        <w:spacing w:before="100" w:beforeAutospacing="1" w:after="100" w:afterAutospacing="1" w:line="264" w:lineRule="auto"/>
      </w:pPr>
      <w:r>
        <w:rPr>
          <w:rStyle w:val="Strong"/>
        </w:rPr>
        <w:t>Education &amp; Skill Development</w:t>
      </w:r>
      <w:r>
        <w:t xml:space="preserve">: Tribal language </w:t>
      </w:r>
      <w:proofErr w:type="spellStart"/>
      <w:r>
        <w:t>centers</w:t>
      </w:r>
      <w:proofErr w:type="spellEnd"/>
      <w:r>
        <w:t xml:space="preserve">, </w:t>
      </w:r>
      <w:proofErr w:type="spellStart"/>
      <w:r>
        <w:t>Samvaad</w:t>
      </w:r>
      <w:proofErr w:type="spellEnd"/>
      <w:r>
        <w:t xml:space="preserve"> conclave, vocational training.</w:t>
      </w:r>
    </w:p>
    <w:p w14:paraId="1515A217" w14:textId="77777777" w:rsidR="00E434E7" w:rsidRDefault="00E434E7" w:rsidP="00E434E7">
      <w:pPr>
        <w:widowControl/>
        <w:numPr>
          <w:ilvl w:val="0"/>
          <w:numId w:val="12"/>
        </w:numPr>
        <w:autoSpaceDE/>
        <w:autoSpaceDN/>
        <w:spacing w:before="100" w:beforeAutospacing="1" w:after="100" w:afterAutospacing="1" w:line="264" w:lineRule="auto"/>
      </w:pPr>
      <w:r>
        <w:rPr>
          <w:rStyle w:val="Strong"/>
        </w:rPr>
        <w:t>Healthcare</w:t>
      </w:r>
      <w:r>
        <w:t>: Static clinics, emergency medical support, hygiene awareness.</w:t>
      </w:r>
    </w:p>
    <w:p w14:paraId="79F80BD1" w14:textId="77777777" w:rsidR="00E434E7" w:rsidRDefault="00E434E7" w:rsidP="00E434E7">
      <w:pPr>
        <w:widowControl/>
        <w:numPr>
          <w:ilvl w:val="0"/>
          <w:numId w:val="12"/>
        </w:numPr>
        <w:autoSpaceDE/>
        <w:autoSpaceDN/>
        <w:spacing w:before="100" w:beforeAutospacing="1" w:after="100" w:afterAutospacing="1" w:line="264" w:lineRule="auto"/>
      </w:pPr>
      <w:r>
        <w:rPr>
          <w:rStyle w:val="Strong"/>
        </w:rPr>
        <w:lastRenderedPageBreak/>
        <w:t>Livelihood &amp; Culture</w:t>
      </w:r>
      <w:r>
        <w:t>: Promotion of tribal heritage, entrepreneurship, and agriculture development.</w:t>
      </w:r>
    </w:p>
    <w:p w14:paraId="3BEA4B5C" w14:textId="77777777" w:rsidR="00E434E7" w:rsidRDefault="00E434E7" w:rsidP="00E434E7">
      <w:pPr>
        <w:widowControl/>
        <w:numPr>
          <w:ilvl w:val="0"/>
          <w:numId w:val="12"/>
        </w:numPr>
        <w:autoSpaceDE/>
        <w:autoSpaceDN/>
        <w:spacing w:before="100" w:beforeAutospacing="1" w:after="100" w:afterAutospacing="1" w:line="264" w:lineRule="auto"/>
      </w:pPr>
      <w:r>
        <w:rPr>
          <w:rStyle w:val="Strong"/>
        </w:rPr>
        <w:t>Global Outreach</w:t>
      </w:r>
      <w:r>
        <w:t>: Tata Steel Europe’s “Future Generations” program supports education and job creation.</w:t>
      </w:r>
    </w:p>
    <w:p w14:paraId="2659DAC5" w14:textId="77777777" w:rsidR="00E434E7" w:rsidRDefault="00000000" w:rsidP="00E434E7">
      <w:r>
        <w:pict w14:anchorId="47B8649C">
          <v:rect id="_x0000_i1037" style="width:0;height:1.5pt" o:hralign="center" o:hrstd="t" o:hr="t" fillcolor="#a0a0a0" stroked="f"/>
        </w:pict>
      </w:r>
    </w:p>
    <w:p w14:paraId="602A82F1" w14:textId="77777777" w:rsidR="00E434E7" w:rsidRDefault="00E434E7" w:rsidP="00E434E7">
      <w:pPr>
        <w:pStyle w:val="Heading3"/>
      </w:pPr>
      <w:r>
        <w:rPr>
          <w:rFonts w:ascii="Segoe UI Symbol" w:hAnsi="Segoe UI Symbol" w:cs="Segoe UI Symbol"/>
        </w:rPr>
        <w:t>📌</w:t>
      </w:r>
      <w:r>
        <w:t xml:space="preserve"> </w:t>
      </w:r>
      <w:r>
        <w:rPr>
          <w:rStyle w:val="Strong"/>
          <w:b w:val="0"/>
          <w:bCs w:val="0"/>
        </w:rPr>
        <w:t>Significant Financial Events (FY 2022–25)</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DDDD8" w:themeFill="text2" w:themeFillTint="33"/>
        <w:tblCellMar>
          <w:top w:w="15" w:type="dxa"/>
          <w:left w:w="15" w:type="dxa"/>
          <w:bottom w:w="15" w:type="dxa"/>
          <w:right w:w="15" w:type="dxa"/>
        </w:tblCellMar>
        <w:tblLook w:val="04A0" w:firstRow="1" w:lastRow="0" w:firstColumn="1" w:lastColumn="0" w:noHBand="0" w:noVBand="1"/>
      </w:tblPr>
      <w:tblGrid>
        <w:gridCol w:w="2553"/>
        <w:gridCol w:w="6634"/>
      </w:tblGrid>
      <w:tr w:rsidR="00E434E7" w14:paraId="34CADB80" w14:textId="77777777" w:rsidTr="00D83ECB">
        <w:trPr>
          <w:tblHeader/>
          <w:tblCellSpacing w:w="15" w:type="dxa"/>
          <w:jc w:val="center"/>
        </w:trPr>
        <w:tc>
          <w:tcPr>
            <w:tcW w:w="0" w:type="auto"/>
            <w:shd w:val="clear" w:color="auto" w:fill="DDDDD8" w:themeFill="text2" w:themeFillTint="33"/>
            <w:vAlign w:val="center"/>
            <w:hideMark/>
          </w:tcPr>
          <w:p w14:paraId="59EE4D69" w14:textId="77777777" w:rsidR="00E434E7" w:rsidRDefault="00E434E7" w:rsidP="00D83ECB">
            <w:pPr>
              <w:jc w:val="center"/>
              <w:rPr>
                <w:b/>
                <w:bCs/>
              </w:rPr>
            </w:pPr>
            <w:r>
              <w:rPr>
                <w:rStyle w:val="Strong"/>
              </w:rPr>
              <w:t>Event</w:t>
            </w:r>
          </w:p>
        </w:tc>
        <w:tc>
          <w:tcPr>
            <w:tcW w:w="0" w:type="auto"/>
            <w:shd w:val="clear" w:color="auto" w:fill="DDDDD8" w:themeFill="text2" w:themeFillTint="33"/>
            <w:vAlign w:val="center"/>
            <w:hideMark/>
          </w:tcPr>
          <w:p w14:paraId="261CAAA2" w14:textId="77777777" w:rsidR="00E434E7" w:rsidRDefault="00E434E7" w:rsidP="00D83ECB">
            <w:pPr>
              <w:jc w:val="center"/>
              <w:rPr>
                <w:b/>
                <w:bCs/>
              </w:rPr>
            </w:pPr>
            <w:r>
              <w:rPr>
                <w:rStyle w:val="Strong"/>
              </w:rPr>
              <w:t>Details</w:t>
            </w:r>
          </w:p>
        </w:tc>
      </w:tr>
      <w:tr w:rsidR="00E434E7" w14:paraId="4682DD97" w14:textId="77777777" w:rsidTr="00D83ECB">
        <w:trPr>
          <w:tblCellSpacing w:w="15" w:type="dxa"/>
          <w:jc w:val="center"/>
        </w:trPr>
        <w:tc>
          <w:tcPr>
            <w:tcW w:w="0" w:type="auto"/>
            <w:shd w:val="clear" w:color="auto" w:fill="DDDDD8" w:themeFill="text2" w:themeFillTint="33"/>
            <w:vAlign w:val="center"/>
            <w:hideMark/>
          </w:tcPr>
          <w:p w14:paraId="65537E63" w14:textId="77777777" w:rsidR="00E434E7" w:rsidRDefault="00E434E7" w:rsidP="00D83ECB">
            <w:r>
              <w:rPr>
                <w:rStyle w:val="Strong"/>
              </w:rPr>
              <w:t>Mega Merger (2022)</w:t>
            </w:r>
          </w:p>
        </w:tc>
        <w:tc>
          <w:tcPr>
            <w:tcW w:w="0" w:type="auto"/>
            <w:shd w:val="clear" w:color="auto" w:fill="DDDDD8" w:themeFill="text2" w:themeFillTint="33"/>
            <w:vAlign w:val="center"/>
            <w:hideMark/>
          </w:tcPr>
          <w:p w14:paraId="4F248158" w14:textId="77777777" w:rsidR="00E434E7" w:rsidRDefault="00E434E7" w:rsidP="00D83ECB">
            <w:r>
              <w:t>Tata Group merged 7 metal companies into Tata Steel to streamline operations and reduce costs.</w:t>
            </w:r>
          </w:p>
        </w:tc>
      </w:tr>
      <w:tr w:rsidR="00E434E7" w14:paraId="55FFECB4" w14:textId="77777777" w:rsidTr="00D83ECB">
        <w:trPr>
          <w:tblCellSpacing w:w="15" w:type="dxa"/>
          <w:jc w:val="center"/>
        </w:trPr>
        <w:tc>
          <w:tcPr>
            <w:tcW w:w="0" w:type="auto"/>
            <w:shd w:val="clear" w:color="auto" w:fill="DDDDD8" w:themeFill="text2" w:themeFillTint="33"/>
            <w:vAlign w:val="center"/>
            <w:hideMark/>
          </w:tcPr>
          <w:p w14:paraId="257BD4C8" w14:textId="77777777" w:rsidR="00E434E7" w:rsidRDefault="00E434E7" w:rsidP="00D83ECB">
            <w:r>
              <w:rPr>
                <w:rStyle w:val="Strong"/>
              </w:rPr>
              <w:t>Face Value Split (2022)</w:t>
            </w:r>
          </w:p>
        </w:tc>
        <w:tc>
          <w:tcPr>
            <w:tcW w:w="0" w:type="auto"/>
            <w:shd w:val="clear" w:color="auto" w:fill="DDDDD8" w:themeFill="text2" w:themeFillTint="33"/>
            <w:vAlign w:val="center"/>
            <w:hideMark/>
          </w:tcPr>
          <w:p w14:paraId="1A9EB7DA" w14:textId="77777777" w:rsidR="00E434E7" w:rsidRDefault="00E434E7" w:rsidP="00D83ECB">
            <w:r>
              <w:t>Share face value split from ₹10 to ₹1 to improve liquidity.</w:t>
            </w:r>
          </w:p>
        </w:tc>
      </w:tr>
      <w:tr w:rsidR="00E434E7" w14:paraId="24B66F77" w14:textId="77777777" w:rsidTr="00D83ECB">
        <w:trPr>
          <w:tblCellSpacing w:w="15" w:type="dxa"/>
          <w:jc w:val="center"/>
        </w:trPr>
        <w:tc>
          <w:tcPr>
            <w:tcW w:w="0" w:type="auto"/>
            <w:shd w:val="clear" w:color="auto" w:fill="DDDDD8" w:themeFill="text2" w:themeFillTint="33"/>
            <w:vAlign w:val="center"/>
            <w:hideMark/>
          </w:tcPr>
          <w:p w14:paraId="56288C4E" w14:textId="77777777" w:rsidR="00E434E7" w:rsidRDefault="00E434E7" w:rsidP="00D83ECB">
            <w:r>
              <w:rPr>
                <w:rStyle w:val="Strong"/>
              </w:rPr>
              <w:t>Rights Issue (2018)</w:t>
            </w:r>
          </w:p>
        </w:tc>
        <w:tc>
          <w:tcPr>
            <w:tcW w:w="0" w:type="auto"/>
            <w:shd w:val="clear" w:color="auto" w:fill="DDDDD8" w:themeFill="text2" w:themeFillTint="33"/>
            <w:vAlign w:val="center"/>
            <w:hideMark/>
          </w:tcPr>
          <w:p w14:paraId="6C9B8126" w14:textId="77777777" w:rsidR="00E434E7" w:rsidRDefault="00E434E7" w:rsidP="00D83ECB">
            <w:r>
              <w:t>Last major rights issue at ₹500 premium per share.</w:t>
            </w:r>
          </w:p>
        </w:tc>
      </w:tr>
      <w:tr w:rsidR="00E434E7" w14:paraId="142A850F" w14:textId="77777777" w:rsidTr="00D83ECB">
        <w:trPr>
          <w:tblCellSpacing w:w="15" w:type="dxa"/>
          <w:jc w:val="center"/>
        </w:trPr>
        <w:tc>
          <w:tcPr>
            <w:tcW w:w="0" w:type="auto"/>
            <w:shd w:val="clear" w:color="auto" w:fill="DDDDD8" w:themeFill="text2" w:themeFillTint="33"/>
            <w:vAlign w:val="center"/>
            <w:hideMark/>
          </w:tcPr>
          <w:p w14:paraId="05DEE800" w14:textId="77777777" w:rsidR="00E434E7" w:rsidRDefault="00E434E7" w:rsidP="00D83ECB">
            <w:r>
              <w:rPr>
                <w:rStyle w:val="Strong"/>
              </w:rPr>
              <w:t>Dividend Consistency</w:t>
            </w:r>
          </w:p>
        </w:tc>
        <w:tc>
          <w:tcPr>
            <w:tcW w:w="0" w:type="auto"/>
            <w:shd w:val="clear" w:color="auto" w:fill="DDDDD8" w:themeFill="text2" w:themeFillTint="33"/>
            <w:vAlign w:val="center"/>
            <w:hideMark/>
          </w:tcPr>
          <w:p w14:paraId="5376EB37" w14:textId="77777777" w:rsidR="00E434E7" w:rsidRDefault="00E434E7" w:rsidP="00D83ECB">
            <w:r>
              <w:t>₹3.60/share declared annually from FY23 to FY25.</w:t>
            </w:r>
          </w:p>
        </w:tc>
      </w:tr>
      <w:tr w:rsidR="00E434E7" w14:paraId="218F243B" w14:textId="77777777" w:rsidTr="00D83ECB">
        <w:trPr>
          <w:tblCellSpacing w:w="15" w:type="dxa"/>
          <w:jc w:val="center"/>
        </w:trPr>
        <w:tc>
          <w:tcPr>
            <w:tcW w:w="0" w:type="auto"/>
            <w:shd w:val="clear" w:color="auto" w:fill="DDDDD8" w:themeFill="text2" w:themeFillTint="33"/>
            <w:vAlign w:val="center"/>
            <w:hideMark/>
          </w:tcPr>
          <w:p w14:paraId="3E3F4F64" w14:textId="77777777" w:rsidR="00E434E7" w:rsidRDefault="00E434E7" w:rsidP="00D83ECB">
            <w:r>
              <w:rPr>
                <w:rStyle w:val="Strong"/>
              </w:rPr>
              <w:t>UK Pension De-risking (FY23)</w:t>
            </w:r>
          </w:p>
        </w:tc>
        <w:tc>
          <w:tcPr>
            <w:tcW w:w="0" w:type="auto"/>
            <w:shd w:val="clear" w:color="auto" w:fill="DDDDD8" w:themeFill="text2" w:themeFillTint="33"/>
            <w:vAlign w:val="center"/>
            <w:hideMark/>
          </w:tcPr>
          <w:p w14:paraId="1DD578FC" w14:textId="77777777" w:rsidR="00E434E7" w:rsidRDefault="00E434E7" w:rsidP="00D83ECB">
            <w:r>
              <w:t>Led to ₹2,150 Cr deferred tax expense impacting net profit.</w:t>
            </w:r>
          </w:p>
        </w:tc>
      </w:tr>
      <w:tr w:rsidR="00E434E7" w14:paraId="1103E01A" w14:textId="77777777" w:rsidTr="00D83ECB">
        <w:trPr>
          <w:tblCellSpacing w:w="15" w:type="dxa"/>
          <w:jc w:val="center"/>
        </w:trPr>
        <w:tc>
          <w:tcPr>
            <w:tcW w:w="0" w:type="auto"/>
            <w:shd w:val="clear" w:color="auto" w:fill="DDDDD8" w:themeFill="text2" w:themeFillTint="33"/>
            <w:vAlign w:val="center"/>
            <w:hideMark/>
          </w:tcPr>
          <w:p w14:paraId="0B6DA641" w14:textId="77777777" w:rsidR="00E434E7" w:rsidRDefault="00E434E7" w:rsidP="00D83ECB">
            <w:r>
              <w:rPr>
                <w:rStyle w:val="Strong"/>
              </w:rPr>
              <w:t>Green Steel Transition (FY25)</w:t>
            </w:r>
          </w:p>
        </w:tc>
        <w:tc>
          <w:tcPr>
            <w:tcW w:w="0" w:type="auto"/>
            <w:shd w:val="clear" w:color="auto" w:fill="DDDDD8" w:themeFill="text2" w:themeFillTint="33"/>
            <w:vAlign w:val="center"/>
            <w:hideMark/>
          </w:tcPr>
          <w:p w14:paraId="088FD5A5" w14:textId="77777777" w:rsidR="00E434E7" w:rsidRDefault="00E434E7" w:rsidP="00D83ECB">
            <w:r>
              <w:t>£500M UK government-backed shift to electric arc furnaces.</w:t>
            </w:r>
          </w:p>
        </w:tc>
      </w:tr>
      <w:tr w:rsidR="00E434E7" w14:paraId="550ECB8B" w14:textId="77777777" w:rsidTr="00D83ECB">
        <w:trPr>
          <w:tblCellSpacing w:w="15" w:type="dxa"/>
          <w:jc w:val="center"/>
        </w:trPr>
        <w:tc>
          <w:tcPr>
            <w:tcW w:w="0" w:type="auto"/>
            <w:shd w:val="clear" w:color="auto" w:fill="DDDDD8" w:themeFill="text2" w:themeFillTint="33"/>
            <w:vAlign w:val="center"/>
            <w:hideMark/>
          </w:tcPr>
          <w:p w14:paraId="5CB91205" w14:textId="77777777" w:rsidR="00E434E7" w:rsidRDefault="00E434E7" w:rsidP="00D83ECB">
            <w:proofErr w:type="spellStart"/>
            <w:r>
              <w:rPr>
                <w:rStyle w:val="Strong"/>
              </w:rPr>
              <w:t>Kalinganagar</w:t>
            </w:r>
            <w:proofErr w:type="spellEnd"/>
            <w:r>
              <w:rPr>
                <w:rStyle w:val="Strong"/>
              </w:rPr>
              <w:t xml:space="preserve"> Expansion</w:t>
            </w:r>
          </w:p>
        </w:tc>
        <w:tc>
          <w:tcPr>
            <w:tcW w:w="0" w:type="auto"/>
            <w:shd w:val="clear" w:color="auto" w:fill="DDDDD8" w:themeFill="text2" w:themeFillTint="33"/>
            <w:vAlign w:val="center"/>
            <w:hideMark/>
          </w:tcPr>
          <w:p w14:paraId="42F53C15" w14:textId="77777777" w:rsidR="00E434E7" w:rsidRDefault="00E434E7" w:rsidP="00D83ECB">
            <w:r>
              <w:t>₹27,000 Cr investment to scale domestic production.</w:t>
            </w:r>
          </w:p>
        </w:tc>
      </w:tr>
    </w:tbl>
    <w:p w14:paraId="33A36C23" w14:textId="77777777" w:rsidR="00E434E7" w:rsidRDefault="00000000" w:rsidP="00E434E7">
      <w:r>
        <w:pict w14:anchorId="07F8A2BF">
          <v:rect id="_x0000_i1038" style="width:0;height:1.5pt" o:hralign="center" o:hrstd="t" o:hr="t" fillcolor="#a0a0a0" stroked="f"/>
        </w:pict>
      </w:r>
    </w:p>
    <w:p w14:paraId="1F784FFC" w14:textId="77777777" w:rsidR="00E434E7" w:rsidRDefault="00E434E7" w:rsidP="00E434E7">
      <w:pPr>
        <w:pStyle w:val="Heading1"/>
      </w:pPr>
      <w:r>
        <w:rPr>
          <w:rFonts w:ascii="Segoe UI Symbol" w:hAnsi="Segoe UI Symbol" w:cs="Segoe UI Symbol"/>
        </w:rPr>
        <w:t>📘</w:t>
      </w:r>
      <w:r>
        <w:t xml:space="preserve"> </w:t>
      </w:r>
      <w:r>
        <w:rPr>
          <w:rStyle w:val="Strong"/>
          <w:b w:val="0"/>
          <w:bCs w:val="0"/>
        </w:rPr>
        <w:t>3. Equity and Contingencies – Tata Steel Ltd (FY 2022–2025)</w:t>
      </w:r>
    </w:p>
    <w:p w14:paraId="65A14525" w14:textId="77777777" w:rsidR="00E434E7" w:rsidRDefault="00000000" w:rsidP="00E434E7">
      <w:r>
        <w:pict w14:anchorId="68882657">
          <v:rect id="_x0000_i1039" style="width:0;height:1.5pt" o:hralign="center" o:hrstd="t" o:hr="t" fillcolor="#a0a0a0" stroked="f"/>
        </w:pict>
      </w:r>
    </w:p>
    <w:p w14:paraId="76E68B08" w14:textId="77777777" w:rsidR="00E434E7" w:rsidRDefault="00E434E7" w:rsidP="00E434E7">
      <w:pPr>
        <w:pStyle w:val="Heading2"/>
      </w:pPr>
      <w:r>
        <w:rPr>
          <w:rFonts w:ascii="Segoe UI Symbol" w:hAnsi="Segoe UI Symbol" w:cs="Segoe UI Symbol"/>
        </w:rPr>
        <w:t>🏦</w:t>
      </w:r>
      <w:r>
        <w:t xml:space="preserve"> </w:t>
      </w:r>
      <w:r>
        <w:rPr>
          <w:rStyle w:val="Strong"/>
          <w:b w:val="0"/>
          <w:bCs w:val="0"/>
        </w:rPr>
        <w:t>Shareholding Pattern Analysis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DDDD8" w:themeFill="text2" w:themeFillTint="33"/>
        <w:tblCellMar>
          <w:top w:w="15" w:type="dxa"/>
          <w:left w:w="15" w:type="dxa"/>
          <w:bottom w:w="15" w:type="dxa"/>
          <w:right w:w="15" w:type="dxa"/>
        </w:tblCellMar>
        <w:tblLook w:val="04A0" w:firstRow="1" w:lastRow="0" w:firstColumn="1" w:lastColumn="0" w:noHBand="0" w:noVBand="1"/>
      </w:tblPr>
      <w:tblGrid>
        <w:gridCol w:w="1421"/>
        <w:gridCol w:w="1199"/>
        <w:gridCol w:w="1199"/>
        <w:gridCol w:w="1214"/>
      </w:tblGrid>
      <w:tr w:rsidR="00E434E7" w14:paraId="36770AF3" w14:textId="77777777" w:rsidTr="00D83ECB">
        <w:trPr>
          <w:tblHeader/>
          <w:tblCellSpacing w:w="15" w:type="dxa"/>
          <w:jc w:val="center"/>
        </w:trPr>
        <w:tc>
          <w:tcPr>
            <w:tcW w:w="0" w:type="auto"/>
            <w:shd w:val="clear" w:color="auto" w:fill="DDDDD8" w:themeFill="text2" w:themeFillTint="33"/>
            <w:vAlign w:val="center"/>
            <w:hideMark/>
          </w:tcPr>
          <w:p w14:paraId="0570B602" w14:textId="77777777" w:rsidR="00E434E7" w:rsidRDefault="00E434E7" w:rsidP="00D83ECB">
            <w:pPr>
              <w:jc w:val="center"/>
              <w:rPr>
                <w:b/>
                <w:bCs/>
              </w:rPr>
            </w:pPr>
            <w:r>
              <w:rPr>
                <w:rStyle w:val="Strong"/>
              </w:rPr>
              <w:t>Category</w:t>
            </w:r>
          </w:p>
        </w:tc>
        <w:tc>
          <w:tcPr>
            <w:tcW w:w="0" w:type="auto"/>
            <w:shd w:val="clear" w:color="auto" w:fill="DDDDD8" w:themeFill="text2" w:themeFillTint="33"/>
            <w:vAlign w:val="center"/>
            <w:hideMark/>
          </w:tcPr>
          <w:p w14:paraId="50032731" w14:textId="77777777" w:rsidR="00E434E7" w:rsidRDefault="00E434E7" w:rsidP="00D83ECB">
            <w:pPr>
              <w:jc w:val="center"/>
              <w:rPr>
                <w:b/>
                <w:bCs/>
              </w:rPr>
            </w:pPr>
            <w:r>
              <w:rPr>
                <w:rStyle w:val="Strong"/>
              </w:rPr>
              <w:t>FY 2022–23</w:t>
            </w:r>
          </w:p>
        </w:tc>
        <w:tc>
          <w:tcPr>
            <w:tcW w:w="0" w:type="auto"/>
            <w:shd w:val="clear" w:color="auto" w:fill="DDDDD8" w:themeFill="text2" w:themeFillTint="33"/>
            <w:vAlign w:val="center"/>
            <w:hideMark/>
          </w:tcPr>
          <w:p w14:paraId="2403730C" w14:textId="77777777" w:rsidR="00E434E7" w:rsidRDefault="00E434E7" w:rsidP="00D83ECB">
            <w:pPr>
              <w:jc w:val="center"/>
              <w:rPr>
                <w:b/>
                <w:bCs/>
              </w:rPr>
            </w:pPr>
            <w:r>
              <w:rPr>
                <w:rStyle w:val="Strong"/>
              </w:rPr>
              <w:t>FY 2023–24</w:t>
            </w:r>
          </w:p>
        </w:tc>
        <w:tc>
          <w:tcPr>
            <w:tcW w:w="0" w:type="auto"/>
            <w:shd w:val="clear" w:color="auto" w:fill="DDDDD8" w:themeFill="text2" w:themeFillTint="33"/>
            <w:vAlign w:val="center"/>
            <w:hideMark/>
          </w:tcPr>
          <w:p w14:paraId="33614A95" w14:textId="77777777" w:rsidR="00E434E7" w:rsidRDefault="00E434E7" w:rsidP="00D83ECB">
            <w:pPr>
              <w:jc w:val="center"/>
              <w:rPr>
                <w:b/>
                <w:bCs/>
              </w:rPr>
            </w:pPr>
            <w:r>
              <w:rPr>
                <w:rStyle w:val="Strong"/>
              </w:rPr>
              <w:t>FY 2024–25</w:t>
            </w:r>
          </w:p>
        </w:tc>
      </w:tr>
      <w:tr w:rsidR="00E434E7" w14:paraId="191C5ADF" w14:textId="77777777" w:rsidTr="00D83ECB">
        <w:trPr>
          <w:tblCellSpacing w:w="15" w:type="dxa"/>
          <w:jc w:val="center"/>
        </w:trPr>
        <w:tc>
          <w:tcPr>
            <w:tcW w:w="0" w:type="auto"/>
            <w:shd w:val="clear" w:color="auto" w:fill="DDDDD8" w:themeFill="text2" w:themeFillTint="33"/>
            <w:vAlign w:val="center"/>
            <w:hideMark/>
          </w:tcPr>
          <w:p w14:paraId="0FEBD76F" w14:textId="77777777" w:rsidR="00E434E7" w:rsidRDefault="00E434E7" w:rsidP="00D83ECB">
            <w:r>
              <w:rPr>
                <w:rStyle w:val="Strong"/>
              </w:rPr>
              <w:t>Promoters</w:t>
            </w:r>
          </w:p>
        </w:tc>
        <w:tc>
          <w:tcPr>
            <w:tcW w:w="0" w:type="auto"/>
            <w:shd w:val="clear" w:color="auto" w:fill="DDDDD8" w:themeFill="text2" w:themeFillTint="33"/>
            <w:vAlign w:val="center"/>
            <w:hideMark/>
          </w:tcPr>
          <w:p w14:paraId="65B477EB" w14:textId="77777777" w:rsidR="00E434E7" w:rsidRDefault="00E434E7" w:rsidP="00D83ECB">
            <w:r>
              <w:t>33.9%</w:t>
            </w:r>
          </w:p>
        </w:tc>
        <w:tc>
          <w:tcPr>
            <w:tcW w:w="0" w:type="auto"/>
            <w:shd w:val="clear" w:color="auto" w:fill="DDDDD8" w:themeFill="text2" w:themeFillTint="33"/>
            <w:vAlign w:val="center"/>
            <w:hideMark/>
          </w:tcPr>
          <w:p w14:paraId="57694DDC" w14:textId="77777777" w:rsidR="00E434E7" w:rsidRDefault="00E434E7" w:rsidP="00D83ECB">
            <w:r>
              <w:t>33.2%</w:t>
            </w:r>
          </w:p>
        </w:tc>
        <w:tc>
          <w:tcPr>
            <w:tcW w:w="0" w:type="auto"/>
            <w:shd w:val="clear" w:color="auto" w:fill="DDDDD8" w:themeFill="text2" w:themeFillTint="33"/>
            <w:vAlign w:val="center"/>
            <w:hideMark/>
          </w:tcPr>
          <w:p w14:paraId="7DDCC271" w14:textId="77777777" w:rsidR="00E434E7" w:rsidRDefault="00E434E7" w:rsidP="00D83ECB">
            <w:r>
              <w:t>33.2%</w:t>
            </w:r>
          </w:p>
        </w:tc>
      </w:tr>
      <w:tr w:rsidR="00E434E7" w14:paraId="1B9E9F4C" w14:textId="77777777" w:rsidTr="00D83ECB">
        <w:trPr>
          <w:tblCellSpacing w:w="15" w:type="dxa"/>
          <w:jc w:val="center"/>
        </w:trPr>
        <w:tc>
          <w:tcPr>
            <w:tcW w:w="0" w:type="auto"/>
            <w:shd w:val="clear" w:color="auto" w:fill="DDDDD8" w:themeFill="text2" w:themeFillTint="33"/>
            <w:vAlign w:val="center"/>
            <w:hideMark/>
          </w:tcPr>
          <w:p w14:paraId="6FD6CD30" w14:textId="77777777" w:rsidR="00E434E7" w:rsidRDefault="00E434E7" w:rsidP="00D83ECB">
            <w:r>
              <w:rPr>
                <w:rStyle w:val="Strong"/>
              </w:rPr>
              <w:t>FII/FPI</w:t>
            </w:r>
          </w:p>
        </w:tc>
        <w:tc>
          <w:tcPr>
            <w:tcW w:w="0" w:type="auto"/>
            <w:shd w:val="clear" w:color="auto" w:fill="DDDDD8" w:themeFill="text2" w:themeFillTint="33"/>
            <w:vAlign w:val="center"/>
            <w:hideMark/>
          </w:tcPr>
          <w:p w14:paraId="1E8AA2C6" w14:textId="77777777" w:rsidR="00E434E7" w:rsidRDefault="00E434E7" w:rsidP="00D83ECB">
            <w:r>
              <w:t>20.3%</w:t>
            </w:r>
          </w:p>
        </w:tc>
        <w:tc>
          <w:tcPr>
            <w:tcW w:w="0" w:type="auto"/>
            <w:shd w:val="clear" w:color="auto" w:fill="DDDDD8" w:themeFill="text2" w:themeFillTint="33"/>
            <w:vAlign w:val="center"/>
            <w:hideMark/>
          </w:tcPr>
          <w:p w14:paraId="479354FB" w14:textId="77777777" w:rsidR="00E434E7" w:rsidRDefault="00E434E7" w:rsidP="00D83ECB">
            <w:r>
              <w:t>18.3%</w:t>
            </w:r>
          </w:p>
        </w:tc>
        <w:tc>
          <w:tcPr>
            <w:tcW w:w="0" w:type="auto"/>
            <w:shd w:val="clear" w:color="auto" w:fill="DDDDD8" w:themeFill="text2" w:themeFillTint="33"/>
            <w:vAlign w:val="center"/>
            <w:hideMark/>
          </w:tcPr>
          <w:p w14:paraId="7A2FECDC" w14:textId="77777777" w:rsidR="00E434E7" w:rsidRDefault="00E434E7" w:rsidP="00D83ECB">
            <w:r>
              <w:t>17.2%</w:t>
            </w:r>
          </w:p>
        </w:tc>
      </w:tr>
      <w:tr w:rsidR="00E434E7" w14:paraId="70E745E0" w14:textId="77777777" w:rsidTr="00D83ECB">
        <w:trPr>
          <w:tblCellSpacing w:w="15" w:type="dxa"/>
          <w:jc w:val="center"/>
        </w:trPr>
        <w:tc>
          <w:tcPr>
            <w:tcW w:w="0" w:type="auto"/>
            <w:shd w:val="clear" w:color="auto" w:fill="DDDDD8" w:themeFill="text2" w:themeFillTint="33"/>
            <w:vAlign w:val="center"/>
            <w:hideMark/>
          </w:tcPr>
          <w:p w14:paraId="2F51E553" w14:textId="77777777" w:rsidR="00E434E7" w:rsidRDefault="00E434E7" w:rsidP="00D83ECB">
            <w:r>
              <w:rPr>
                <w:rStyle w:val="Strong"/>
              </w:rPr>
              <w:t>DII (incl. MF)</w:t>
            </w:r>
          </w:p>
        </w:tc>
        <w:tc>
          <w:tcPr>
            <w:tcW w:w="0" w:type="auto"/>
            <w:shd w:val="clear" w:color="auto" w:fill="DDDDD8" w:themeFill="text2" w:themeFillTint="33"/>
            <w:vAlign w:val="center"/>
            <w:hideMark/>
          </w:tcPr>
          <w:p w14:paraId="73D77C43" w14:textId="77777777" w:rsidR="00E434E7" w:rsidRDefault="00E434E7" w:rsidP="00D83ECB">
            <w:r>
              <w:t>21.9%</w:t>
            </w:r>
          </w:p>
        </w:tc>
        <w:tc>
          <w:tcPr>
            <w:tcW w:w="0" w:type="auto"/>
            <w:shd w:val="clear" w:color="auto" w:fill="DDDDD8" w:themeFill="text2" w:themeFillTint="33"/>
            <w:vAlign w:val="center"/>
            <w:hideMark/>
          </w:tcPr>
          <w:p w14:paraId="2CC711C0" w14:textId="77777777" w:rsidR="00E434E7" w:rsidRDefault="00E434E7" w:rsidP="00D83ECB">
            <w:r>
              <w:t>25.2%</w:t>
            </w:r>
          </w:p>
        </w:tc>
        <w:tc>
          <w:tcPr>
            <w:tcW w:w="0" w:type="auto"/>
            <w:shd w:val="clear" w:color="auto" w:fill="DDDDD8" w:themeFill="text2" w:themeFillTint="33"/>
            <w:vAlign w:val="center"/>
            <w:hideMark/>
          </w:tcPr>
          <w:p w14:paraId="6C00AC84" w14:textId="77777777" w:rsidR="00E434E7" w:rsidRDefault="00E434E7" w:rsidP="00D83ECB">
            <w:r>
              <w:t>26.7%</w:t>
            </w:r>
          </w:p>
        </w:tc>
      </w:tr>
      <w:tr w:rsidR="00E434E7" w14:paraId="34B7D9DE" w14:textId="77777777" w:rsidTr="00D83ECB">
        <w:trPr>
          <w:tblCellSpacing w:w="15" w:type="dxa"/>
          <w:jc w:val="center"/>
        </w:trPr>
        <w:tc>
          <w:tcPr>
            <w:tcW w:w="0" w:type="auto"/>
            <w:shd w:val="clear" w:color="auto" w:fill="DDDDD8" w:themeFill="text2" w:themeFillTint="33"/>
            <w:vAlign w:val="center"/>
            <w:hideMark/>
          </w:tcPr>
          <w:p w14:paraId="7370A160" w14:textId="77777777" w:rsidR="00E434E7" w:rsidRDefault="00E434E7" w:rsidP="00D83ECB">
            <w:r>
              <w:rPr>
                <w:rStyle w:val="Strong"/>
              </w:rPr>
              <w:t>Public</w:t>
            </w:r>
          </w:p>
        </w:tc>
        <w:tc>
          <w:tcPr>
            <w:tcW w:w="0" w:type="auto"/>
            <w:shd w:val="clear" w:color="auto" w:fill="DDDDD8" w:themeFill="text2" w:themeFillTint="33"/>
            <w:vAlign w:val="center"/>
            <w:hideMark/>
          </w:tcPr>
          <w:p w14:paraId="42EBDB95" w14:textId="77777777" w:rsidR="00E434E7" w:rsidRDefault="00E434E7" w:rsidP="00D83ECB">
            <w:r>
              <w:t>24.0%</w:t>
            </w:r>
          </w:p>
        </w:tc>
        <w:tc>
          <w:tcPr>
            <w:tcW w:w="0" w:type="auto"/>
            <w:shd w:val="clear" w:color="auto" w:fill="DDDDD8" w:themeFill="text2" w:themeFillTint="33"/>
            <w:vAlign w:val="center"/>
            <w:hideMark/>
          </w:tcPr>
          <w:p w14:paraId="6D53B8C5" w14:textId="77777777" w:rsidR="00E434E7" w:rsidRDefault="00E434E7" w:rsidP="00D83ECB">
            <w:r>
              <w:t>23.4%</w:t>
            </w:r>
          </w:p>
        </w:tc>
        <w:tc>
          <w:tcPr>
            <w:tcW w:w="0" w:type="auto"/>
            <w:shd w:val="clear" w:color="auto" w:fill="DDDDD8" w:themeFill="text2" w:themeFillTint="33"/>
            <w:vAlign w:val="center"/>
            <w:hideMark/>
          </w:tcPr>
          <w:p w14:paraId="3FE44F02" w14:textId="77777777" w:rsidR="00E434E7" w:rsidRDefault="00E434E7" w:rsidP="00D83ECB">
            <w:r>
              <w:t>22.8%</w:t>
            </w:r>
          </w:p>
        </w:tc>
      </w:tr>
    </w:tbl>
    <w:p w14:paraId="57171448" w14:textId="47E78F98" w:rsidR="00E434E7" w:rsidRDefault="008B4ED8" w:rsidP="00E434E7">
      <w:hyperlink r:id="rId38" w:history="1">
        <w:r w:rsidRPr="008B4ED8">
          <w:rPr>
            <w:rStyle w:val="Hyperlink"/>
          </w:rPr>
          <w:t>https://trendlyne.com/equity/share-holding/1366/TATASTEEL/latest/tata-steel-ltd/#promoter-holding</w:t>
        </w:r>
      </w:hyperlink>
      <w:r w:rsidR="00000000">
        <w:pict w14:anchorId="4A33D735">
          <v:rect id="_x0000_i1040" style="width:0;height:1.5pt" o:hralign="center" o:hrstd="t" o:hr="t" fillcolor="#a0a0a0" stroked="f"/>
        </w:pict>
      </w:r>
    </w:p>
    <w:p w14:paraId="2B72043F" w14:textId="77777777" w:rsidR="00E434E7" w:rsidRDefault="00E434E7" w:rsidP="00E434E7">
      <w:pPr>
        <w:pStyle w:val="Heading2"/>
      </w:pPr>
      <w:r>
        <w:rPr>
          <w:rFonts w:ascii="Segoe UI Symbol" w:hAnsi="Segoe UI Symbol" w:cs="Segoe UI Symbol"/>
        </w:rPr>
        <w:t>📈</w:t>
      </w:r>
      <w:r>
        <w:t xml:space="preserve"> </w:t>
      </w:r>
      <w:r>
        <w:rPr>
          <w:rStyle w:val="Strong"/>
          <w:b w:val="0"/>
          <w:bCs w:val="0"/>
        </w:rPr>
        <w:t>Equity Changes</w:t>
      </w:r>
    </w:p>
    <w:p w14:paraId="5019A28D" w14:textId="77777777" w:rsidR="00E434E7" w:rsidRDefault="00E434E7" w:rsidP="00E434E7">
      <w:pPr>
        <w:widowControl/>
        <w:numPr>
          <w:ilvl w:val="0"/>
          <w:numId w:val="14"/>
        </w:numPr>
        <w:autoSpaceDE/>
        <w:autoSpaceDN/>
        <w:spacing w:before="100" w:beforeAutospacing="1" w:after="100" w:afterAutospacing="1" w:line="264" w:lineRule="auto"/>
      </w:pPr>
      <w:r>
        <w:rPr>
          <w:rStyle w:val="Strong"/>
        </w:rPr>
        <w:t>Face Value Split (2022)</w:t>
      </w:r>
      <w:r>
        <w:t>: From ₹10 to ₹1 per share to improve liquidity and retail participation.</w:t>
      </w:r>
    </w:p>
    <w:p w14:paraId="027DE7DF" w14:textId="77777777" w:rsidR="00E434E7" w:rsidRDefault="00E434E7" w:rsidP="00E434E7">
      <w:pPr>
        <w:widowControl/>
        <w:numPr>
          <w:ilvl w:val="0"/>
          <w:numId w:val="14"/>
        </w:numPr>
        <w:autoSpaceDE/>
        <w:autoSpaceDN/>
        <w:spacing w:before="100" w:beforeAutospacing="1" w:after="100" w:afterAutospacing="1" w:line="264" w:lineRule="auto"/>
      </w:pPr>
      <w:r>
        <w:rPr>
          <w:rStyle w:val="Strong"/>
        </w:rPr>
        <w:t>Amalgamation (2024)</w:t>
      </w:r>
      <w:r>
        <w:t>: Tata Steel merged with subsidiaries like Tinplate Company of India Ltd to streamline operations.</w:t>
      </w:r>
    </w:p>
    <w:p w14:paraId="33351806" w14:textId="77777777" w:rsidR="00E434E7" w:rsidRDefault="00E434E7" w:rsidP="00E434E7">
      <w:pPr>
        <w:widowControl/>
        <w:numPr>
          <w:ilvl w:val="0"/>
          <w:numId w:val="14"/>
        </w:numPr>
        <w:autoSpaceDE/>
        <w:autoSpaceDN/>
        <w:spacing w:before="100" w:beforeAutospacing="1" w:after="100" w:afterAutospacing="1" w:line="264" w:lineRule="auto"/>
      </w:pPr>
      <w:r>
        <w:rPr>
          <w:rStyle w:val="Strong"/>
        </w:rPr>
        <w:t>Capital Infusion</w:t>
      </w:r>
      <w:r>
        <w:t>: Equity stake acquisitions and internal restructuring supported expansion and ESG goals.</w:t>
      </w:r>
    </w:p>
    <w:p w14:paraId="16E778FF" w14:textId="77777777" w:rsidR="00E434E7" w:rsidRDefault="00000000" w:rsidP="00E434E7">
      <w:r>
        <w:pict w14:anchorId="41D3F2E8">
          <v:rect id="_x0000_i1041" style="width:0;height:1.5pt" o:hralign="center" o:hrstd="t" o:hr="t" fillcolor="#a0a0a0" stroked="f"/>
        </w:pict>
      </w:r>
    </w:p>
    <w:p w14:paraId="49199ECF" w14:textId="77777777" w:rsidR="00E434E7" w:rsidRDefault="00E434E7" w:rsidP="00E434E7">
      <w:pPr>
        <w:pStyle w:val="Heading2"/>
      </w:pPr>
      <w:r>
        <w:rPr>
          <w:rFonts w:ascii="Segoe UI Symbol" w:hAnsi="Segoe UI Symbol" w:cs="Segoe UI Symbol"/>
        </w:rPr>
        <w:t>💰</w:t>
      </w:r>
      <w:r>
        <w:t xml:space="preserve"> </w:t>
      </w:r>
      <w:r>
        <w:rPr>
          <w:rStyle w:val="Strong"/>
          <w:b w:val="0"/>
          <w:bCs w:val="0"/>
        </w:rPr>
        <w:t>Dividends Paid (Last 3 Years)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DDDD8" w:themeFill="text2" w:themeFillTint="33"/>
        <w:tblCellMar>
          <w:top w:w="15" w:type="dxa"/>
          <w:left w:w="15" w:type="dxa"/>
          <w:bottom w:w="15" w:type="dxa"/>
          <w:right w:w="15" w:type="dxa"/>
        </w:tblCellMar>
        <w:tblLook w:val="04A0" w:firstRow="1" w:lastRow="0" w:firstColumn="1" w:lastColumn="0" w:noHBand="0" w:noVBand="1"/>
      </w:tblPr>
      <w:tblGrid>
        <w:gridCol w:w="1214"/>
        <w:gridCol w:w="1834"/>
        <w:gridCol w:w="1507"/>
      </w:tblGrid>
      <w:tr w:rsidR="00E434E7" w14:paraId="064369B4" w14:textId="77777777" w:rsidTr="00D83ECB">
        <w:trPr>
          <w:tblHeader/>
          <w:tblCellSpacing w:w="15" w:type="dxa"/>
          <w:jc w:val="center"/>
        </w:trPr>
        <w:tc>
          <w:tcPr>
            <w:tcW w:w="0" w:type="auto"/>
            <w:shd w:val="clear" w:color="auto" w:fill="DDDDD8" w:themeFill="text2" w:themeFillTint="33"/>
            <w:vAlign w:val="center"/>
            <w:hideMark/>
          </w:tcPr>
          <w:p w14:paraId="76EE52AC" w14:textId="77777777" w:rsidR="00E434E7" w:rsidRDefault="00E434E7" w:rsidP="00D83ECB">
            <w:pPr>
              <w:jc w:val="center"/>
              <w:rPr>
                <w:b/>
                <w:bCs/>
              </w:rPr>
            </w:pPr>
            <w:r>
              <w:rPr>
                <w:rStyle w:val="Strong"/>
              </w:rPr>
              <w:t>Fiscal Year</w:t>
            </w:r>
          </w:p>
        </w:tc>
        <w:tc>
          <w:tcPr>
            <w:tcW w:w="0" w:type="auto"/>
            <w:shd w:val="clear" w:color="auto" w:fill="DDDDD8" w:themeFill="text2" w:themeFillTint="33"/>
            <w:vAlign w:val="center"/>
            <w:hideMark/>
          </w:tcPr>
          <w:p w14:paraId="2FE68AC5" w14:textId="77777777" w:rsidR="00E434E7" w:rsidRDefault="00E434E7" w:rsidP="00D83ECB">
            <w:pPr>
              <w:jc w:val="center"/>
              <w:rPr>
                <w:b/>
                <w:bCs/>
              </w:rPr>
            </w:pPr>
            <w:r>
              <w:rPr>
                <w:rStyle w:val="Strong"/>
              </w:rPr>
              <w:t>Dividend Declared</w:t>
            </w:r>
          </w:p>
        </w:tc>
        <w:tc>
          <w:tcPr>
            <w:tcW w:w="0" w:type="auto"/>
            <w:shd w:val="clear" w:color="auto" w:fill="DDDDD8" w:themeFill="text2" w:themeFillTint="33"/>
            <w:vAlign w:val="center"/>
            <w:hideMark/>
          </w:tcPr>
          <w:p w14:paraId="3A666BD4" w14:textId="77777777" w:rsidR="00E434E7" w:rsidRDefault="00E434E7" w:rsidP="00D83ECB">
            <w:pPr>
              <w:jc w:val="center"/>
              <w:rPr>
                <w:b/>
                <w:bCs/>
              </w:rPr>
            </w:pPr>
            <w:r>
              <w:rPr>
                <w:rStyle w:val="Strong"/>
              </w:rPr>
              <w:t>Dividend Yield</w:t>
            </w:r>
          </w:p>
        </w:tc>
      </w:tr>
      <w:tr w:rsidR="00E434E7" w14:paraId="1EEEDD3C" w14:textId="77777777" w:rsidTr="00D83ECB">
        <w:trPr>
          <w:tblCellSpacing w:w="15" w:type="dxa"/>
          <w:jc w:val="center"/>
        </w:trPr>
        <w:tc>
          <w:tcPr>
            <w:tcW w:w="0" w:type="auto"/>
            <w:shd w:val="clear" w:color="auto" w:fill="DDDDD8" w:themeFill="text2" w:themeFillTint="33"/>
            <w:vAlign w:val="center"/>
            <w:hideMark/>
          </w:tcPr>
          <w:p w14:paraId="633ACF04" w14:textId="77777777" w:rsidR="00E434E7" w:rsidRDefault="00E434E7" w:rsidP="00D83ECB">
            <w:r>
              <w:rPr>
                <w:rStyle w:val="Strong"/>
              </w:rPr>
              <w:t>FY 2022–23</w:t>
            </w:r>
          </w:p>
        </w:tc>
        <w:tc>
          <w:tcPr>
            <w:tcW w:w="0" w:type="auto"/>
            <w:shd w:val="clear" w:color="auto" w:fill="DDDDD8" w:themeFill="text2" w:themeFillTint="33"/>
            <w:vAlign w:val="center"/>
            <w:hideMark/>
          </w:tcPr>
          <w:p w14:paraId="6224C83C" w14:textId="77777777" w:rsidR="00E434E7" w:rsidRDefault="00E434E7" w:rsidP="00D83ECB">
            <w:r>
              <w:t>₹3.60/share</w:t>
            </w:r>
          </w:p>
        </w:tc>
        <w:tc>
          <w:tcPr>
            <w:tcW w:w="0" w:type="auto"/>
            <w:shd w:val="clear" w:color="auto" w:fill="DDDDD8" w:themeFill="text2" w:themeFillTint="33"/>
            <w:vAlign w:val="center"/>
            <w:hideMark/>
          </w:tcPr>
          <w:p w14:paraId="38228256" w14:textId="77777777" w:rsidR="00E434E7" w:rsidRDefault="00E434E7" w:rsidP="00D83ECB">
            <w:r>
              <w:t>~2.3%</w:t>
            </w:r>
          </w:p>
        </w:tc>
      </w:tr>
      <w:tr w:rsidR="00E434E7" w14:paraId="7D333B89" w14:textId="77777777" w:rsidTr="00D83ECB">
        <w:trPr>
          <w:tblCellSpacing w:w="15" w:type="dxa"/>
          <w:jc w:val="center"/>
        </w:trPr>
        <w:tc>
          <w:tcPr>
            <w:tcW w:w="0" w:type="auto"/>
            <w:shd w:val="clear" w:color="auto" w:fill="DDDDD8" w:themeFill="text2" w:themeFillTint="33"/>
            <w:vAlign w:val="center"/>
            <w:hideMark/>
          </w:tcPr>
          <w:p w14:paraId="4CA9FEEB" w14:textId="77777777" w:rsidR="00E434E7" w:rsidRDefault="00E434E7" w:rsidP="00D83ECB">
            <w:pPr>
              <w:jc w:val="center"/>
            </w:pPr>
            <w:r>
              <w:rPr>
                <w:rStyle w:val="Strong"/>
              </w:rPr>
              <w:t>FY 2023–24</w:t>
            </w:r>
          </w:p>
        </w:tc>
        <w:tc>
          <w:tcPr>
            <w:tcW w:w="0" w:type="auto"/>
            <w:shd w:val="clear" w:color="auto" w:fill="DDDDD8" w:themeFill="text2" w:themeFillTint="33"/>
            <w:vAlign w:val="center"/>
            <w:hideMark/>
          </w:tcPr>
          <w:p w14:paraId="30A55916" w14:textId="77777777" w:rsidR="00E434E7" w:rsidRDefault="00E434E7" w:rsidP="00D83ECB">
            <w:pPr>
              <w:jc w:val="center"/>
            </w:pPr>
            <w:r>
              <w:t>₹3.60/share</w:t>
            </w:r>
          </w:p>
        </w:tc>
        <w:tc>
          <w:tcPr>
            <w:tcW w:w="0" w:type="auto"/>
            <w:shd w:val="clear" w:color="auto" w:fill="DDDDD8" w:themeFill="text2" w:themeFillTint="33"/>
            <w:vAlign w:val="center"/>
            <w:hideMark/>
          </w:tcPr>
          <w:p w14:paraId="5257610E" w14:textId="77777777" w:rsidR="00E434E7" w:rsidRDefault="00E434E7" w:rsidP="00D83ECB">
            <w:pPr>
              <w:jc w:val="center"/>
            </w:pPr>
            <w:r>
              <w:t>~2.4%</w:t>
            </w:r>
          </w:p>
        </w:tc>
      </w:tr>
      <w:tr w:rsidR="00E434E7" w14:paraId="0D2F9A46" w14:textId="77777777" w:rsidTr="00D83ECB">
        <w:trPr>
          <w:tblCellSpacing w:w="15" w:type="dxa"/>
          <w:jc w:val="center"/>
        </w:trPr>
        <w:tc>
          <w:tcPr>
            <w:tcW w:w="0" w:type="auto"/>
            <w:shd w:val="clear" w:color="auto" w:fill="DDDDD8" w:themeFill="text2" w:themeFillTint="33"/>
            <w:vAlign w:val="center"/>
            <w:hideMark/>
          </w:tcPr>
          <w:p w14:paraId="317FF4BA" w14:textId="77777777" w:rsidR="00E434E7" w:rsidRDefault="00E434E7" w:rsidP="00D83ECB">
            <w:r>
              <w:rPr>
                <w:rStyle w:val="Strong"/>
              </w:rPr>
              <w:t>FY 2024–25</w:t>
            </w:r>
          </w:p>
        </w:tc>
        <w:tc>
          <w:tcPr>
            <w:tcW w:w="0" w:type="auto"/>
            <w:shd w:val="clear" w:color="auto" w:fill="DDDDD8" w:themeFill="text2" w:themeFillTint="33"/>
            <w:vAlign w:val="center"/>
            <w:hideMark/>
          </w:tcPr>
          <w:p w14:paraId="14DC4416" w14:textId="77777777" w:rsidR="00E434E7" w:rsidRDefault="00E434E7" w:rsidP="00D83ECB">
            <w:r>
              <w:t>₹3.60/share</w:t>
            </w:r>
          </w:p>
        </w:tc>
        <w:tc>
          <w:tcPr>
            <w:tcW w:w="0" w:type="auto"/>
            <w:shd w:val="clear" w:color="auto" w:fill="DDDDD8" w:themeFill="text2" w:themeFillTint="33"/>
            <w:vAlign w:val="center"/>
            <w:hideMark/>
          </w:tcPr>
          <w:p w14:paraId="612CC287" w14:textId="77777777" w:rsidR="00E434E7" w:rsidRDefault="00E434E7" w:rsidP="00D83ECB">
            <w:r>
              <w:t>~4.4%</w:t>
            </w:r>
          </w:p>
        </w:tc>
      </w:tr>
    </w:tbl>
    <w:p w14:paraId="0BB34C87" w14:textId="56C80E6F" w:rsidR="003238DE" w:rsidRPr="003238DE" w:rsidRDefault="00E434E7" w:rsidP="003238DE">
      <w:pPr>
        <w:numPr>
          <w:ilvl w:val="0"/>
          <w:numId w:val="15"/>
        </w:numPr>
        <w:spacing w:line="264" w:lineRule="auto"/>
        <w:rPr>
          <w:lang w:val="en-IN"/>
        </w:rPr>
      </w:pPr>
      <w:r>
        <w:rPr>
          <w:rStyle w:val="Strong"/>
        </w:rPr>
        <w:t>Observation</w:t>
      </w:r>
      <w:r>
        <w:t>:</w:t>
      </w:r>
      <w:r w:rsidR="003238DE" w:rsidRPr="003238DE">
        <w:rPr>
          <w:lang w:val="en-IN"/>
        </w:rPr>
        <w:t xml:space="preserve"> Tata Steel Ltd (FY 2022</w:t>
      </w:r>
      <w:r w:rsidR="003238DE" w:rsidRPr="003238DE">
        <w:rPr>
          <w:lang w:val="en-IN"/>
        </w:rPr>
        <w:noBreakHyphen/>
        <w:t>23 to FY 2024</w:t>
      </w:r>
      <w:r w:rsidR="003238DE" w:rsidRPr="003238DE">
        <w:rPr>
          <w:lang w:val="en-IN"/>
        </w:rPr>
        <w:noBreakHyphen/>
        <w:t>25)</w:t>
      </w:r>
      <w:r w:rsidR="003238DE" w:rsidRPr="003238DE">
        <w:rPr>
          <w:lang w:val="en-IN"/>
        </w:rPr>
        <w:br/>
        <w:t xml:space="preserve">Over the past three fiscal years, Tata Steel Ltd has maintained a consistent final dividend of ₹ 3.60 per share, signalling stable shareholder returns despite fluctuations in commodity cycles </w:t>
      </w:r>
      <w:r w:rsidR="003238DE" w:rsidRPr="003238DE">
        <w:rPr>
          <w:lang w:val="en-IN"/>
        </w:rPr>
        <w:lastRenderedPageBreak/>
        <w:t>and steel prices. Dividend yields have remained in the ~2 %–2.3 % range, reflecting both the steady payout and share price movements during declaration periods. This sustained policy highlights the company’s focus on balancing reinvestment in operations with regular cash distributions to investors.</w:t>
      </w:r>
    </w:p>
    <w:p w14:paraId="4B1575B3" w14:textId="788B8A97" w:rsidR="00E434E7" w:rsidRDefault="00000000" w:rsidP="00BE4605">
      <w:pPr>
        <w:widowControl/>
        <w:numPr>
          <w:ilvl w:val="0"/>
          <w:numId w:val="15"/>
        </w:numPr>
        <w:autoSpaceDE/>
        <w:autoSpaceDN/>
        <w:spacing w:before="100" w:beforeAutospacing="1" w:after="100" w:afterAutospacing="1" w:line="264" w:lineRule="auto"/>
      </w:pPr>
      <w:r>
        <w:pict w14:anchorId="7B1A8246">
          <v:rect id="_x0000_i1042" style="width:0;height:1.5pt" o:hralign="center" o:hrstd="t" o:hr="t" fillcolor="#a0a0a0" stroked="f"/>
        </w:pict>
      </w:r>
    </w:p>
    <w:p w14:paraId="115134EA" w14:textId="77777777" w:rsidR="00E434E7" w:rsidRDefault="00E434E7" w:rsidP="00E434E7">
      <w:pPr>
        <w:pStyle w:val="Heading2"/>
      </w:pPr>
      <w:r>
        <w:rPr>
          <w:rFonts w:ascii="Segoe UI Symbol" w:hAnsi="Segoe UI Symbol" w:cs="Segoe UI Symbol"/>
        </w:rPr>
        <w:t>⚠</w:t>
      </w:r>
      <w:r>
        <w:t xml:space="preserve">️ </w:t>
      </w:r>
      <w:r>
        <w:rPr>
          <w:rStyle w:val="Strong"/>
          <w:b w:val="0"/>
          <w:bCs w:val="0"/>
        </w:rPr>
        <w:t>Pending Litigations</w:t>
      </w:r>
    </w:p>
    <w:p w14:paraId="7367A329" w14:textId="77777777" w:rsidR="00E434E7" w:rsidRDefault="00E434E7" w:rsidP="00E434E7">
      <w:pPr>
        <w:pStyle w:val="Heading3"/>
      </w:pPr>
      <w:r>
        <w:rPr>
          <w:rFonts w:ascii="Cambria" w:hAnsi="Cambria" w:cs="Cambria"/>
        </w:rPr>
        <w:t>🧾</w:t>
      </w:r>
      <w:r>
        <w:t xml:space="preserve"> Key Legal Disputes</w:t>
      </w:r>
    </w:p>
    <w:p w14:paraId="69EB57E6" w14:textId="77777777" w:rsidR="00E434E7" w:rsidRDefault="00E434E7" w:rsidP="00E434E7">
      <w:pPr>
        <w:pStyle w:val="NormalWeb"/>
        <w:numPr>
          <w:ilvl w:val="0"/>
          <w:numId w:val="16"/>
        </w:numPr>
        <w:spacing w:line="264" w:lineRule="auto"/>
      </w:pPr>
      <w:r>
        <w:rPr>
          <w:rStyle w:val="Strong"/>
        </w:rPr>
        <w:t>Steel Development Fund (SDF) Case</w:t>
      </w:r>
    </w:p>
    <w:p w14:paraId="04980413" w14:textId="77777777" w:rsidR="00E434E7" w:rsidRDefault="00E434E7" w:rsidP="00E434E7">
      <w:pPr>
        <w:widowControl/>
        <w:numPr>
          <w:ilvl w:val="1"/>
          <w:numId w:val="16"/>
        </w:numPr>
        <w:autoSpaceDE/>
        <w:autoSpaceDN/>
        <w:spacing w:before="100" w:beforeAutospacing="1" w:after="100" w:afterAutospacing="1" w:line="264" w:lineRule="auto"/>
      </w:pPr>
      <w:r>
        <w:rPr>
          <w:rStyle w:val="Strong"/>
        </w:rPr>
        <w:t>Parties</w:t>
      </w:r>
      <w:r>
        <w:t>: Tata Steel vs Union of India &amp; SAIL</w:t>
      </w:r>
    </w:p>
    <w:p w14:paraId="56E1077F" w14:textId="77777777" w:rsidR="00E434E7" w:rsidRDefault="00E434E7" w:rsidP="00E434E7">
      <w:pPr>
        <w:widowControl/>
        <w:numPr>
          <w:ilvl w:val="1"/>
          <w:numId w:val="16"/>
        </w:numPr>
        <w:autoSpaceDE/>
        <w:autoSpaceDN/>
        <w:spacing w:before="100" w:beforeAutospacing="1" w:after="100" w:afterAutospacing="1" w:line="264" w:lineRule="auto"/>
      </w:pPr>
      <w:r>
        <w:rPr>
          <w:rStyle w:val="Strong"/>
        </w:rPr>
        <w:t>Issue</w:t>
      </w:r>
      <w:r>
        <w:t>: Dispute over waiver of loans taken against SDF contributions.</w:t>
      </w:r>
    </w:p>
    <w:p w14:paraId="11E96EA1" w14:textId="77777777" w:rsidR="00E434E7" w:rsidRDefault="00E434E7" w:rsidP="00E434E7">
      <w:pPr>
        <w:widowControl/>
        <w:numPr>
          <w:ilvl w:val="1"/>
          <w:numId w:val="16"/>
        </w:numPr>
        <w:autoSpaceDE/>
        <w:autoSpaceDN/>
        <w:spacing w:before="100" w:beforeAutospacing="1" w:after="100" w:afterAutospacing="1" w:line="264" w:lineRule="auto"/>
      </w:pPr>
      <w:r>
        <w:rPr>
          <w:rStyle w:val="Strong"/>
        </w:rPr>
        <w:t>Status</w:t>
      </w:r>
      <w:r>
        <w:t>: Pending resolution in Calcutta High Court as of May 2024.</w:t>
      </w:r>
    </w:p>
    <w:p w14:paraId="4345C1A6" w14:textId="77777777" w:rsidR="00E434E7" w:rsidRDefault="00E434E7" w:rsidP="00E434E7">
      <w:pPr>
        <w:pStyle w:val="NormalWeb"/>
        <w:numPr>
          <w:ilvl w:val="0"/>
          <w:numId w:val="16"/>
        </w:numPr>
        <w:spacing w:line="264" w:lineRule="auto"/>
      </w:pPr>
      <w:r>
        <w:rPr>
          <w:rStyle w:val="Strong"/>
        </w:rPr>
        <w:t>Tax Notices &amp; Penalties</w:t>
      </w:r>
    </w:p>
    <w:p w14:paraId="6622C8C1" w14:textId="77777777" w:rsidR="00E434E7" w:rsidRDefault="00E434E7" w:rsidP="00E434E7">
      <w:pPr>
        <w:widowControl/>
        <w:numPr>
          <w:ilvl w:val="1"/>
          <w:numId w:val="16"/>
        </w:numPr>
        <w:autoSpaceDE/>
        <w:autoSpaceDN/>
        <w:spacing w:before="100" w:beforeAutospacing="1" w:after="100" w:afterAutospacing="1" w:line="264" w:lineRule="auto"/>
      </w:pPr>
      <w:r>
        <w:rPr>
          <w:rStyle w:val="Strong"/>
        </w:rPr>
        <w:t>Events</w:t>
      </w:r>
      <w:r>
        <w:t>: Multiple tax-related notices and penalties issued in FY 2024–25.</w:t>
      </w:r>
    </w:p>
    <w:p w14:paraId="5F7C90F1" w14:textId="77777777" w:rsidR="00E434E7" w:rsidRDefault="00E434E7" w:rsidP="00E434E7">
      <w:pPr>
        <w:widowControl/>
        <w:numPr>
          <w:ilvl w:val="1"/>
          <w:numId w:val="16"/>
        </w:numPr>
        <w:autoSpaceDE/>
        <w:autoSpaceDN/>
        <w:spacing w:before="100" w:beforeAutospacing="1" w:after="100" w:afterAutospacing="1" w:line="264" w:lineRule="auto"/>
      </w:pPr>
      <w:r>
        <w:rPr>
          <w:rStyle w:val="Strong"/>
        </w:rPr>
        <w:t>Impact</w:t>
      </w:r>
      <w:r>
        <w:t>: May affect deferred tax liabilities and future cash flows.</w:t>
      </w:r>
    </w:p>
    <w:p w14:paraId="48D15EEB" w14:textId="77777777" w:rsidR="00E434E7" w:rsidRDefault="00E434E7" w:rsidP="00E434E7">
      <w:pPr>
        <w:pStyle w:val="NormalWeb"/>
        <w:numPr>
          <w:ilvl w:val="0"/>
          <w:numId w:val="16"/>
        </w:numPr>
        <w:spacing w:line="264" w:lineRule="auto"/>
      </w:pPr>
      <w:r>
        <w:rPr>
          <w:rStyle w:val="Strong"/>
        </w:rPr>
        <w:t>Stamp Duty &amp; Customs Penalties</w:t>
      </w:r>
    </w:p>
    <w:p w14:paraId="23333065" w14:textId="77777777" w:rsidR="00E434E7" w:rsidRDefault="00E434E7" w:rsidP="00E434E7">
      <w:pPr>
        <w:widowControl/>
        <w:numPr>
          <w:ilvl w:val="1"/>
          <w:numId w:val="16"/>
        </w:numPr>
        <w:autoSpaceDE/>
        <w:autoSpaceDN/>
        <w:spacing w:before="100" w:beforeAutospacing="1" w:after="100" w:afterAutospacing="1" w:line="264" w:lineRule="auto"/>
      </w:pPr>
      <w:r>
        <w:rPr>
          <w:rStyle w:val="Strong"/>
        </w:rPr>
        <w:t>Details</w:t>
      </w:r>
      <w:r>
        <w:t>: Penalties related to asset transfers and import documentation.</w:t>
      </w:r>
    </w:p>
    <w:p w14:paraId="35F59EDF" w14:textId="5B279F0D" w:rsidR="00E434E7" w:rsidRDefault="00E434E7" w:rsidP="00C26436">
      <w:pPr>
        <w:widowControl/>
        <w:numPr>
          <w:ilvl w:val="1"/>
          <w:numId w:val="16"/>
        </w:numPr>
        <w:autoSpaceDE/>
        <w:autoSpaceDN/>
        <w:spacing w:before="100" w:beforeAutospacing="1" w:after="100" w:afterAutospacing="1" w:line="264" w:lineRule="auto"/>
      </w:pPr>
      <w:r>
        <w:rPr>
          <w:rStyle w:val="Strong"/>
        </w:rPr>
        <w:t>Resolution</w:t>
      </w:r>
      <w:r>
        <w:t>: Under regulatory review; disclosed in compliance reports.</w:t>
      </w:r>
    </w:p>
    <w:p w14:paraId="2ADC9593" w14:textId="77777777" w:rsidR="00E434E7" w:rsidRDefault="00000000" w:rsidP="00E434E7">
      <w:r>
        <w:pict w14:anchorId="24D50CBE">
          <v:rect id="_x0000_i1043" style="width:0;height:1.5pt" o:hralign="center" o:hrstd="t" o:hr="t" fillcolor="#a0a0a0" stroked="f"/>
        </w:pict>
      </w:r>
    </w:p>
    <w:p w14:paraId="6B62E398" w14:textId="77777777" w:rsidR="00E434E7" w:rsidRDefault="00E434E7" w:rsidP="00E434E7">
      <w:pPr>
        <w:pStyle w:val="Heading1"/>
      </w:pPr>
      <w:r>
        <w:t>Part 2: Subsidiary Analysis</w:t>
      </w:r>
    </w:p>
    <w:p w14:paraId="4BC22B17" w14:textId="77777777" w:rsidR="00E434E7" w:rsidRPr="0010007F" w:rsidRDefault="00E434E7" w:rsidP="00E434E7">
      <w:pPr>
        <w:widowControl/>
        <w:numPr>
          <w:ilvl w:val="0"/>
          <w:numId w:val="21"/>
        </w:numPr>
        <w:autoSpaceDE/>
        <w:autoSpaceDN/>
        <w:spacing w:after="103" w:line="259" w:lineRule="auto"/>
        <w:ind w:hanging="360"/>
        <w:rPr>
          <w:rStyle w:val="SubtleEmphasis"/>
        </w:rPr>
      </w:pPr>
      <w:r w:rsidRPr="0010007F">
        <w:rPr>
          <w:rStyle w:val="SubtleEmphasis"/>
        </w:rPr>
        <w:t xml:space="preserve">Number of Subsidiaries:  </w:t>
      </w:r>
    </w:p>
    <w:p w14:paraId="450D73C0" w14:textId="1B762890" w:rsidR="00E434E7" w:rsidRDefault="00E434E7" w:rsidP="00C26436">
      <w:pPr>
        <w:spacing w:after="180"/>
      </w:pPr>
      <w:r w:rsidRPr="0010007F">
        <w:rPr>
          <w:rStyle w:val="SubtleEmphasis"/>
        </w:rPr>
        <w:t xml:space="preserve">Identify the total number of domestic and/or international subsidiaries the company owns. Give a brief explanation about the said subsidiaries focusing on its performance, area of operations, profitability and control (percentage ownership). If the company does not have any subsidiary, but is being controlled by a parent company, then briefly explain the operation and performance of the parent company focusing on its performance, area of operations, profitability and control (percentage ownership </w:t>
      </w:r>
    </w:p>
    <w:p w14:paraId="301E694A" w14:textId="77777777" w:rsidR="00E434E7" w:rsidRDefault="00000000" w:rsidP="00E434E7">
      <w:r>
        <w:pict w14:anchorId="1C56AC64">
          <v:rect id="_x0000_i1044" style="width:0;height:1.5pt" o:hralign="center" o:hrstd="t" o:hr="t" fillcolor="#a0a0a0" stroked="f"/>
        </w:pict>
      </w:r>
    </w:p>
    <w:p w14:paraId="19B9FBE0" w14:textId="77777777" w:rsidR="00E434E7" w:rsidRDefault="00E434E7" w:rsidP="00E434E7">
      <w:pPr>
        <w:pStyle w:val="Heading2"/>
      </w:pPr>
      <w:r>
        <w:rPr>
          <w:rFonts w:ascii="Segoe UI Symbol" w:hAnsi="Segoe UI Symbol" w:cs="Segoe UI Symbol"/>
        </w:rPr>
        <w:t>📘</w:t>
      </w:r>
      <w:r>
        <w:t xml:space="preserve"> </w:t>
      </w:r>
      <w:r>
        <w:rPr>
          <w:rStyle w:val="Strong"/>
          <w:b w:val="0"/>
          <w:bCs w:val="0"/>
        </w:rPr>
        <w:t>A. Number of Subsidiaries – Tata Steel Ltd</w:t>
      </w:r>
    </w:p>
    <w:p w14:paraId="0F007880" w14:textId="77777777" w:rsidR="00E434E7" w:rsidRDefault="00000000" w:rsidP="00E434E7">
      <w:r>
        <w:pict w14:anchorId="44204A3A">
          <v:rect id="_x0000_i1045" style="width:0;height:1.5pt" o:hralign="center" o:hrstd="t" o:hr="t" fillcolor="#a0a0a0" stroked="f"/>
        </w:pict>
      </w:r>
    </w:p>
    <w:p w14:paraId="201B7BDA" w14:textId="77777777" w:rsidR="00E434E7" w:rsidRDefault="00E434E7" w:rsidP="00E434E7">
      <w:pPr>
        <w:pStyle w:val="Heading3"/>
      </w:pPr>
      <w:r>
        <w:rPr>
          <w:rFonts w:ascii="Segoe UI Symbol" w:hAnsi="Segoe UI Symbol" w:cs="Segoe UI Symbol"/>
        </w:rPr>
        <w:t>🔢</w:t>
      </w:r>
      <w:r>
        <w:t xml:space="preserve"> </w:t>
      </w:r>
      <w:r>
        <w:rPr>
          <w:rStyle w:val="Strong"/>
          <w:b w:val="0"/>
          <w:bCs w:val="0"/>
        </w:rPr>
        <w:t>Total Subsidiaries</w:t>
      </w:r>
    </w:p>
    <w:p w14:paraId="596B1A42" w14:textId="77777777" w:rsidR="00E434E7" w:rsidRDefault="00E434E7" w:rsidP="00E434E7">
      <w:pPr>
        <w:widowControl/>
        <w:numPr>
          <w:ilvl w:val="0"/>
          <w:numId w:val="22"/>
        </w:numPr>
        <w:autoSpaceDE/>
        <w:autoSpaceDN/>
        <w:spacing w:before="100" w:beforeAutospacing="1" w:after="100" w:afterAutospacing="1"/>
      </w:pPr>
      <w:r>
        <w:t xml:space="preserve">As of </w:t>
      </w:r>
      <w:r>
        <w:rPr>
          <w:rStyle w:val="Strong"/>
        </w:rPr>
        <w:t>FY 2022–23</w:t>
      </w:r>
      <w:r>
        <w:t xml:space="preserve">, Tata Steel Ltd owns a total of </w:t>
      </w:r>
      <w:r>
        <w:rPr>
          <w:rStyle w:val="Strong"/>
        </w:rPr>
        <w:t>41 subsidiaries</w:t>
      </w:r>
      <w:r>
        <w:t xml:space="preserve">, comprising both </w:t>
      </w:r>
      <w:r>
        <w:rPr>
          <w:rStyle w:val="Strong"/>
        </w:rPr>
        <w:t>domestic and international entities</w:t>
      </w:r>
      <w:r>
        <w:t>.</w:t>
      </w:r>
    </w:p>
    <w:p w14:paraId="7CDB3B6D" w14:textId="77777777" w:rsidR="00E434E7" w:rsidRDefault="00E434E7" w:rsidP="00E434E7">
      <w:pPr>
        <w:widowControl/>
        <w:numPr>
          <w:ilvl w:val="0"/>
          <w:numId w:val="22"/>
        </w:numPr>
        <w:autoSpaceDE/>
        <w:autoSpaceDN/>
        <w:spacing w:before="100" w:beforeAutospacing="1" w:after="100" w:afterAutospacing="1"/>
      </w:pPr>
      <w:r>
        <w:t xml:space="preserve">These subsidiaries operate across diverse verticals including </w:t>
      </w:r>
      <w:r>
        <w:rPr>
          <w:rStyle w:val="Strong"/>
        </w:rPr>
        <w:t>steel manufacturing, mining, processing, distribution, and value-added services</w:t>
      </w:r>
      <w:r>
        <w:t>.</w:t>
      </w:r>
    </w:p>
    <w:p w14:paraId="0183C28E" w14:textId="77777777" w:rsidR="00E434E7" w:rsidRDefault="00E434E7" w:rsidP="00E434E7">
      <w:pPr>
        <w:widowControl/>
        <w:numPr>
          <w:ilvl w:val="0"/>
          <w:numId w:val="22"/>
        </w:numPr>
        <w:autoSpaceDE/>
        <w:autoSpaceDN/>
        <w:spacing w:before="100" w:beforeAutospacing="1" w:after="100" w:afterAutospacing="1"/>
      </w:pPr>
      <w:r>
        <w:t xml:space="preserve">The subsidiary structure enables Tata Steel to maintain </w:t>
      </w:r>
      <w:r>
        <w:rPr>
          <w:rStyle w:val="Strong"/>
        </w:rPr>
        <w:t>operational flexibility</w:t>
      </w:r>
      <w:r>
        <w:t xml:space="preserve">, </w:t>
      </w:r>
      <w:r>
        <w:rPr>
          <w:rStyle w:val="Strong"/>
        </w:rPr>
        <w:t>regional specialization</w:t>
      </w:r>
      <w:r>
        <w:t xml:space="preserve">, and </w:t>
      </w:r>
      <w:r>
        <w:rPr>
          <w:rStyle w:val="Strong"/>
        </w:rPr>
        <w:t>vertical integration</w:t>
      </w:r>
      <w:r>
        <w:t xml:space="preserve"> across its global supply chain.</w:t>
      </w:r>
    </w:p>
    <w:p w14:paraId="36CB821A" w14:textId="77777777" w:rsidR="00E434E7" w:rsidRDefault="00000000" w:rsidP="00E434E7">
      <w:r>
        <w:pict w14:anchorId="25CC5B01">
          <v:rect id="_x0000_i1046" style="width:0;height:1.5pt" o:hralign="center" o:hrstd="t" o:hr="t" fillcolor="#a0a0a0" stroked="f"/>
        </w:pict>
      </w:r>
    </w:p>
    <w:p w14:paraId="384AE1FC" w14:textId="77777777" w:rsidR="00E434E7" w:rsidRDefault="00E434E7" w:rsidP="00E434E7">
      <w:pPr>
        <w:pStyle w:val="Heading3"/>
      </w:pPr>
      <w:r>
        <w:rPr>
          <w:rFonts w:ascii="Segoe UI Symbol" w:hAnsi="Segoe UI Symbol" w:cs="Segoe UI Symbol"/>
        </w:rPr>
        <w:t>🇮🇳</w:t>
      </w:r>
      <w:r>
        <w:t xml:space="preserve"> </w:t>
      </w:r>
      <w:r>
        <w:rPr>
          <w:rStyle w:val="Strong"/>
          <w:b w:val="0"/>
          <w:bCs w:val="0"/>
        </w:rPr>
        <w:t>Domestic Subsidiaries</w:t>
      </w:r>
    </w:p>
    <w:p w14:paraId="2BCC4AE1" w14:textId="77777777" w:rsidR="00E434E7" w:rsidRDefault="00E434E7" w:rsidP="00E434E7">
      <w:pPr>
        <w:pStyle w:val="NormalWeb"/>
        <w:numPr>
          <w:ilvl w:val="0"/>
          <w:numId w:val="23"/>
        </w:numPr>
      </w:pPr>
      <w:r>
        <w:rPr>
          <w:rStyle w:val="Strong"/>
        </w:rPr>
        <w:t>Tata Steel Long Products Ltd</w:t>
      </w:r>
    </w:p>
    <w:p w14:paraId="57615468" w14:textId="77777777" w:rsidR="00E434E7" w:rsidRDefault="00E434E7" w:rsidP="00E434E7">
      <w:pPr>
        <w:widowControl/>
        <w:numPr>
          <w:ilvl w:val="1"/>
          <w:numId w:val="23"/>
        </w:numPr>
        <w:autoSpaceDE/>
        <w:autoSpaceDN/>
        <w:spacing w:before="100" w:beforeAutospacing="1" w:after="100" w:afterAutospacing="1"/>
      </w:pPr>
      <w:r>
        <w:t>Focus: Alloy steel and sponge iron production</w:t>
      </w:r>
    </w:p>
    <w:p w14:paraId="4BEFFC3D" w14:textId="77777777" w:rsidR="00E434E7" w:rsidRDefault="00E434E7" w:rsidP="00E434E7">
      <w:pPr>
        <w:widowControl/>
        <w:numPr>
          <w:ilvl w:val="1"/>
          <w:numId w:val="23"/>
        </w:numPr>
        <w:autoSpaceDE/>
        <w:autoSpaceDN/>
        <w:spacing w:before="100" w:beforeAutospacing="1" w:after="100" w:afterAutospacing="1"/>
      </w:pPr>
      <w:r>
        <w:t>Ownership: Majority stake</w:t>
      </w:r>
    </w:p>
    <w:p w14:paraId="50AC7D8F" w14:textId="77777777" w:rsidR="00E434E7" w:rsidRDefault="00E434E7" w:rsidP="00E434E7">
      <w:pPr>
        <w:widowControl/>
        <w:numPr>
          <w:ilvl w:val="1"/>
          <w:numId w:val="23"/>
        </w:numPr>
        <w:autoSpaceDE/>
        <w:autoSpaceDN/>
        <w:spacing w:before="100" w:beforeAutospacing="1" w:after="100" w:afterAutospacing="1"/>
      </w:pPr>
      <w:r>
        <w:t xml:space="preserve">Performance: Profitable; recently merged with </w:t>
      </w:r>
      <w:proofErr w:type="spellStart"/>
      <w:r>
        <w:rPr>
          <w:rStyle w:val="Strong"/>
        </w:rPr>
        <w:t>Neelachal</w:t>
      </w:r>
      <w:proofErr w:type="spellEnd"/>
      <w:r>
        <w:rPr>
          <w:rStyle w:val="Strong"/>
        </w:rPr>
        <w:t xml:space="preserve"> </w:t>
      </w:r>
      <w:proofErr w:type="spellStart"/>
      <w:r>
        <w:rPr>
          <w:rStyle w:val="Strong"/>
        </w:rPr>
        <w:t>Ispat</w:t>
      </w:r>
      <w:proofErr w:type="spellEnd"/>
      <w:r>
        <w:rPr>
          <w:rStyle w:val="Strong"/>
        </w:rPr>
        <w:t xml:space="preserve"> Nigam Ltd</w:t>
      </w:r>
      <w:r>
        <w:t>, enhancing capacity and market reach</w:t>
      </w:r>
    </w:p>
    <w:p w14:paraId="0459C925" w14:textId="77777777" w:rsidR="00E434E7" w:rsidRDefault="00E434E7" w:rsidP="00E434E7">
      <w:pPr>
        <w:widowControl/>
        <w:numPr>
          <w:ilvl w:val="1"/>
          <w:numId w:val="23"/>
        </w:numPr>
        <w:autoSpaceDE/>
        <w:autoSpaceDN/>
        <w:spacing w:before="100" w:beforeAutospacing="1" w:after="100" w:afterAutospacing="1"/>
      </w:pPr>
      <w:r>
        <w:t>Strategic Role: Supports Tata Steel’s long product portfolio and backward integration</w:t>
      </w:r>
    </w:p>
    <w:p w14:paraId="03863D07" w14:textId="77777777" w:rsidR="00E434E7" w:rsidRDefault="00E434E7" w:rsidP="00E434E7">
      <w:pPr>
        <w:pStyle w:val="NormalWeb"/>
        <w:numPr>
          <w:ilvl w:val="0"/>
          <w:numId w:val="23"/>
        </w:numPr>
      </w:pPr>
      <w:r>
        <w:rPr>
          <w:rStyle w:val="Strong"/>
        </w:rPr>
        <w:t xml:space="preserve">Tata </w:t>
      </w:r>
      <w:proofErr w:type="spellStart"/>
      <w:r>
        <w:rPr>
          <w:rStyle w:val="Strong"/>
        </w:rPr>
        <w:t>Metaliks</w:t>
      </w:r>
      <w:proofErr w:type="spellEnd"/>
      <w:r>
        <w:rPr>
          <w:rStyle w:val="Strong"/>
        </w:rPr>
        <w:t xml:space="preserve"> Ltd</w:t>
      </w:r>
    </w:p>
    <w:p w14:paraId="4FDFEBF1" w14:textId="77777777" w:rsidR="00E434E7" w:rsidRDefault="00E434E7" w:rsidP="00E434E7">
      <w:pPr>
        <w:widowControl/>
        <w:numPr>
          <w:ilvl w:val="1"/>
          <w:numId w:val="23"/>
        </w:numPr>
        <w:autoSpaceDE/>
        <w:autoSpaceDN/>
        <w:spacing w:before="100" w:beforeAutospacing="1" w:after="100" w:afterAutospacing="1"/>
      </w:pPr>
      <w:r>
        <w:t>Focus: Pig iron and ductile iron pipes</w:t>
      </w:r>
    </w:p>
    <w:p w14:paraId="5C6B5171" w14:textId="77777777" w:rsidR="00E434E7" w:rsidRDefault="00E434E7" w:rsidP="00E434E7">
      <w:pPr>
        <w:widowControl/>
        <w:numPr>
          <w:ilvl w:val="1"/>
          <w:numId w:val="23"/>
        </w:numPr>
        <w:autoSpaceDE/>
        <w:autoSpaceDN/>
        <w:spacing w:before="100" w:beforeAutospacing="1" w:after="100" w:afterAutospacing="1"/>
      </w:pPr>
      <w:r>
        <w:lastRenderedPageBreak/>
        <w:t>Ownership: Majority stake</w:t>
      </w:r>
    </w:p>
    <w:p w14:paraId="1C20548A" w14:textId="77777777" w:rsidR="00E434E7" w:rsidRDefault="00E434E7" w:rsidP="00E434E7">
      <w:pPr>
        <w:widowControl/>
        <w:numPr>
          <w:ilvl w:val="1"/>
          <w:numId w:val="23"/>
        </w:numPr>
        <w:autoSpaceDE/>
        <w:autoSpaceDN/>
        <w:spacing w:before="100" w:beforeAutospacing="1" w:after="100" w:afterAutospacing="1"/>
      </w:pPr>
      <w:r>
        <w:t>Performance: Stable growth; benefits from infrastructure and water supply projects</w:t>
      </w:r>
    </w:p>
    <w:p w14:paraId="1F57E89C" w14:textId="77777777" w:rsidR="00E434E7" w:rsidRDefault="00E434E7" w:rsidP="00E434E7">
      <w:pPr>
        <w:widowControl/>
        <w:numPr>
          <w:ilvl w:val="1"/>
          <w:numId w:val="23"/>
        </w:numPr>
        <w:autoSpaceDE/>
        <w:autoSpaceDN/>
        <w:spacing w:before="100" w:beforeAutospacing="1" w:after="100" w:afterAutospacing="1"/>
      </w:pPr>
      <w:r>
        <w:t>Strategic Role: Supplies raw material for foundries and pipe manufacturing</w:t>
      </w:r>
    </w:p>
    <w:p w14:paraId="0A835E2D" w14:textId="77777777" w:rsidR="00E434E7" w:rsidRDefault="00E434E7" w:rsidP="00E434E7">
      <w:pPr>
        <w:pStyle w:val="NormalWeb"/>
        <w:numPr>
          <w:ilvl w:val="0"/>
          <w:numId w:val="23"/>
        </w:numPr>
      </w:pPr>
      <w:r>
        <w:rPr>
          <w:rStyle w:val="Strong"/>
        </w:rPr>
        <w:t>Tata Steel Downstream Products Ltd</w:t>
      </w:r>
    </w:p>
    <w:p w14:paraId="6CC08BFB" w14:textId="77777777" w:rsidR="00E434E7" w:rsidRDefault="00E434E7" w:rsidP="00E434E7">
      <w:pPr>
        <w:widowControl/>
        <w:numPr>
          <w:ilvl w:val="1"/>
          <w:numId w:val="23"/>
        </w:numPr>
        <w:autoSpaceDE/>
        <w:autoSpaceDN/>
        <w:spacing w:before="100" w:beforeAutospacing="1" w:after="100" w:afterAutospacing="1"/>
      </w:pPr>
      <w:r>
        <w:t>Focus: Steel processing, fabrication, and distribution</w:t>
      </w:r>
    </w:p>
    <w:p w14:paraId="31C71FC2" w14:textId="77777777" w:rsidR="00E434E7" w:rsidRDefault="00E434E7" w:rsidP="00E434E7">
      <w:pPr>
        <w:widowControl/>
        <w:numPr>
          <w:ilvl w:val="1"/>
          <w:numId w:val="23"/>
        </w:numPr>
        <w:autoSpaceDE/>
        <w:autoSpaceDN/>
        <w:spacing w:before="100" w:beforeAutospacing="1" w:after="100" w:afterAutospacing="1"/>
      </w:pPr>
      <w:r>
        <w:t>Ownership: 100%</w:t>
      </w:r>
    </w:p>
    <w:p w14:paraId="3F1A2DD1" w14:textId="77777777" w:rsidR="00E434E7" w:rsidRDefault="00E434E7" w:rsidP="00E434E7">
      <w:pPr>
        <w:widowControl/>
        <w:numPr>
          <w:ilvl w:val="1"/>
          <w:numId w:val="23"/>
        </w:numPr>
        <w:autoSpaceDE/>
        <w:autoSpaceDN/>
        <w:spacing w:before="100" w:beforeAutospacing="1" w:after="100" w:afterAutospacing="1"/>
      </w:pPr>
      <w:r>
        <w:t>Performance: Efficient and profitable; enables customization and faster delivery</w:t>
      </w:r>
    </w:p>
    <w:p w14:paraId="6A5C8AAF" w14:textId="77777777" w:rsidR="00E434E7" w:rsidRDefault="00E434E7" w:rsidP="00E434E7">
      <w:pPr>
        <w:widowControl/>
        <w:numPr>
          <w:ilvl w:val="1"/>
          <w:numId w:val="23"/>
        </w:numPr>
        <w:autoSpaceDE/>
        <w:autoSpaceDN/>
        <w:spacing w:before="100" w:beforeAutospacing="1" w:after="100" w:afterAutospacing="1"/>
      </w:pPr>
      <w:r>
        <w:t>Strategic Role: Enhances customer service and supply chain responsiveness</w:t>
      </w:r>
    </w:p>
    <w:p w14:paraId="7B413AA8" w14:textId="77777777" w:rsidR="00E434E7" w:rsidRDefault="00E434E7" w:rsidP="00E434E7">
      <w:pPr>
        <w:pStyle w:val="NormalWeb"/>
        <w:numPr>
          <w:ilvl w:val="0"/>
          <w:numId w:val="23"/>
        </w:numPr>
      </w:pPr>
      <w:proofErr w:type="spellStart"/>
      <w:r>
        <w:rPr>
          <w:rStyle w:val="Strong"/>
        </w:rPr>
        <w:t>Neelachal</w:t>
      </w:r>
      <w:proofErr w:type="spellEnd"/>
      <w:r>
        <w:rPr>
          <w:rStyle w:val="Strong"/>
        </w:rPr>
        <w:t xml:space="preserve"> </w:t>
      </w:r>
      <w:proofErr w:type="spellStart"/>
      <w:r>
        <w:rPr>
          <w:rStyle w:val="Strong"/>
        </w:rPr>
        <w:t>Ispat</w:t>
      </w:r>
      <w:proofErr w:type="spellEnd"/>
      <w:r>
        <w:rPr>
          <w:rStyle w:val="Strong"/>
        </w:rPr>
        <w:t xml:space="preserve"> Nigam Ltd</w:t>
      </w:r>
    </w:p>
    <w:p w14:paraId="10742C21" w14:textId="77777777" w:rsidR="00E434E7" w:rsidRDefault="00E434E7" w:rsidP="00E434E7">
      <w:pPr>
        <w:widowControl/>
        <w:numPr>
          <w:ilvl w:val="1"/>
          <w:numId w:val="23"/>
        </w:numPr>
        <w:autoSpaceDE/>
        <w:autoSpaceDN/>
        <w:spacing w:before="100" w:beforeAutospacing="1" w:after="100" w:afterAutospacing="1"/>
      </w:pPr>
      <w:r>
        <w:t>Focus: Integrated steel plant in Odisha</w:t>
      </w:r>
    </w:p>
    <w:p w14:paraId="53CDB372" w14:textId="77777777" w:rsidR="00E434E7" w:rsidRDefault="00E434E7" w:rsidP="00E434E7">
      <w:pPr>
        <w:widowControl/>
        <w:numPr>
          <w:ilvl w:val="1"/>
          <w:numId w:val="23"/>
        </w:numPr>
        <w:autoSpaceDE/>
        <w:autoSpaceDN/>
        <w:spacing w:before="100" w:beforeAutospacing="1" w:after="100" w:afterAutospacing="1"/>
      </w:pPr>
      <w:r>
        <w:t>Ownership: Acquired by Tata Steel Long Products</w:t>
      </w:r>
    </w:p>
    <w:p w14:paraId="156A04DE" w14:textId="77777777" w:rsidR="00E434E7" w:rsidRDefault="00E434E7" w:rsidP="00E434E7">
      <w:pPr>
        <w:widowControl/>
        <w:numPr>
          <w:ilvl w:val="1"/>
          <w:numId w:val="23"/>
        </w:numPr>
        <w:autoSpaceDE/>
        <w:autoSpaceDN/>
        <w:spacing w:before="100" w:beforeAutospacing="1" w:after="100" w:afterAutospacing="1"/>
      </w:pPr>
      <w:r>
        <w:t>Performance: Under turnaround strategy; expected to contribute significantly to domestic production</w:t>
      </w:r>
    </w:p>
    <w:p w14:paraId="5FF68B96" w14:textId="0F6F4ADE" w:rsidR="00E434E7" w:rsidRDefault="00E434E7" w:rsidP="00E434E7">
      <w:pPr>
        <w:widowControl/>
        <w:numPr>
          <w:ilvl w:val="1"/>
          <w:numId w:val="23"/>
        </w:numPr>
        <w:autoSpaceDE/>
        <w:autoSpaceDN/>
        <w:spacing w:before="100" w:beforeAutospacing="1" w:after="100" w:afterAutospacing="1"/>
      </w:pPr>
      <w:r>
        <w:t>Strategic Role: Expands Tata Steel’s footprint in eastern India and supports Make in India goals</w:t>
      </w:r>
    </w:p>
    <w:p w14:paraId="1055EA6A" w14:textId="77777777" w:rsidR="00E434E7" w:rsidRDefault="00E434E7" w:rsidP="00E434E7">
      <w:pPr>
        <w:pStyle w:val="Heading3"/>
      </w:pPr>
      <w:r>
        <w:rPr>
          <w:rFonts w:ascii="Segoe UI Symbol" w:hAnsi="Segoe UI Symbol" w:cs="Segoe UI Symbol"/>
        </w:rPr>
        <w:t>🌍</w:t>
      </w:r>
      <w:r>
        <w:t xml:space="preserve"> </w:t>
      </w:r>
      <w:r>
        <w:rPr>
          <w:rStyle w:val="Strong"/>
          <w:b w:val="0"/>
          <w:bCs w:val="0"/>
        </w:rPr>
        <w:t>International Subsidiaries</w:t>
      </w:r>
    </w:p>
    <w:p w14:paraId="4B0E8DB8" w14:textId="77777777" w:rsidR="00E434E7" w:rsidRDefault="00E434E7" w:rsidP="00E434E7">
      <w:pPr>
        <w:pStyle w:val="NormalWeb"/>
        <w:numPr>
          <w:ilvl w:val="0"/>
          <w:numId w:val="24"/>
        </w:numPr>
      </w:pPr>
      <w:r>
        <w:rPr>
          <w:rStyle w:val="Strong"/>
        </w:rPr>
        <w:t>Tata Steel Europe Ltd</w:t>
      </w:r>
    </w:p>
    <w:p w14:paraId="085FA1F1" w14:textId="77777777" w:rsidR="00E434E7" w:rsidRDefault="00E434E7" w:rsidP="00E434E7">
      <w:pPr>
        <w:widowControl/>
        <w:numPr>
          <w:ilvl w:val="1"/>
          <w:numId w:val="24"/>
        </w:numPr>
        <w:autoSpaceDE/>
        <w:autoSpaceDN/>
        <w:spacing w:before="100" w:beforeAutospacing="1" w:after="100" w:afterAutospacing="1"/>
      </w:pPr>
      <w:r>
        <w:t>Location: UK &amp; Netherlands</w:t>
      </w:r>
    </w:p>
    <w:p w14:paraId="57D442B6" w14:textId="77777777" w:rsidR="00E434E7" w:rsidRDefault="00E434E7" w:rsidP="00E434E7">
      <w:pPr>
        <w:widowControl/>
        <w:numPr>
          <w:ilvl w:val="1"/>
          <w:numId w:val="24"/>
        </w:numPr>
        <w:autoSpaceDE/>
        <w:autoSpaceDN/>
        <w:spacing w:before="100" w:beforeAutospacing="1" w:after="100" w:afterAutospacing="1"/>
      </w:pPr>
      <w:r>
        <w:t>Focus: High-quality steel for automotive, engineering, and construction sectors</w:t>
      </w:r>
    </w:p>
    <w:p w14:paraId="051027BF" w14:textId="77777777" w:rsidR="00E434E7" w:rsidRDefault="00E434E7" w:rsidP="00E434E7">
      <w:pPr>
        <w:widowControl/>
        <w:numPr>
          <w:ilvl w:val="1"/>
          <w:numId w:val="24"/>
        </w:numPr>
        <w:autoSpaceDE/>
        <w:autoSpaceDN/>
        <w:spacing w:before="100" w:beforeAutospacing="1" w:after="100" w:afterAutospacing="1"/>
      </w:pPr>
      <w:r>
        <w:t>Ownership: 100%</w:t>
      </w:r>
    </w:p>
    <w:p w14:paraId="57D185E1" w14:textId="77777777" w:rsidR="00E434E7" w:rsidRDefault="00E434E7" w:rsidP="00E434E7">
      <w:pPr>
        <w:widowControl/>
        <w:numPr>
          <w:ilvl w:val="1"/>
          <w:numId w:val="24"/>
        </w:numPr>
        <w:autoSpaceDE/>
        <w:autoSpaceDN/>
        <w:spacing w:before="100" w:beforeAutospacing="1" w:after="100" w:afterAutospacing="1"/>
      </w:pPr>
      <w:r>
        <w:t>Performance: Loss-making; impacted by high energy costs and regulatory pressures</w:t>
      </w:r>
    </w:p>
    <w:p w14:paraId="1C09EB1F" w14:textId="77777777" w:rsidR="00E434E7" w:rsidRDefault="00E434E7" w:rsidP="00E434E7">
      <w:pPr>
        <w:widowControl/>
        <w:numPr>
          <w:ilvl w:val="1"/>
          <w:numId w:val="24"/>
        </w:numPr>
        <w:autoSpaceDE/>
        <w:autoSpaceDN/>
        <w:spacing w:before="100" w:beforeAutospacing="1" w:after="100" w:afterAutospacing="1"/>
      </w:pPr>
      <w:r>
        <w:t>Strategic Role: Undergoing green transition with support from UK government (electric arc furnace investment)</w:t>
      </w:r>
    </w:p>
    <w:p w14:paraId="438DCAB2" w14:textId="77777777" w:rsidR="00E434E7" w:rsidRDefault="00E434E7" w:rsidP="00E434E7">
      <w:pPr>
        <w:pStyle w:val="NormalWeb"/>
        <w:numPr>
          <w:ilvl w:val="0"/>
          <w:numId w:val="24"/>
        </w:numPr>
      </w:pPr>
      <w:r>
        <w:rPr>
          <w:rStyle w:val="Strong"/>
        </w:rPr>
        <w:t>Tata Steel Thailand Ltd</w:t>
      </w:r>
    </w:p>
    <w:p w14:paraId="31A5DE9D" w14:textId="77777777" w:rsidR="00E434E7" w:rsidRDefault="00E434E7" w:rsidP="00E434E7">
      <w:pPr>
        <w:widowControl/>
        <w:numPr>
          <w:ilvl w:val="1"/>
          <w:numId w:val="24"/>
        </w:numPr>
        <w:autoSpaceDE/>
        <w:autoSpaceDN/>
        <w:spacing w:before="100" w:beforeAutospacing="1" w:after="100" w:afterAutospacing="1"/>
      </w:pPr>
      <w:r>
        <w:t>Location: Thailand</w:t>
      </w:r>
    </w:p>
    <w:p w14:paraId="4359FF9B" w14:textId="77777777" w:rsidR="00E434E7" w:rsidRDefault="00E434E7" w:rsidP="00E434E7">
      <w:pPr>
        <w:widowControl/>
        <w:numPr>
          <w:ilvl w:val="1"/>
          <w:numId w:val="24"/>
        </w:numPr>
        <w:autoSpaceDE/>
        <w:autoSpaceDN/>
        <w:spacing w:before="100" w:beforeAutospacing="1" w:after="100" w:afterAutospacing="1"/>
      </w:pPr>
      <w:r>
        <w:t>Focus: Long steel products for construction and industrial use</w:t>
      </w:r>
    </w:p>
    <w:p w14:paraId="6EAFBD97" w14:textId="77777777" w:rsidR="00E434E7" w:rsidRDefault="00E434E7" w:rsidP="00E434E7">
      <w:pPr>
        <w:widowControl/>
        <w:numPr>
          <w:ilvl w:val="1"/>
          <w:numId w:val="24"/>
        </w:numPr>
        <w:autoSpaceDE/>
        <w:autoSpaceDN/>
        <w:spacing w:before="100" w:beforeAutospacing="1" w:after="100" w:afterAutospacing="1"/>
      </w:pPr>
      <w:r>
        <w:t>Ownership: Majority stake</w:t>
      </w:r>
    </w:p>
    <w:p w14:paraId="6709335A" w14:textId="77777777" w:rsidR="00E434E7" w:rsidRDefault="00E434E7" w:rsidP="00E434E7">
      <w:pPr>
        <w:widowControl/>
        <w:numPr>
          <w:ilvl w:val="1"/>
          <w:numId w:val="24"/>
        </w:numPr>
        <w:autoSpaceDE/>
        <w:autoSpaceDN/>
        <w:spacing w:before="100" w:beforeAutospacing="1" w:after="100" w:afterAutospacing="1"/>
      </w:pPr>
      <w:r>
        <w:t>Performance: Profitable; strong regional demand and operational efficiency</w:t>
      </w:r>
    </w:p>
    <w:p w14:paraId="6703FA4E" w14:textId="77777777" w:rsidR="00E434E7" w:rsidRDefault="00E434E7" w:rsidP="00E434E7">
      <w:pPr>
        <w:widowControl/>
        <w:numPr>
          <w:ilvl w:val="1"/>
          <w:numId w:val="24"/>
        </w:numPr>
        <w:autoSpaceDE/>
        <w:autoSpaceDN/>
        <w:spacing w:before="100" w:beforeAutospacing="1" w:after="100" w:afterAutospacing="1"/>
      </w:pPr>
      <w:r>
        <w:t>Strategic Role: Expands Tata Steel’s presence in Southeast Asia</w:t>
      </w:r>
    </w:p>
    <w:p w14:paraId="1EA670C8" w14:textId="77777777" w:rsidR="00E434E7" w:rsidRDefault="00E434E7" w:rsidP="00E434E7">
      <w:pPr>
        <w:pStyle w:val="NormalWeb"/>
        <w:numPr>
          <w:ilvl w:val="0"/>
          <w:numId w:val="24"/>
        </w:numPr>
      </w:pPr>
      <w:r>
        <w:rPr>
          <w:rStyle w:val="Strong"/>
        </w:rPr>
        <w:t>Tata Steel Minerals Canada Ltd</w:t>
      </w:r>
    </w:p>
    <w:p w14:paraId="72417874" w14:textId="77777777" w:rsidR="00E434E7" w:rsidRDefault="00E434E7" w:rsidP="00E434E7">
      <w:pPr>
        <w:widowControl/>
        <w:numPr>
          <w:ilvl w:val="1"/>
          <w:numId w:val="24"/>
        </w:numPr>
        <w:autoSpaceDE/>
        <w:autoSpaceDN/>
        <w:spacing w:before="100" w:beforeAutospacing="1" w:after="100" w:afterAutospacing="1"/>
      </w:pPr>
      <w:r>
        <w:t>Location: Canada</w:t>
      </w:r>
    </w:p>
    <w:p w14:paraId="54B6E523" w14:textId="77777777" w:rsidR="00E434E7" w:rsidRDefault="00E434E7" w:rsidP="00E434E7">
      <w:pPr>
        <w:widowControl/>
        <w:numPr>
          <w:ilvl w:val="1"/>
          <w:numId w:val="24"/>
        </w:numPr>
        <w:autoSpaceDE/>
        <w:autoSpaceDN/>
        <w:spacing w:before="100" w:beforeAutospacing="1" w:after="100" w:afterAutospacing="1"/>
      </w:pPr>
      <w:r>
        <w:t>Focus: Iron ore mining and export</w:t>
      </w:r>
    </w:p>
    <w:p w14:paraId="0781583E" w14:textId="77777777" w:rsidR="00E434E7" w:rsidRDefault="00E434E7" w:rsidP="00E434E7">
      <w:pPr>
        <w:widowControl/>
        <w:numPr>
          <w:ilvl w:val="1"/>
          <w:numId w:val="24"/>
        </w:numPr>
        <w:autoSpaceDE/>
        <w:autoSpaceDN/>
        <w:spacing w:before="100" w:beforeAutospacing="1" w:after="100" w:afterAutospacing="1"/>
      </w:pPr>
      <w:r>
        <w:t>Ownership: Majority stake</w:t>
      </w:r>
    </w:p>
    <w:p w14:paraId="082304EA" w14:textId="77777777" w:rsidR="00E434E7" w:rsidRDefault="00E434E7" w:rsidP="00E434E7">
      <w:pPr>
        <w:widowControl/>
        <w:numPr>
          <w:ilvl w:val="1"/>
          <w:numId w:val="24"/>
        </w:numPr>
        <w:autoSpaceDE/>
        <w:autoSpaceDN/>
        <w:spacing w:before="100" w:beforeAutospacing="1" w:after="100" w:afterAutospacing="1"/>
      </w:pPr>
      <w:r>
        <w:t>Performance: Strategic raw material source; supports cost-effective sourcing</w:t>
      </w:r>
    </w:p>
    <w:p w14:paraId="428035F0" w14:textId="77777777" w:rsidR="00E434E7" w:rsidRDefault="00E434E7" w:rsidP="00E434E7">
      <w:pPr>
        <w:widowControl/>
        <w:numPr>
          <w:ilvl w:val="1"/>
          <w:numId w:val="24"/>
        </w:numPr>
        <w:autoSpaceDE/>
        <w:autoSpaceDN/>
        <w:spacing w:before="100" w:beforeAutospacing="1" w:after="100" w:afterAutospacing="1"/>
      </w:pPr>
      <w:r>
        <w:t>Strategic Role: Ensures raw material security for global operations</w:t>
      </w:r>
    </w:p>
    <w:p w14:paraId="4BA2031E" w14:textId="77777777" w:rsidR="00E434E7" w:rsidRDefault="00E434E7" w:rsidP="00E434E7">
      <w:pPr>
        <w:pStyle w:val="NormalWeb"/>
        <w:numPr>
          <w:ilvl w:val="0"/>
          <w:numId w:val="24"/>
        </w:numPr>
      </w:pPr>
      <w:r>
        <w:rPr>
          <w:rStyle w:val="Strong"/>
        </w:rPr>
        <w:t>Tata Steel IJmuiden BV</w:t>
      </w:r>
    </w:p>
    <w:p w14:paraId="215E61F4" w14:textId="77777777" w:rsidR="00E434E7" w:rsidRDefault="00E434E7" w:rsidP="00E434E7">
      <w:pPr>
        <w:widowControl/>
        <w:numPr>
          <w:ilvl w:val="1"/>
          <w:numId w:val="24"/>
        </w:numPr>
        <w:autoSpaceDE/>
        <w:autoSpaceDN/>
        <w:spacing w:before="100" w:beforeAutospacing="1" w:after="100" w:afterAutospacing="1"/>
      </w:pPr>
      <w:r>
        <w:t>Location: Netherlands</w:t>
      </w:r>
    </w:p>
    <w:p w14:paraId="3CE08F21" w14:textId="77777777" w:rsidR="00E434E7" w:rsidRDefault="00E434E7" w:rsidP="00E434E7">
      <w:pPr>
        <w:widowControl/>
        <w:numPr>
          <w:ilvl w:val="1"/>
          <w:numId w:val="24"/>
        </w:numPr>
        <w:autoSpaceDE/>
        <w:autoSpaceDN/>
        <w:spacing w:before="100" w:beforeAutospacing="1" w:after="100" w:afterAutospacing="1"/>
      </w:pPr>
      <w:r>
        <w:t>Focus: High-grade steel production</w:t>
      </w:r>
    </w:p>
    <w:p w14:paraId="0DDFB564" w14:textId="77777777" w:rsidR="00E434E7" w:rsidRDefault="00E434E7" w:rsidP="00E434E7">
      <w:pPr>
        <w:widowControl/>
        <w:numPr>
          <w:ilvl w:val="1"/>
          <w:numId w:val="24"/>
        </w:numPr>
        <w:autoSpaceDE/>
        <w:autoSpaceDN/>
        <w:spacing w:before="100" w:beforeAutospacing="1" w:after="100" w:afterAutospacing="1"/>
      </w:pPr>
      <w:r>
        <w:t>Ownership: 100%</w:t>
      </w:r>
    </w:p>
    <w:p w14:paraId="5A3E6CFB" w14:textId="77777777" w:rsidR="00E434E7" w:rsidRDefault="00E434E7" w:rsidP="00E434E7">
      <w:pPr>
        <w:widowControl/>
        <w:numPr>
          <w:ilvl w:val="1"/>
          <w:numId w:val="24"/>
        </w:numPr>
        <w:autoSpaceDE/>
        <w:autoSpaceDN/>
        <w:spacing w:before="100" w:beforeAutospacing="1" w:after="100" w:afterAutospacing="1"/>
      </w:pPr>
      <w:r>
        <w:t>Performance: Facing environmental compliance costs; part of sustainability roadmap</w:t>
      </w:r>
    </w:p>
    <w:p w14:paraId="27E7C71B" w14:textId="77777777" w:rsidR="00E434E7" w:rsidRDefault="00E434E7" w:rsidP="00E434E7">
      <w:pPr>
        <w:widowControl/>
        <w:numPr>
          <w:ilvl w:val="1"/>
          <w:numId w:val="24"/>
        </w:numPr>
        <w:autoSpaceDE/>
        <w:autoSpaceDN/>
        <w:spacing w:before="100" w:beforeAutospacing="1" w:after="100" w:afterAutospacing="1"/>
      </w:pPr>
      <w:r>
        <w:t>Strategic Role: Key to European operations and green steel initiatives</w:t>
      </w:r>
    </w:p>
    <w:p w14:paraId="01CE1C32" w14:textId="77777777" w:rsidR="00E434E7" w:rsidRDefault="00000000" w:rsidP="00E434E7">
      <w:r>
        <w:pict w14:anchorId="4AD838F2">
          <v:rect id="_x0000_i1047" style="width:0;height:1.5pt" o:hralign="center" o:hrstd="t" o:hr="t" fillcolor="#a0a0a0" stroked="f"/>
        </w:pict>
      </w:r>
    </w:p>
    <w:p w14:paraId="5B1C6548" w14:textId="77777777" w:rsidR="00E434E7" w:rsidRDefault="00E434E7" w:rsidP="00E434E7">
      <w:pPr>
        <w:pStyle w:val="Heading3"/>
      </w:pPr>
      <w:r>
        <w:rPr>
          <w:rFonts w:ascii="Segoe UI Symbol" w:hAnsi="Segoe UI Symbol" w:cs="Segoe UI Symbol"/>
        </w:rPr>
        <w:t>💰</w:t>
      </w:r>
      <w:r>
        <w:t xml:space="preserve"> </w:t>
      </w:r>
      <w:r>
        <w:rPr>
          <w:rStyle w:val="Strong"/>
          <w:b w:val="0"/>
          <w:bCs w:val="0"/>
        </w:rPr>
        <w:t>Profitability &amp; Control</w:t>
      </w:r>
    </w:p>
    <w:p w14:paraId="6B66610F" w14:textId="77777777" w:rsidR="00E434E7" w:rsidRDefault="00E434E7" w:rsidP="00E434E7">
      <w:pPr>
        <w:widowControl/>
        <w:numPr>
          <w:ilvl w:val="0"/>
          <w:numId w:val="25"/>
        </w:numPr>
        <w:autoSpaceDE/>
        <w:autoSpaceDN/>
        <w:spacing w:before="100" w:beforeAutospacing="1" w:after="100" w:afterAutospacing="1"/>
      </w:pPr>
      <w:r>
        <w:t xml:space="preserve">Tata Steel maintains </w:t>
      </w:r>
      <w:r>
        <w:rPr>
          <w:rStyle w:val="Strong"/>
        </w:rPr>
        <w:t>majority or full ownership</w:t>
      </w:r>
      <w:r>
        <w:t xml:space="preserve"> in nearly all subsidiaries, ensuring </w:t>
      </w:r>
      <w:r>
        <w:rPr>
          <w:rStyle w:val="Strong"/>
        </w:rPr>
        <w:t>strategic control and operational alignment</w:t>
      </w:r>
      <w:r>
        <w:t>.</w:t>
      </w:r>
    </w:p>
    <w:p w14:paraId="51A66E7D" w14:textId="77777777" w:rsidR="00E434E7" w:rsidRDefault="00E434E7" w:rsidP="00E434E7">
      <w:pPr>
        <w:widowControl/>
        <w:numPr>
          <w:ilvl w:val="0"/>
          <w:numId w:val="25"/>
        </w:numPr>
        <w:autoSpaceDE/>
        <w:autoSpaceDN/>
        <w:spacing w:before="100" w:beforeAutospacing="1" w:after="100" w:afterAutospacing="1"/>
      </w:pPr>
      <w:r>
        <w:rPr>
          <w:rStyle w:val="Strong"/>
        </w:rPr>
        <w:t>Domestic subsidiaries</w:t>
      </w:r>
      <w:r>
        <w:t xml:space="preserve"> have shown </w:t>
      </w:r>
      <w:r>
        <w:rPr>
          <w:rStyle w:val="Strong"/>
        </w:rPr>
        <w:t>consistent profitability</w:t>
      </w:r>
      <w:r>
        <w:t>, contributing positively to EBITDA and supporting Tata Steel’s growth strategy.</w:t>
      </w:r>
    </w:p>
    <w:p w14:paraId="78E99CEE" w14:textId="77777777" w:rsidR="00E434E7" w:rsidRDefault="00E434E7" w:rsidP="00E434E7">
      <w:pPr>
        <w:widowControl/>
        <w:numPr>
          <w:ilvl w:val="0"/>
          <w:numId w:val="25"/>
        </w:numPr>
        <w:autoSpaceDE/>
        <w:autoSpaceDN/>
        <w:spacing w:before="100" w:beforeAutospacing="1" w:after="100" w:afterAutospacing="1"/>
      </w:pPr>
      <w:r>
        <w:rPr>
          <w:rStyle w:val="Strong"/>
        </w:rPr>
        <w:t>International subsidiaries</w:t>
      </w:r>
      <w:r>
        <w:t xml:space="preserve">, particularly in Europe, have faced </w:t>
      </w:r>
      <w:r>
        <w:rPr>
          <w:rStyle w:val="Strong"/>
        </w:rPr>
        <w:t>profitability challenges</w:t>
      </w:r>
      <w:r>
        <w:t xml:space="preserve"> due to macroeconomic pressures, energy costs, and environmental regulations.</w:t>
      </w:r>
    </w:p>
    <w:p w14:paraId="35364967" w14:textId="77777777" w:rsidR="00E434E7" w:rsidRDefault="00E434E7" w:rsidP="00E434E7">
      <w:pPr>
        <w:widowControl/>
        <w:numPr>
          <w:ilvl w:val="0"/>
          <w:numId w:val="25"/>
        </w:numPr>
        <w:autoSpaceDE/>
        <w:autoSpaceDN/>
        <w:spacing w:before="100" w:beforeAutospacing="1" w:after="100" w:afterAutospacing="1"/>
      </w:pPr>
      <w:r>
        <w:t xml:space="preserve">The company is actively restructuring its European operations and investing in </w:t>
      </w:r>
      <w:r>
        <w:rPr>
          <w:rStyle w:val="Strong"/>
        </w:rPr>
        <w:t>green technologies</w:t>
      </w:r>
      <w:r>
        <w:t xml:space="preserve"> to improve long-term sustainability and profitability.</w:t>
      </w:r>
    </w:p>
    <w:p w14:paraId="7EAAC077" w14:textId="77777777" w:rsidR="00E434E7" w:rsidRDefault="00000000" w:rsidP="00E434E7">
      <w:r>
        <w:pict w14:anchorId="640D83B0">
          <v:rect id="_x0000_i1048" style="width:0;height:1.5pt" o:hralign="center" o:hrstd="t" o:hr="t" fillcolor="#a0a0a0" stroked="f"/>
        </w:pict>
      </w:r>
    </w:p>
    <w:p w14:paraId="77A6A371" w14:textId="77777777" w:rsidR="00E434E7" w:rsidRPr="0010007F" w:rsidRDefault="00E434E7" w:rsidP="00E434E7">
      <w:pPr>
        <w:widowControl/>
        <w:numPr>
          <w:ilvl w:val="0"/>
          <w:numId w:val="21"/>
        </w:numPr>
        <w:autoSpaceDE/>
        <w:autoSpaceDN/>
        <w:spacing w:after="103" w:line="259" w:lineRule="auto"/>
        <w:ind w:hanging="360"/>
        <w:rPr>
          <w:rStyle w:val="SubtleEmphasis"/>
        </w:rPr>
      </w:pPr>
      <w:r w:rsidRPr="0010007F">
        <w:rPr>
          <w:rStyle w:val="SubtleEmphasis"/>
        </w:rPr>
        <w:t xml:space="preserve">Impact of Subsidiaries:  </w:t>
      </w:r>
    </w:p>
    <w:p w14:paraId="4ED91CF6" w14:textId="77777777" w:rsidR="00E434E7" w:rsidRPr="0010007F" w:rsidRDefault="00E434E7" w:rsidP="00E434E7">
      <w:pPr>
        <w:rPr>
          <w:rStyle w:val="SubtleEmphasis"/>
        </w:rPr>
      </w:pPr>
      <w:proofErr w:type="spellStart"/>
      <w:r w:rsidRPr="0010007F">
        <w:rPr>
          <w:rStyle w:val="SubtleEmphasis"/>
        </w:rPr>
        <w:lastRenderedPageBreak/>
        <w:t>Analyze</w:t>
      </w:r>
      <w:proofErr w:type="spellEnd"/>
      <w:r w:rsidRPr="0010007F">
        <w:rPr>
          <w:rStyle w:val="SubtleEmphasis"/>
        </w:rPr>
        <w:t xml:space="preserve"> the impact (positive or negative) of subsidiaries on the parent company's financial performance. Review the Consolidated Balance Sheet, comment on Profits and Reserves under Other Equity and NCI. If the company does not have any subsidiary, but is being controlled by a parent company, then this point can be ignored. </w:t>
      </w:r>
    </w:p>
    <w:p w14:paraId="7A38ED65" w14:textId="77777777" w:rsidR="00E434E7" w:rsidRDefault="00E434E7" w:rsidP="00E434E7">
      <w:pPr>
        <w:pStyle w:val="NormalWeb"/>
      </w:pPr>
      <w:r>
        <w:t xml:space="preserve">Here’s a structured and detailed response for </w:t>
      </w:r>
      <w:r>
        <w:rPr>
          <w:rStyle w:val="Strong"/>
        </w:rPr>
        <w:t>B. Impact of Subsidiaries – Tata Steel Ltd</w:t>
      </w:r>
      <w:r>
        <w:t>, based on the latest consolidated financials and disclosures:</w:t>
      </w:r>
    </w:p>
    <w:p w14:paraId="74F82856" w14:textId="77777777" w:rsidR="00E434E7" w:rsidRDefault="00000000" w:rsidP="00E434E7">
      <w:r>
        <w:pict w14:anchorId="7581E6BA">
          <v:rect id="_x0000_i1049" style="width:0;height:1.5pt" o:hralign="center" o:hrstd="t" o:hr="t" fillcolor="#a0a0a0" stroked="f"/>
        </w:pict>
      </w:r>
    </w:p>
    <w:p w14:paraId="6F3053C4" w14:textId="77777777" w:rsidR="00E434E7" w:rsidRDefault="00E434E7" w:rsidP="00E434E7">
      <w:pPr>
        <w:pStyle w:val="Heading2"/>
      </w:pPr>
      <w:r>
        <w:rPr>
          <w:rFonts w:ascii="Segoe UI Symbol" w:hAnsi="Segoe UI Symbol" w:cs="Segoe UI Symbol"/>
        </w:rPr>
        <w:t>📘</w:t>
      </w:r>
      <w:r>
        <w:t xml:space="preserve"> </w:t>
      </w:r>
      <w:r>
        <w:rPr>
          <w:rStyle w:val="Strong"/>
          <w:b w:val="0"/>
          <w:bCs w:val="0"/>
        </w:rPr>
        <w:t>B. Impact of Subsidiaries – Tata Steel Ltd (FY 2022–23 to FY 2024–25)</w:t>
      </w:r>
    </w:p>
    <w:p w14:paraId="1EC2E040" w14:textId="25A4ABFE" w:rsidR="00D0160C" w:rsidRPr="00C26436" w:rsidRDefault="00000000" w:rsidP="00C26436">
      <w:r>
        <w:pict w14:anchorId="137D6E13">
          <v:rect id="_x0000_i1050" style="width:0;height:1.5pt" o:hralign="center" o:hrstd="t" o:hr="t" fillcolor="#a0a0a0" stroked="f"/>
        </w:pict>
      </w:r>
      <w:r w:rsidR="00D0160C" w:rsidRPr="00D0160C">
        <w:rPr>
          <w:rFonts w:ascii="Segoe UI Symbol" w:hAnsi="Segoe UI Symbol" w:cs="Segoe UI Symbol"/>
          <w:noProof/>
        </w:rPr>
        <w:drawing>
          <wp:inline distT="0" distB="0" distL="0" distR="0" wp14:anchorId="72A2E8C8" wp14:editId="694FB4CE">
            <wp:extent cx="6499860" cy="1767840"/>
            <wp:effectExtent l="0" t="0" r="0" b="3810"/>
            <wp:docPr id="1876448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448333" name=""/>
                    <pic:cNvPicPr/>
                  </pic:nvPicPr>
                  <pic:blipFill>
                    <a:blip r:embed="rId39"/>
                    <a:stretch>
                      <a:fillRect/>
                    </a:stretch>
                  </pic:blipFill>
                  <pic:spPr>
                    <a:xfrm>
                      <a:off x="0" y="0"/>
                      <a:ext cx="6499860" cy="1767840"/>
                    </a:xfrm>
                    <a:prstGeom prst="rect">
                      <a:avLst/>
                    </a:prstGeom>
                  </pic:spPr>
                </pic:pic>
              </a:graphicData>
            </a:graphic>
          </wp:inline>
        </w:drawing>
      </w:r>
      <w:r w:rsidR="00FF6B44" w:rsidRPr="00FF6B44">
        <w:rPr>
          <w:rFonts w:ascii="Segoe UI Symbol" w:hAnsi="Segoe UI Symbol" w:cs="Segoe UI Symbol"/>
          <w:noProof/>
        </w:rPr>
        <w:drawing>
          <wp:inline distT="0" distB="0" distL="0" distR="0" wp14:anchorId="6B5DA0F4" wp14:editId="10476A55">
            <wp:extent cx="6515100" cy="1096010"/>
            <wp:effectExtent l="0" t="0" r="0" b="8890"/>
            <wp:docPr id="1396239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239423" name=""/>
                    <pic:cNvPicPr/>
                  </pic:nvPicPr>
                  <pic:blipFill>
                    <a:blip r:embed="rId40"/>
                    <a:stretch>
                      <a:fillRect/>
                    </a:stretch>
                  </pic:blipFill>
                  <pic:spPr>
                    <a:xfrm>
                      <a:off x="0" y="0"/>
                      <a:ext cx="6515100" cy="1096010"/>
                    </a:xfrm>
                    <a:prstGeom prst="rect">
                      <a:avLst/>
                    </a:prstGeom>
                  </pic:spPr>
                </pic:pic>
              </a:graphicData>
            </a:graphic>
          </wp:inline>
        </w:drawing>
      </w:r>
      <w:r w:rsidR="00EF4AC8" w:rsidRPr="00EF4AC8">
        <w:rPr>
          <w:rFonts w:ascii="Segoe UI Symbol" w:hAnsi="Segoe UI Symbol" w:cs="Segoe UI Symbol"/>
          <w:noProof/>
        </w:rPr>
        <w:drawing>
          <wp:inline distT="0" distB="0" distL="0" distR="0" wp14:anchorId="5062126B" wp14:editId="6DCCF298">
            <wp:extent cx="6621780" cy="3352800"/>
            <wp:effectExtent l="0" t="0" r="7620" b="0"/>
            <wp:docPr id="2013539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539175" name=""/>
                    <pic:cNvPicPr/>
                  </pic:nvPicPr>
                  <pic:blipFill>
                    <a:blip r:embed="rId41"/>
                    <a:stretch>
                      <a:fillRect/>
                    </a:stretch>
                  </pic:blipFill>
                  <pic:spPr>
                    <a:xfrm>
                      <a:off x="0" y="0"/>
                      <a:ext cx="6621780" cy="3352800"/>
                    </a:xfrm>
                    <a:prstGeom prst="rect">
                      <a:avLst/>
                    </a:prstGeom>
                  </pic:spPr>
                </pic:pic>
              </a:graphicData>
            </a:graphic>
          </wp:inline>
        </w:drawing>
      </w:r>
      <w:r w:rsidR="00C26436" w:rsidRPr="00BF34B1">
        <w:rPr>
          <w:rFonts w:ascii="Segoe UI Symbol" w:hAnsi="Segoe UI Symbol" w:cs="Segoe UI Symbol"/>
          <w:noProof/>
        </w:rPr>
        <w:lastRenderedPageBreak/>
        <w:drawing>
          <wp:anchor distT="0" distB="0" distL="114300" distR="114300" simplePos="0" relativeHeight="251658240" behindDoc="0" locked="0" layoutInCell="1" allowOverlap="1" wp14:anchorId="46049A21" wp14:editId="3DB33361">
            <wp:simplePos x="0" y="0"/>
            <wp:positionH relativeFrom="column">
              <wp:posOffset>3311525</wp:posOffset>
            </wp:positionH>
            <wp:positionV relativeFrom="paragraph">
              <wp:posOffset>1056640</wp:posOffset>
            </wp:positionV>
            <wp:extent cx="2903220" cy="3014345"/>
            <wp:effectExtent l="0" t="0" r="0" b="0"/>
            <wp:wrapNone/>
            <wp:docPr id="241122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122892" name=""/>
                    <pic:cNvPicPr/>
                  </pic:nvPicPr>
                  <pic:blipFill>
                    <a:blip r:embed="rId42">
                      <a:extLst>
                        <a:ext uri="{28A0092B-C50C-407E-A947-70E740481C1C}">
                          <a14:useLocalDpi xmlns:a14="http://schemas.microsoft.com/office/drawing/2010/main" val="0"/>
                        </a:ext>
                      </a:extLst>
                    </a:blip>
                    <a:stretch>
                      <a:fillRect/>
                    </a:stretch>
                  </pic:blipFill>
                  <pic:spPr>
                    <a:xfrm>
                      <a:off x="0" y="0"/>
                      <a:ext cx="2903220" cy="3014345"/>
                    </a:xfrm>
                    <a:prstGeom prst="rect">
                      <a:avLst/>
                    </a:prstGeom>
                  </pic:spPr>
                </pic:pic>
              </a:graphicData>
            </a:graphic>
            <wp14:sizeRelH relativeFrom="margin">
              <wp14:pctWidth>0</wp14:pctWidth>
            </wp14:sizeRelH>
            <wp14:sizeRelV relativeFrom="margin">
              <wp14:pctHeight>0</wp14:pctHeight>
            </wp14:sizeRelV>
          </wp:anchor>
        </w:drawing>
      </w:r>
      <w:r w:rsidR="00406D20" w:rsidRPr="00406D20">
        <w:rPr>
          <w:rFonts w:ascii="Segoe UI Symbol" w:hAnsi="Segoe UI Symbol" w:cs="Segoe UI Symbol"/>
          <w:noProof/>
        </w:rPr>
        <w:drawing>
          <wp:inline distT="0" distB="0" distL="0" distR="0" wp14:anchorId="5E9EE3CB" wp14:editId="62756AEC">
            <wp:extent cx="3235431" cy="5113020"/>
            <wp:effectExtent l="0" t="0" r="3175" b="0"/>
            <wp:docPr id="21529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29712" name=""/>
                    <pic:cNvPicPr/>
                  </pic:nvPicPr>
                  <pic:blipFill>
                    <a:blip r:embed="rId43"/>
                    <a:stretch>
                      <a:fillRect/>
                    </a:stretch>
                  </pic:blipFill>
                  <pic:spPr>
                    <a:xfrm>
                      <a:off x="0" y="0"/>
                      <a:ext cx="3235431" cy="5113020"/>
                    </a:xfrm>
                    <a:prstGeom prst="rect">
                      <a:avLst/>
                    </a:prstGeom>
                  </pic:spPr>
                </pic:pic>
              </a:graphicData>
            </a:graphic>
          </wp:inline>
        </w:drawing>
      </w:r>
      <w:r w:rsidR="00116A27" w:rsidRPr="00116A27">
        <w:rPr>
          <w:rFonts w:ascii="Segoe UI Symbol" w:hAnsi="Segoe UI Symbol" w:cs="Segoe UI Symbol"/>
          <w:noProof/>
        </w:rPr>
        <w:drawing>
          <wp:inline distT="0" distB="0" distL="0" distR="0" wp14:anchorId="6CAB808A" wp14:editId="7FBC9747">
            <wp:extent cx="5763895" cy="1088390"/>
            <wp:effectExtent l="0" t="0" r="8255" b="0"/>
            <wp:docPr id="126620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20044" name=""/>
                    <pic:cNvPicPr/>
                  </pic:nvPicPr>
                  <pic:blipFill>
                    <a:blip r:embed="rId44"/>
                    <a:stretch>
                      <a:fillRect/>
                    </a:stretch>
                  </pic:blipFill>
                  <pic:spPr>
                    <a:xfrm>
                      <a:off x="0" y="0"/>
                      <a:ext cx="5763895" cy="1088390"/>
                    </a:xfrm>
                    <a:prstGeom prst="rect">
                      <a:avLst/>
                    </a:prstGeom>
                  </pic:spPr>
                </pic:pic>
              </a:graphicData>
            </a:graphic>
          </wp:inline>
        </w:drawing>
      </w:r>
      <w:r w:rsidR="00E56DEC" w:rsidRPr="00E56DEC">
        <w:rPr>
          <w:rFonts w:ascii="Segoe UI Symbol" w:hAnsi="Segoe UI Symbol" w:cs="Segoe UI Symbol"/>
          <w:noProof/>
        </w:rPr>
        <w:drawing>
          <wp:inline distT="0" distB="0" distL="0" distR="0" wp14:anchorId="061C3A7A" wp14:editId="5CAA1935">
            <wp:extent cx="5763895" cy="1919605"/>
            <wp:effectExtent l="0" t="0" r="8255" b="4445"/>
            <wp:docPr id="2083733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733997" name=""/>
                    <pic:cNvPicPr/>
                  </pic:nvPicPr>
                  <pic:blipFill>
                    <a:blip r:embed="rId45"/>
                    <a:stretch>
                      <a:fillRect/>
                    </a:stretch>
                  </pic:blipFill>
                  <pic:spPr>
                    <a:xfrm>
                      <a:off x="0" y="0"/>
                      <a:ext cx="5763895" cy="1919605"/>
                    </a:xfrm>
                    <a:prstGeom prst="rect">
                      <a:avLst/>
                    </a:prstGeom>
                  </pic:spPr>
                </pic:pic>
              </a:graphicData>
            </a:graphic>
          </wp:inline>
        </w:drawing>
      </w:r>
      <w:r w:rsidR="009B6EE2" w:rsidRPr="009B6EE2">
        <w:rPr>
          <w:rFonts w:ascii="Segoe UI Symbol" w:hAnsi="Segoe UI Symbol" w:cs="Segoe UI Symbol"/>
          <w:noProof/>
        </w:rPr>
        <w:drawing>
          <wp:inline distT="0" distB="0" distL="0" distR="0" wp14:anchorId="3E72999B" wp14:editId="57113598">
            <wp:extent cx="5763895" cy="932180"/>
            <wp:effectExtent l="0" t="0" r="8255" b="1270"/>
            <wp:docPr id="237534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534541" name=""/>
                    <pic:cNvPicPr/>
                  </pic:nvPicPr>
                  <pic:blipFill>
                    <a:blip r:embed="rId46"/>
                    <a:stretch>
                      <a:fillRect/>
                    </a:stretch>
                  </pic:blipFill>
                  <pic:spPr>
                    <a:xfrm>
                      <a:off x="0" y="0"/>
                      <a:ext cx="5763895" cy="932180"/>
                    </a:xfrm>
                    <a:prstGeom prst="rect">
                      <a:avLst/>
                    </a:prstGeom>
                  </pic:spPr>
                </pic:pic>
              </a:graphicData>
            </a:graphic>
          </wp:inline>
        </w:drawing>
      </w:r>
    </w:p>
    <w:p w14:paraId="27523DE1" w14:textId="31AF1B6E" w:rsidR="00E434E7" w:rsidRDefault="00E434E7" w:rsidP="00E434E7">
      <w:pPr>
        <w:pStyle w:val="Heading3"/>
      </w:pPr>
      <w:r>
        <w:rPr>
          <w:rFonts w:ascii="Segoe UI Symbol" w:hAnsi="Segoe UI Symbol" w:cs="Segoe UI Symbol"/>
        </w:rPr>
        <w:lastRenderedPageBreak/>
        <w:t>🔍</w:t>
      </w:r>
      <w:r>
        <w:t xml:space="preserve"> </w:t>
      </w:r>
      <w:r>
        <w:rPr>
          <w:rStyle w:val="Strong"/>
          <w:b w:val="0"/>
          <w:bCs w:val="0"/>
        </w:rPr>
        <w:t>Overall Impact on Financial Performance</w:t>
      </w:r>
    </w:p>
    <w:p w14:paraId="191CAE84" w14:textId="267DA986" w:rsidR="00E434E7" w:rsidRDefault="00E434E7" w:rsidP="00E434E7">
      <w:pPr>
        <w:widowControl/>
        <w:numPr>
          <w:ilvl w:val="0"/>
          <w:numId w:val="26"/>
        </w:numPr>
        <w:autoSpaceDE/>
        <w:autoSpaceDN/>
        <w:spacing w:before="100" w:beforeAutospacing="1" w:after="100" w:afterAutospacing="1"/>
      </w:pPr>
      <w:r>
        <w:t xml:space="preserve">Tata Steel’s subsidiaries have had a </w:t>
      </w:r>
      <w:r>
        <w:rPr>
          <w:rStyle w:val="Strong"/>
        </w:rPr>
        <w:t>mixed impact</w:t>
      </w:r>
      <w:r>
        <w:t xml:space="preserve"> on the parent company’s consolidated performance: </w:t>
      </w:r>
    </w:p>
    <w:p w14:paraId="7C5FC641" w14:textId="33FE90F2" w:rsidR="00E434E7" w:rsidRDefault="00E434E7" w:rsidP="00E434E7">
      <w:pPr>
        <w:widowControl/>
        <w:numPr>
          <w:ilvl w:val="1"/>
          <w:numId w:val="26"/>
        </w:numPr>
        <w:autoSpaceDE/>
        <w:autoSpaceDN/>
        <w:spacing w:before="100" w:beforeAutospacing="1" w:after="100" w:afterAutospacing="1"/>
      </w:pPr>
      <w:r>
        <w:rPr>
          <w:rStyle w:val="Strong"/>
        </w:rPr>
        <w:t>Domestic subsidiaries</w:t>
      </w:r>
      <w:r>
        <w:t xml:space="preserve"> (e.g., Tata Steel Long Products, Tata </w:t>
      </w:r>
      <w:proofErr w:type="spellStart"/>
      <w:r>
        <w:t>Metaliks</w:t>
      </w:r>
      <w:proofErr w:type="spellEnd"/>
      <w:r>
        <w:t>, Downstream Products) contributed positively through stable operations and profitability.</w:t>
      </w:r>
    </w:p>
    <w:p w14:paraId="0145B6AF" w14:textId="18AE13C2" w:rsidR="00E434E7" w:rsidRDefault="00E434E7" w:rsidP="00E434E7">
      <w:pPr>
        <w:widowControl/>
        <w:numPr>
          <w:ilvl w:val="1"/>
          <w:numId w:val="26"/>
        </w:numPr>
        <w:autoSpaceDE/>
        <w:autoSpaceDN/>
        <w:spacing w:before="100" w:beforeAutospacing="1" w:after="100" w:afterAutospacing="1"/>
      </w:pPr>
      <w:r>
        <w:rPr>
          <w:rStyle w:val="Strong"/>
        </w:rPr>
        <w:t>International subsidiaries</w:t>
      </w:r>
      <w:r>
        <w:t xml:space="preserve">, especially </w:t>
      </w:r>
      <w:r>
        <w:rPr>
          <w:rStyle w:val="Strong"/>
        </w:rPr>
        <w:t>Tata Steel Europe</w:t>
      </w:r>
      <w:r>
        <w:t>, have been a drag on consolidated profits due to operating losses, high energy costs, and restructuring expenses.</w:t>
      </w:r>
    </w:p>
    <w:p w14:paraId="6A7E0FD8" w14:textId="77777777" w:rsidR="00E434E7" w:rsidRDefault="00000000" w:rsidP="00E434E7">
      <w:r>
        <w:pict w14:anchorId="4DF49629">
          <v:rect id="_x0000_i1051" style="width:0;height:1.5pt" o:hralign="center" o:hrstd="t" o:hr="t" fillcolor="#a0a0a0" stroked="f"/>
        </w:pict>
      </w:r>
    </w:p>
    <w:p w14:paraId="0132BB1F" w14:textId="77777777" w:rsidR="00E434E7" w:rsidRDefault="00E434E7" w:rsidP="00E434E7">
      <w:pPr>
        <w:pStyle w:val="Heading3"/>
      </w:pPr>
      <w:r>
        <w:rPr>
          <w:rFonts w:ascii="Segoe UI Symbol" w:hAnsi="Segoe UI Symbol" w:cs="Segoe UI Symbol"/>
        </w:rPr>
        <w:t>📊</w:t>
      </w:r>
      <w:r>
        <w:t xml:space="preserve"> </w:t>
      </w:r>
      <w:r>
        <w:rPr>
          <w:rStyle w:val="Strong"/>
          <w:b w:val="0"/>
          <w:bCs w:val="0"/>
        </w:rPr>
        <w:t>Review of Consolidated Balance Sheet</w:t>
      </w:r>
    </w:p>
    <w:p w14:paraId="1241578D" w14:textId="77777777" w:rsidR="00E434E7" w:rsidRDefault="00E434E7" w:rsidP="00E434E7">
      <w:pPr>
        <w:pStyle w:val="Heading4"/>
      </w:pPr>
      <w:r>
        <w:rPr>
          <w:rFonts w:ascii="Segoe UI Symbol" w:hAnsi="Segoe UI Symbol" w:cs="Segoe UI Symbol"/>
        </w:rPr>
        <w:t>✅</w:t>
      </w:r>
      <w:r>
        <w:t xml:space="preserve"> </w:t>
      </w:r>
      <w:r>
        <w:rPr>
          <w:rStyle w:val="Strong"/>
          <w:b w:val="0"/>
          <w:bCs w:val="0"/>
        </w:rPr>
        <w:t>Profits and Reserves under Other Equity</w:t>
      </w:r>
    </w:p>
    <w:p w14:paraId="6FC8740B" w14:textId="77777777" w:rsidR="00E434E7" w:rsidRDefault="00E434E7" w:rsidP="00E434E7">
      <w:pPr>
        <w:widowControl/>
        <w:numPr>
          <w:ilvl w:val="0"/>
          <w:numId w:val="27"/>
        </w:numPr>
        <w:autoSpaceDE/>
        <w:autoSpaceDN/>
        <w:spacing w:before="100" w:beforeAutospacing="1" w:after="100" w:afterAutospacing="1"/>
      </w:pPr>
      <w:r>
        <w:rPr>
          <w:rStyle w:val="Strong"/>
        </w:rPr>
        <w:t>Other Equity</w:t>
      </w:r>
      <w:r>
        <w:t xml:space="preserve"> includes: </w:t>
      </w:r>
    </w:p>
    <w:p w14:paraId="7818BBB2" w14:textId="77777777" w:rsidR="00E434E7" w:rsidRDefault="00E434E7" w:rsidP="00E434E7">
      <w:pPr>
        <w:widowControl/>
        <w:numPr>
          <w:ilvl w:val="1"/>
          <w:numId w:val="27"/>
        </w:numPr>
        <w:autoSpaceDE/>
        <w:autoSpaceDN/>
        <w:spacing w:before="100" w:beforeAutospacing="1" w:after="100" w:afterAutospacing="1"/>
      </w:pPr>
      <w:r>
        <w:rPr>
          <w:rStyle w:val="Strong"/>
        </w:rPr>
        <w:t>Retained Earnings</w:t>
      </w:r>
      <w:r>
        <w:t>: Accumulated profits after dividends.</w:t>
      </w:r>
    </w:p>
    <w:p w14:paraId="67E5A142" w14:textId="77777777" w:rsidR="00E434E7" w:rsidRDefault="00E434E7" w:rsidP="00E434E7">
      <w:pPr>
        <w:widowControl/>
        <w:numPr>
          <w:ilvl w:val="1"/>
          <w:numId w:val="27"/>
        </w:numPr>
        <w:autoSpaceDE/>
        <w:autoSpaceDN/>
        <w:spacing w:before="100" w:beforeAutospacing="1" w:after="100" w:afterAutospacing="1"/>
      </w:pPr>
      <w:r>
        <w:rPr>
          <w:rStyle w:val="Strong"/>
        </w:rPr>
        <w:t>Other Comprehensive Income (OCI)</w:t>
      </w:r>
      <w:r>
        <w:t>: Includes pension remeasurements, foreign currency translation, and hedging reserves.</w:t>
      </w:r>
    </w:p>
    <w:p w14:paraId="6F685C15" w14:textId="77777777" w:rsidR="00E434E7" w:rsidRDefault="00E434E7" w:rsidP="00E434E7">
      <w:pPr>
        <w:widowControl/>
        <w:numPr>
          <w:ilvl w:val="1"/>
          <w:numId w:val="27"/>
        </w:numPr>
        <w:autoSpaceDE/>
        <w:autoSpaceDN/>
        <w:spacing w:before="100" w:beforeAutospacing="1" w:after="100" w:afterAutospacing="1"/>
      </w:pPr>
      <w:r>
        <w:rPr>
          <w:rStyle w:val="Strong"/>
        </w:rPr>
        <w:t>Capital Reserves</w:t>
      </w:r>
      <w:r>
        <w:t>: Impacted by mergers and internal restructuring.</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DDDD8" w:themeFill="text2" w:themeFillTint="33"/>
        <w:tblCellMar>
          <w:top w:w="15" w:type="dxa"/>
          <w:left w:w="15" w:type="dxa"/>
          <w:bottom w:w="15" w:type="dxa"/>
          <w:right w:w="15" w:type="dxa"/>
        </w:tblCellMar>
        <w:tblLook w:val="04A0" w:firstRow="1" w:lastRow="0" w:firstColumn="1" w:lastColumn="0" w:noHBand="0" w:noVBand="1"/>
      </w:tblPr>
      <w:tblGrid>
        <w:gridCol w:w="1202"/>
        <w:gridCol w:w="1956"/>
        <w:gridCol w:w="5521"/>
      </w:tblGrid>
      <w:tr w:rsidR="00E434E7" w14:paraId="3A38C618" w14:textId="77777777" w:rsidTr="00D83ECB">
        <w:trPr>
          <w:tblHeader/>
          <w:tblCellSpacing w:w="15" w:type="dxa"/>
          <w:jc w:val="center"/>
        </w:trPr>
        <w:tc>
          <w:tcPr>
            <w:tcW w:w="0" w:type="auto"/>
            <w:shd w:val="clear" w:color="auto" w:fill="DDDDD8" w:themeFill="text2" w:themeFillTint="33"/>
            <w:vAlign w:val="center"/>
            <w:hideMark/>
          </w:tcPr>
          <w:p w14:paraId="11A17C2E" w14:textId="77777777" w:rsidR="00E434E7" w:rsidRDefault="00E434E7" w:rsidP="00D83ECB">
            <w:pPr>
              <w:jc w:val="center"/>
              <w:rPr>
                <w:b/>
                <w:bCs/>
              </w:rPr>
            </w:pPr>
            <w:r>
              <w:rPr>
                <w:rStyle w:val="Strong"/>
              </w:rPr>
              <w:t>Year</w:t>
            </w:r>
          </w:p>
        </w:tc>
        <w:tc>
          <w:tcPr>
            <w:tcW w:w="0" w:type="auto"/>
            <w:shd w:val="clear" w:color="auto" w:fill="DDDDD8" w:themeFill="text2" w:themeFillTint="33"/>
            <w:vAlign w:val="center"/>
            <w:hideMark/>
          </w:tcPr>
          <w:p w14:paraId="7B25AF93" w14:textId="77777777" w:rsidR="00E434E7" w:rsidRDefault="00E434E7" w:rsidP="00D83ECB">
            <w:pPr>
              <w:jc w:val="center"/>
              <w:rPr>
                <w:b/>
                <w:bCs/>
              </w:rPr>
            </w:pPr>
            <w:r>
              <w:rPr>
                <w:rStyle w:val="Strong"/>
              </w:rPr>
              <w:t>Other Equity (₹ Cr)</w:t>
            </w:r>
          </w:p>
        </w:tc>
        <w:tc>
          <w:tcPr>
            <w:tcW w:w="0" w:type="auto"/>
            <w:shd w:val="clear" w:color="auto" w:fill="DDDDD8" w:themeFill="text2" w:themeFillTint="33"/>
            <w:vAlign w:val="center"/>
            <w:hideMark/>
          </w:tcPr>
          <w:p w14:paraId="6FCD8373" w14:textId="77777777" w:rsidR="00E434E7" w:rsidRDefault="00E434E7" w:rsidP="00D83ECB">
            <w:pPr>
              <w:jc w:val="center"/>
              <w:rPr>
                <w:b/>
                <w:bCs/>
              </w:rPr>
            </w:pPr>
            <w:r>
              <w:rPr>
                <w:rStyle w:val="Strong"/>
              </w:rPr>
              <w:t>Commentary</w:t>
            </w:r>
          </w:p>
        </w:tc>
      </w:tr>
      <w:tr w:rsidR="00E434E7" w14:paraId="79B72759" w14:textId="77777777" w:rsidTr="00D83ECB">
        <w:trPr>
          <w:tblCellSpacing w:w="15" w:type="dxa"/>
          <w:jc w:val="center"/>
        </w:trPr>
        <w:tc>
          <w:tcPr>
            <w:tcW w:w="0" w:type="auto"/>
            <w:shd w:val="clear" w:color="auto" w:fill="DDDDD8" w:themeFill="text2" w:themeFillTint="33"/>
            <w:vAlign w:val="center"/>
            <w:hideMark/>
          </w:tcPr>
          <w:p w14:paraId="2F144F2D" w14:textId="77777777" w:rsidR="00E434E7" w:rsidRDefault="00E434E7" w:rsidP="00D83ECB">
            <w:r>
              <w:t>FY 2022–23</w:t>
            </w:r>
          </w:p>
        </w:tc>
        <w:tc>
          <w:tcPr>
            <w:tcW w:w="0" w:type="auto"/>
            <w:shd w:val="clear" w:color="auto" w:fill="DDDDD8" w:themeFill="text2" w:themeFillTint="33"/>
            <w:vAlign w:val="center"/>
            <w:hideMark/>
          </w:tcPr>
          <w:p w14:paraId="392E3DA0" w14:textId="77777777" w:rsidR="00E434E7" w:rsidRDefault="00E434E7" w:rsidP="00D83ECB">
            <w:r>
              <w:t>₹1,018,608.6</w:t>
            </w:r>
          </w:p>
        </w:tc>
        <w:tc>
          <w:tcPr>
            <w:tcW w:w="0" w:type="auto"/>
            <w:shd w:val="clear" w:color="auto" w:fill="DDDDD8" w:themeFill="text2" w:themeFillTint="33"/>
            <w:vAlign w:val="center"/>
            <w:hideMark/>
          </w:tcPr>
          <w:p w14:paraId="3DFEF985" w14:textId="77777777" w:rsidR="00E434E7" w:rsidRDefault="00E434E7" w:rsidP="00D83ECB">
            <w:r>
              <w:t>Strong reserves from India operations; Europe impact visible.</w:t>
            </w:r>
          </w:p>
        </w:tc>
      </w:tr>
      <w:tr w:rsidR="00E434E7" w14:paraId="16FA04DF" w14:textId="77777777" w:rsidTr="00D83ECB">
        <w:trPr>
          <w:tblCellSpacing w:w="15" w:type="dxa"/>
          <w:jc w:val="center"/>
        </w:trPr>
        <w:tc>
          <w:tcPr>
            <w:tcW w:w="0" w:type="auto"/>
            <w:shd w:val="clear" w:color="auto" w:fill="DDDDD8" w:themeFill="text2" w:themeFillTint="33"/>
            <w:vAlign w:val="center"/>
            <w:hideMark/>
          </w:tcPr>
          <w:p w14:paraId="026D7ED7" w14:textId="77777777" w:rsidR="00E434E7" w:rsidRDefault="00E434E7" w:rsidP="00D83ECB">
            <w:r>
              <w:t>FY 2023–24</w:t>
            </w:r>
          </w:p>
        </w:tc>
        <w:tc>
          <w:tcPr>
            <w:tcW w:w="0" w:type="auto"/>
            <w:shd w:val="clear" w:color="auto" w:fill="DDDDD8" w:themeFill="text2" w:themeFillTint="33"/>
            <w:vAlign w:val="center"/>
            <w:hideMark/>
          </w:tcPr>
          <w:p w14:paraId="3DA7BB2C" w14:textId="77777777" w:rsidR="00E434E7" w:rsidRDefault="00E434E7" w:rsidP="00D83ECB">
            <w:r>
              <w:t>₹907,883.2</w:t>
            </w:r>
          </w:p>
        </w:tc>
        <w:tc>
          <w:tcPr>
            <w:tcW w:w="0" w:type="auto"/>
            <w:shd w:val="clear" w:color="auto" w:fill="DDDDD8" w:themeFill="text2" w:themeFillTint="33"/>
            <w:vAlign w:val="center"/>
            <w:hideMark/>
          </w:tcPr>
          <w:p w14:paraId="66C4623F" w14:textId="77777777" w:rsidR="00E434E7" w:rsidRDefault="00E434E7" w:rsidP="00D83ECB">
            <w:r>
              <w:t>Decline due to net loss and deferred tax adjustments.</w:t>
            </w:r>
          </w:p>
        </w:tc>
      </w:tr>
      <w:tr w:rsidR="00E434E7" w14:paraId="6D27C9EC" w14:textId="77777777" w:rsidTr="00D83ECB">
        <w:trPr>
          <w:tblCellSpacing w:w="15" w:type="dxa"/>
          <w:jc w:val="center"/>
        </w:trPr>
        <w:tc>
          <w:tcPr>
            <w:tcW w:w="0" w:type="auto"/>
            <w:shd w:val="clear" w:color="auto" w:fill="DDDDD8" w:themeFill="text2" w:themeFillTint="33"/>
            <w:vAlign w:val="center"/>
            <w:hideMark/>
          </w:tcPr>
          <w:p w14:paraId="1099ADC4" w14:textId="77777777" w:rsidR="00E434E7" w:rsidRDefault="00E434E7" w:rsidP="00D83ECB">
            <w:r>
              <w:t>FY 2024–25</w:t>
            </w:r>
          </w:p>
        </w:tc>
        <w:tc>
          <w:tcPr>
            <w:tcW w:w="0" w:type="auto"/>
            <w:shd w:val="clear" w:color="auto" w:fill="DDDDD8" w:themeFill="text2" w:themeFillTint="33"/>
            <w:vAlign w:val="center"/>
            <w:hideMark/>
          </w:tcPr>
          <w:p w14:paraId="72ABE801" w14:textId="77777777" w:rsidR="00E434E7" w:rsidRDefault="00E434E7" w:rsidP="00D83ECB">
            <w:r>
              <w:t>₹899,221.9</w:t>
            </w:r>
          </w:p>
        </w:tc>
        <w:tc>
          <w:tcPr>
            <w:tcW w:w="0" w:type="auto"/>
            <w:shd w:val="clear" w:color="auto" w:fill="DDDDD8" w:themeFill="text2" w:themeFillTint="33"/>
            <w:vAlign w:val="center"/>
            <w:hideMark/>
          </w:tcPr>
          <w:p w14:paraId="47F06A38" w14:textId="77777777" w:rsidR="00E434E7" w:rsidRDefault="00E434E7" w:rsidP="00D83ECB">
            <w:r>
              <w:t>Stabilized; modest recovery in profitability.</w:t>
            </w:r>
          </w:p>
        </w:tc>
      </w:tr>
    </w:tbl>
    <w:p w14:paraId="2A7A4BEF" w14:textId="77777777" w:rsidR="00E434E7" w:rsidRDefault="00E434E7" w:rsidP="00E434E7">
      <w:pPr>
        <w:widowControl/>
        <w:numPr>
          <w:ilvl w:val="0"/>
          <w:numId w:val="28"/>
        </w:numPr>
        <w:autoSpaceDE/>
        <w:autoSpaceDN/>
        <w:spacing w:before="100" w:beforeAutospacing="1" w:after="100" w:afterAutospacing="1"/>
      </w:pPr>
      <w:r>
        <w:rPr>
          <w:rStyle w:val="Strong"/>
        </w:rPr>
        <w:t>Key Observations</w:t>
      </w:r>
      <w:r>
        <w:t xml:space="preserve">: </w:t>
      </w:r>
    </w:p>
    <w:p w14:paraId="30BFEA90" w14:textId="77777777" w:rsidR="00E434E7" w:rsidRDefault="00E434E7" w:rsidP="00E434E7">
      <w:pPr>
        <w:widowControl/>
        <w:numPr>
          <w:ilvl w:val="1"/>
          <w:numId w:val="28"/>
        </w:numPr>
        <w:autoSpaceDE/>
        <w:autoSpaceDN/>
        <w:spacing w:before="100" w:beforeAutospacing="1" w:after="100" w:afterAutospacing="1"/>
      </w:pPr>
      <w:r>
        <w:t>OCI volatility due to pension liabilities and FX translation from European subsidiaries.</w:t>
      </w:r>
    </w:p>
    <w:p w14:paraId="4D966EE1" w14:textId="77777777" w:rsidR="00E434E7" w:rsidRDefault="00E434E7" w:rsidP="00E434E7">
      <w:pPr>
        <w:widowControl/>
        <w:numPr>
          <w:ilvl w:val="1"/>
          <w:numId w:val="28"/>
        </w:numPr>
        <w:autoSpaceDE/>
        <w:autoSpaceDN/>
        <w:spacing w:before="100" w:beforeAutospacing="1" w:after="100" w:afterAutospacing="1"/>
      </w:pPr>
      <w:r>
        <w:t>Mergers of group companies simplified equity structure and reduced intercompany balances.</w:t>
      </w:r>
    </w:p>
    <w:p w14:paraId="1F287C0A" w14:textId="77777777" w:rsidR="00E434E7" w:rsidRDefault="00E434E7" w:rsidP="00E434E7">
      <w:pPr>
        <w:widowControl/>
        <w:numPr>
          <w:ilvl w:val="1"/>
          <w:numId w:val="28"/>
        </w:numPr>
        <w:autoSpaceDE/>
        <w:autoSpaceDN/>
        <w:spacing w:before="100" w:beforeAutospacing="1" w:after="100" w:afterAutospacing="1"/>
      </w:pPr>
      <w:r>
        <w:t>Dividend payouts remained consistent, moderating retained earnings growth.</w:t>
      </w:r>
    </w:p>
    <w:p w14:paraId="6F2B5E5A" w14:textId="77777777" w:rsidR="00E434E7" w:rsidRDefault="00000000" w:rsidP="00E434E7">
      <w:r>
        <w:pict w14:anchorId="3B3172C5">
          <v:rect id="_x0000_i1052" style="width:0;height:1.5pt" o:hralign="center" o:hrstd="t" o:hr="t" fillcolor="#a0a0a0" stroked="f"/>
        </w:pict>
      </w:r>
    </w:p>
    <w:p w14:paraId="6DCF90EA" w14:textId="77777777" w:rsidR="00E434E7" w:rsidRDefault="00E434E7" w:rsidP="00E434E7">
      <w:pPr>
        <w:pStyle w:val="Heading4"/>
      </w:pPr>
      <w:r>
        <w:rPr>
          <w:rFonts w:ascii="Segoe UI Symbol" w:hAnsi="Segoe UI Symbol" w:cs="Segoe UI Symbol"/>
        </w:rPr>
        <w:t>👥</w:t>
      </w:r>
      <w:r>
        <w:t xml:space="preserve"> </w:t>
      </w:r>
      <w:r>
        <w:rPr>
          <w:rStyle w:val="Strong"/>
          <w:b w:val="0"/>
          <w:bCs w:val="0"/>
        </w:rPr>
        <w:t>Non-Controlling Interest (NCI)</w:t>
      </w:r>
    </w:p>
    <w:p w14:paraId="4EF74257" w14:textId="77777777" w:rsidR="00E434E7" w:rsidRDefault="00E434E7" w:rsidP="00E434E7">
      <w:pPr>
        <w:widowControl/>
        <w:numPr>
          <w:ilvl w:val="0"/>
          <w:numId w:val="29"/>
        </w:numPr>
        <w:autoSpaceDE/>
        <w:autoSpaceDN/>
        <w:spacing w:before="100" w:beforeAutospacing="1" w:after="100" w:afterAutospacing="1"/>
      </w:pPr>
      <w:r>
        <w:rPr>
          <w:rStyle w:val="Strong"/>
        </w:rPr>
        <w:t>Definition</w:t>
      </w:r>
      <w:r>
        <w:t>: Represents equity held by minority shareholders in subsidiaries where Tata Steel owns less than 100%.</w:t>
      </w:r>
    </w:p>
    <w:p w14:paraId="7EB8DBA5" w14:textId="77777777" w:rsidR="00E434E7" w:rsidRDefault="00E434E7" w:rsidP="00E434E7">
      <w:pPr>
        <w:widowControl/>
        <w:numPr>
          <w:ilvl w:val="0"/>
          <w:numId w:val="29"/>
        </w:numPr>
        <w:autoSpaceDE/>
        <w:autoSpaceDN/>
        <w:spacing w:before="100" w:beforeAutospacing="1" w:after="100" w:afterAutospacing="1"/>
      </w:pPr>
      <w:r>
        <w:rPr>
          <w:rStyle w:val="Strong"/>
        </w:rPr>
        <w:t>Trend</w:t>
      </w:r>
      <w:r>
        <w:t xml:space="preserve">: </w:t>
      </w:r>
    </w:p>
    <w:p w14:paraId="14CF3331" w14:textId="77777777" w:rsidR="00E434E7" w:rsidRDefault="00E434E7" w:rsidP="00E434E7">
      <w:pPr>
        <w:widowControl/>
        <w:numPr>
          <w:ilvl w:val="1"/>
          <w:numId w:val="29"/>
        </w:numPr>
        <w:autoSpaceDE/>
        <w:autoSpaceDN/>
        <w:spacing w:before="100" w:beforeAutospacing="1" w:after="100" w:afterAutospacing="1"/>
      </w:pPr>
      <w:r>
        <w:t xml:space="preserve">NCI has </w:t>
      </w:r>
      <w:r>
        <w:rPr>
          <w:rStyle w:val="Strong"/>
        </w:rPr>
        <w:t>declined</w:t>
      </w:r>
      <w:r>
        <w:t xml:space="preserve"> over the years due to mergers and increased stake in subsidiaries.</w:t>
      </w:r>
    </w:p>
    <w:p w14:paraId="6BEBA827" w14:textId="77777777" w:rsidR="00E434E7" w:rsidRDefault="00E434E7" w:rsidP="00E434E7">
      <w:pPr>
        <w:widowControl/>
        <w:numPr>
          <w:ilvl w:val="1"/>
          <w:numId w:val="29"/>
        </w:numPr>
        <w:autoSpaceDE/>
        <w:autoSpaceDN/>
        <w:spacing w:before="100" w:beforeAutospacing="1" w:after="100" w:afterAutospacing="1"/>
      </w:pPr>
      <w:r>
        <w:t>Remaining NCI is tied to select international and domestic entities (e.g., Tata Steel Thailand).</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DDDD8" w:themeFill="text2" w:themeFillTint="33"/>
        <w:tblCellMar>
          <w:top w:w="15" w:type="dxa"/>
          <w:left w:w="15" w:type="dxa"/>
          <w:bottom w:w="15" w:type="dxa"/>
          <w:right w:w="15" w:type="dxa"/>
        </w:tblCellMar>
        <w:tblLook w:val="04A0" w:firstRow="1" w:lastRow="0" w:firstColumn="1" w:lastColumn="0" w:noHBand="0" w:noVBand="1"/>
      </w:tblPr>
      <w:tblGrid>
        <w:gridCol w:w="1202"/>
        <w:gridCol w:w="1211"/>
        <w:gridCol w:w="5179"/>
      </w:tblGrid>
      <w:tr w:rsidR="00E434E7" w14:paraId="03E3C732" w14:textId="77777777" w:rsidTr="00D83ECB">
        <w:trPr>
          <w:tblHeader/>
          <w:tblCellSpacing w:w="15" w:type="dxa"/>
          <w:jc w:val="center"/>
        </w:trPr>
        <w:tc>
          <w:tcPr>
            <w:tcW w:w="0" w:type="auto"/>
            <w:shd w:val="clear" w:color="auto" w:fill="DDDDD8" w:themeFill="text2" w:themeFillTint="33"/>
            <w:vAlign w:val="center"/>
            <w:hideMark/>
          </w:tcPr>
          <w:p w14:paraId="4A9ED9B4" w14:textId="77777777" w:rsidR="00E434E7" w:rsidRDefault="00E434E7" w:rsidP="00D83ECB">
            <w:pPr>
              <w:jc w:val="center"/>
              <w:rPr>
                <w:b/>
                <w:bCs/>
              </w:rPr>
            </w:pPr>
            <w:r>
              <w:rPr>
                <w:rStyle w:val="Strong"/>
              </w:rPr>
              <w:t>Year</w:t>
            </w:r>
          </w:p>
        </w:tc>
        <w:tc>
          <w:tcPr>
            <w:tcW w:w="0" w:type="auto"/>
            <w:shd w:val="clear" w:color="auto" w:fill="DDDDD8" w:themeFill="text2" w:themeFillTint="33"/>
            <w:vAlign w:val="center"/>
            <w:hideMark/>
          </w:tcPr>
          <w:p w14:paraId="4B1299D8" w14:textId="77777777" w:rsidR="00E434E7" w:rsidRDefault="00E434E7" w:rsidP="00D83ECB">
            <w:pPr>
              <w:jc w:val="center"/>
              <w:rPr>
                <w:b/>
                <w:bCs/>
              </w:rPr>
            </w:pPr>
            <w:r>
              <w:rPr>
                <w:rStyle w:val="Strong"/>
              </w:rPr>
              <w:t>NCI Impact</w:t>
            </w:r>
          </w:p>
        </w:tc>
        <w:tc>
          <w:tcPr>
            <w:tcW w:w="0" w:type="auto"/>
            <w:shd w:val="clear" w:color="auto" w:fill="DDDDD8" w:themeFill="text2" w:themeFillTint="33"/>
            <w:vAlign w:val="center"/>
            <w:hideMark/>
          </w:tcPr>
          <w:p w14:paraId="23A4C9F0" w14:textId="77777777" w:rsidR="00E434E7" w:rsidRDefault="00E434E7" w:rsidP="00D83ECB">
            <w:pPr>
              <w:jc w:val="center"/>
              <w:rPr>
                <w:b/>
                <w:bCs/>
              </w:rPr>
            </w:pPr>
            <w:r>
              <w:rPr>
                <w:rStyle w:val="Strong"/>
              </w:rPr>
              <w:t>Commentary</w:t>
            </w:r>
          </w:p>
        </w:tc>
      </w:tr>
      <w:tr w:rsidR="00E434E7" w14:paraId="446C485A" w14:textId="77777777" w:rsidTr="00D83ECB">
        <w:trPr>
          <w:tblCellSpacing w:w="15" w:type="dxa"/>
          <w:jc w:val="center"/>
        </w:trPr>
        <w:tc>
          <w:tcPr>
            <w:tcW w:w="0" w:type="auto"/>
            <w:shd w:val="clear" w:color="auto" w:fill="DDDDD8" w:themeFill="text2" w:themeFillTint="33"/>
            <w:vAlign w:val="center"/>
            <w:hideMark/>
          </w:tcPr>
          <w:p w14:paraId="545D75D2" w14:textId="77777777" w:rsidR="00E434E7" w:rsidRDefault="00E434E7" w:rsidP="00D83ECB">
            <w:r>
              <w:t>FY 2022–23</w:t>
            </w:r>
          </w:p>
        </w:tc>
        <w:tc>
          <w:tcPr>
            <w:tcW w:w="0" w:type="auto"/>
            <w:shd w:val="clear" w:color="auto" w:fill="DDDDD8" w:themeFill="text2" w:themeFillTint="33"/>
            <w:vAlign w:val="center"/>
            <w:hideMark/>
          </w:tcPr>
          <w:p w14:paraId="207DDD05" w14:textId="77777777" w:rsidR="00E434E7" w:rsidRDefault="00E434E7" w:rsidP="00D83ECB">
            <w:r>
              <w:t>Moderate</w:t>
            </w:r>
          </w:p>
        </w:tc>
        <w:tc>
          <w:tcPr>
            <w:tcW w:w="0" w:type="auto"/>
            <w:shd w:val="clear" w:color="auto" w:fill="DDDDD8" w:themeFill="text2" w:themeFillTint="33"/>
            <w:vAlign w:val="center"/>
            <w:hideMark/>
          </w:tcPr>
          <w:p w14:paraId="1794D998" w14:textId="77777777" w:rsidR="00E434E7" w:rsidRDefault="00E434E7" w:rsidP="00D83ECB">
            <w:r>
              <w:t>Minor share of profits/losses attributed to NCI.</w:t>
            </w:r>
          </w:p>
        </w:tc>
      </w:tr>
      <w:tr w:rsidR="00E434E7" w14:paraId="067F8ADC" w14:textId="77777777" w:rsidTr="00D83ECB">
        <w:trPr>
          <w:tblCellSpacing w:w="15" w:type="dxa"/>
          <w:jc w:val="center"/>
        </w:trPr>
        <w:tc>
          <w:tcPr>
            <w:tcW w:w="0" w:type="auto"/>
            <w:shd w:val="clear" w:color="auto" w:fill="DDDDD8" w:themeFill="text2" w:themeFillTint="33"/>
            <w:vAlign w:val="center"/>
            <w:hideMark/>
          </w:tcPr>
          <w:p w14:paraId="09207E03" w14:textId="77777777" w:rsidR="00E434E7" w:rsidRDefault="00E434E7" w:rsidP="00D83ECB">
            <w:r>
              <w:t>FY 2023–24</w:t>
            </w:r>
          </w:p>
        </w:tc>
        <w:tc>
          <w:tcPr>
            <w:tcW w:w="0" w:type="auto"/>
            <w:shd w:val="clear" w:color="auto" w:fill="DDDDD8" w:themeFill="text2" w:themeFillTint="33"/>
            <w:vAlign w:val="center"/>
            <w:hideMark/>
          </w:tcPr>
          <w:p w14:paraId="3E8F0059" w14:textId="77777777" w:rsidR="00E434E7" w:rsidRDefault="00E434E7" w:rsidP="00D83ECB">
            <w:r>
              <w:t>Reduced</w:t>
            </w:r>
          </w:p>
        </w:tc>
        <w:tc>
          <w:tcPr>
            <w:tcW w:w="0" w:type="auto"/>
            <w:shd w:val="clear" w:color="auto" w:fill="DDDDD8" w:themeFill="text2" w:themeFillTint="33"/>
            <w:vAlign w:val="center"/>
            <w:hideMark/>
          </w:tcPr>
          <w:p w14:paraId="0F0D2635" w14:textId="77777777" w:rsidR="00E434E7" w:rsidRDefault="00E434E7" w:rsidP="00D83ECB">
            <w:r>
              <w:t>Losses absorbed by parent; NCI impact minimal.</w:t>
            </w:r>
          </w:p>
        </w:tc>
      </w:tr>
      <w:tr w:rsidR="00E434E7" w14:paraId="48B91B55" w14:textId="77777777" w:rsidTr="00D83ECB">
        <w:trPr>
          <w:tblCellSpacing w:w="15" w:type="dxa"/>
          <w:jc w:val="center"/>
        </w:trPr>
        <w:tc>
          <w:tcPr>
            <w:tcW w:w="0" w:type="auto"/>
            <w:shd w:val="clear" w:color="auto" w:fill="DDDDD8" w:themeFill="text2" w:themeFillTint="33"/>
            <w:vAlign w:val="center"/>
            <w:hideMark/>
          </w:tcPr>
          <w:p w14:paraId="65FED7F6" w14:textId="77777777" w:rsidR="00E434E7" w:rsidRDefault="00E434E7" w:rsidP="00D83ECB">
            <w:r>
              <w:t>FY 2024–25</w:t>
            </w:r>
          </w:p>
        </w:tc>
        <w:tc>
          <w:tcPr>
            <w:tcW w:w="0" w:type="auto"/>
            <w:shd w:val="clear" w:color="auto" w:fill="DDDDD8" w:themeFill="text2" w:themeFillTint="33"/>
            <w:vAlign w:val="center"/>
            <w:hideMark/>
          </w:tcPr>
          <w:p w14:paraId="7CAFE17D" w14:textId="77777777" w:rsidR="00E434E7" w:rsidRDefault="00E434E7" w:rsidP="00D83ECB">
            <w:r>
              <w:t>Stable</w:t>
            </w:r>
          </w:p>
        </w:tc>
        <w:tc>
          <w:tcPr>
            <w:tcW w:w="0" w:type="auto"/>
            <w:shd w:val="clear" w:color="auto" w:fill="DDDDD8" w:themeFill="text2" w:themeFillTint="33"/>
            <w:vAlign w:val="center"/>
            <w:hideMark/>
          </w:tcPr>
          <w:p w14:paraId="026A728C" w14:textId="77777777" w:rsidR="00E434E7" w:rsidRDefault="00E434E7" w:rsidP="00D83ECB">
            <w:r>
              <w:t>NCI contribution modest; no major dilution or expansion.</w:t>
            </w:r>
          </w:p>
        </w:tc>
      </w:tr>
    </w:tbl>
    <w:p w14:paraId="005A67BF" w14:textId="77777777" w:rsidR="00E434E7" w:rsidRDefault="00000000" w:rsidP="00E434E7">
      <w:r>
        <w:pict w14:anchorId="730CBB2B">
          <v:rect id="_x0000_i1053" style="width:0;height:1.5pt" o:hralign="center" o:hrstd="t" o:hr="t" fillcolor="#a0a0a0" stroked="f"/>
        </w:pict>
      </w:r>
    </w:p>
    <w:p w14:paraId="274AC907" w14:textId="77777777" w:rsidR="00E434E7" w:rsidRDefault="00E434E7" w:rsidP="00E434E7">
      <w:pPr>
        <w:pStyle w:val="Heading3"/>
      </w:pPr>
      <w:r>
        <w:rPr>
          <w:rFonts w:ascii="Segoe UI Symbol" w:hAnsi="Segoe UI Symbol" w:cs="Segoe UI Symbol"/>
        </w:rPr>
        <w:t>📌</w:t>
      </w:r>
      <w:r>
        <w:t xml:space="preserve"> </w:t>
      </w:r>
      <w:r>
        <w:rPr>
          <w:rStyle w:val="Strong"/>
          <w:b w:val="0"/>
          <w:bCs w:val="0"/>
        </w:rPr>
        <w:t>Conclusion</w:t>
      </w:r>
    </w:p>
    <w:p w14:paraId="7B0EE5B0" w14:textId="77777777" w:rsidR="00E434E7" w:rsidRDefault="00E434E7" w:rsidP="00E434E7">
      <w:pPr>
        <w:widowControl/>
        <w:numPr>
          <w:ilvl w:val="0"/>
          <w:numId w:val="30"/>
        </w:numPr>
        <w:autoSpaceDE/>
        <w:autoSpaceDN/>
        <w:spacing w:before="100" w:beforeAutospacing="1" w:after="100" w:afterAutospacing="1"/>
      </w:pPr>
      <w:r>
        <w:rPr>
          <w:rStyle w:val="Strong"/>
        </w:rPr>
        <w:t>Positive Impact</w:t>
      </w:r>
      <w:r>
        <w:t>: Domestic subsidiaries have strengthened Tata Steel’s core operations, supported margins, and enhanced supply chain efficiency.</w:t>
      </w:r>
    </w:p>
    <w:p w14:paraId="058E787E" w14:textId="77777777" w:rsidR="00E434E7" w:rsidRDefault="00E434E7" w:rsidP="00E434E7">
      <w:pPr>
        <w:widowControl/>
        <w:numPr>
          <w:ilvl w:val="0"/>
          <w:numId w:val="30"/>
        </w:numPr>
        <w:autoSpaceDE/>
        <w:autoSpaceDN/>
        <w:spacing w:before="100" w:beforeAutospacing="1" w:after="100" w:afterAutospacing="1"/>
      </w:pPr>
      <w:r>
        <w:rPr>
          <w:rStyle w:val="Strong"/>
        </w:rPr>
        <w:t>Negative Impact</w:t>
      </w:r>
      <w:r>
        <w:t>: European subsidiaries have diluted profitability and added volatility to equity through pension liabilities and restructuring costs.</w:t>
      </w:r>
    </w:p>
    <w:p w14:paraId="45B12E73" w14:textId="77777777" w:rsidR="00E434E7" w:rsidRDefault="00E434E7" w:rsidP="00E434E7">
      <w:pPr>
        <w:widowControl/>
        <w:numPr>
          <w:ilvl w:val="0"/>
          <w:numId w:val="30"/>
        </w:numPr>
        <w:autoSpaceDE/>
        <w:autoSpaceDN/>
        <w:spacing w:before="100" w:beforeAutospacing="1" w:after="100" w:afterAutospacing="1"/>
      </w:pPr>
      <w:r>
        <w:rPr>
          <w:rStyle w:val="Strong"/>
        </w:rPr>
        <w:lastRenderedPageBreak/>
        <w:t>Equity Quality</w:t>
      </w:r>
      <w:r>
        <w:t>: Improved through simplification and strategic control, though OCI and FX risks remain.</w:t>
      </w:r>
    </w:p>
    <w:p w14:paraId="394FBFDA" w14:textId="77777777" w:rsidR="00E434E7" w:rsidRDefault="00E434E7" w:rsidP="00E434E7">
      <w:pPr>
        <w:widowControl/>
        <w:numPr>
          <w:ilvl w:val="0"/>
          <w:numId w:val="30"/>
        </w:numPr>
        <w:autoSpaceDE/>
        <w:autoSpaceDN/>
        <w:spacing w:before="100" w:beforeAutospacing="1" w:after="100" w:afterAutospacing="1"/>
      </w:pPr>
      <w:r>
        <w:rPr>
          <w:rStyle w:val="Strong"/>
        </w:rPr>
        <w:t>NCI</w:t>
      </w:r>
      <w:r>
        <w:t>: Gradually declining, with minimal impact on consolidated performance.</w:t>
      </w:r>
    </w:p>
    <w:p w14:paraId="437FF260" w14:textId="77777777" w:rsidR="00E434E7" w:rsidRDefault="00000000" w:rsidP="00E434E7">
      <w:r>
        <w:pict w14:anchorId="4A754506">
          <v:rect id="_x0000_i1054" style="width:0;height:1.5pt" o:hralign="center" o:hrstd="t" o:hr="t" fillcolor="#a0a0a0" stroked="f"/>
        </w:pict>
      </w:r>
    </w:p>
    <w:p w14:paraId="1E822119" w14:textId="77777777" w:rsidR="00E434E7" w:rsidRPr="00640A00" w:rsidRDefault="00E434E7" w:rsidP="00E434E7">
      <w:pPr>
        <w:pStyle w:val="NormalWeb"/>
        <w:rPr>
          <w:rStyle w:val="IntenseEmphasis"/>
        </w:rPr>
      </w:pPr>
      <w:r w:rsidRPr="00640A00">
        <w:rPr>
          <w:rStyle w:val="IntenseEmphasis"/>
        </w:rPr>
        <w:t>Key takeaways {Smart}</w:t>
      </w:r>
    </w:p>
    <w:p w14:paraId="013C75DB" w14:textId="77777777" w:rsidR="00E434E7" w:rsidRDefault="00E434E7" w:rsidP="00E434E7">
      <w:pPr>
        <w:pStyle w:val="NormalWeb"/>
      </w:pPr>
      <w:r>
        <w:t>I’m focusing on keeping the list clear and concise with 8-10 key takeaways. Important concepts include fluency in annual reports, understanding ratios in context, distinguishing between consolidated and standalone figures, and decoding notes to accounts. I'll include balance sheet literacy and understanding subsidiaries and control. I'll also mention NCI, contingencies, valuation nuances, cash conversion, and connecting ESG factors. Each bullet will have a succinct explanation, avoiding repetition. Here we go, let’s get these down.</w:t>
      </w:r>
    </w:p>
    <w:p w14:paraId="078207C3" w14:textId="77777777" w:rsidR="00E434E7" w:rsidRDefault="00E434E7" w:rsidP="00E434E7">
      <w:pPr>
        <w:pStyle w:val="Heading1"/>
      </w:pPr>
      <w:r>
        <w:t>Part 3: Conclusion</w:t>
      </w:r>
    </w:p>
    <w:p w14:paraId="227075F8" w14:textId="77777777" w:rsidR="00E434E7" w:rsidRDefault="00E434E7" w:rsidP="00E434E7">
      <w:pPr>
        <w:pStyle w:val="NormalWeb"/>
        <w:numPr>
          <w:ilvl w:val="0"/>
          <w:numId w:val="31"/>
        </w:numPr>
      </w:pPr>
      <w:r>
        <w:rPr>
          <w:rStyle w:val="Strong"/>
        </w:rPr>
        <w:t>Annual report fluency:</w:t>
      </w:r>
      <w:r>
        <w:t xml:space="preserve"> I learned to navigate MD&amp;A, financial statements, and Notes to Accounts so numbers connect to narrative and one-offs don’t get misread.</w:t>
      </w:r>
    </w:p>
    <w:p w14:paraId="4F6A7DED" w14:textId="77777777" w:rsidR="00E434E7" w:rsidRDefault="00E434E7" w:rsidP="00E434E7">
      <w:pPr>
        <w:pStyle w:val="NormalWeb"/>
        <w:numPr>
          <w:ilvl w:val="0"/>
          <w:numId w:val="31"/>
        </w:numPr>
      </w:pPr>
      <w:r>
        <w:rPr>
          <w:rStyle w:val="Strong"/>
        </w:rPr>
        <w:t>Ratios with context:</w:t>
      </w:r>
      <w:r>
        <w:t xml:space="preserve"> Trend analysis (3 years) matters more than single points—ROE, margins, and coverage change with cycles, tax effects, and geography mix.</w:t>
      </w:r>
    </w:p>
    <w:p w14:paraId="436DD297" w14:textId="77777777" w:rsidR="00E434E7" w:rsidRDefault="00E434E7" w:rsidP="00E434E7">
      <w:pPr>
        <w:pStyle w:val="NormalWeb"/>
        <w:numPr>
          <w:ilvl w:val="0"/>
          <w:numId w:val="31"/>
        </w:numPr>
      </w:pPr>
      <w:r>
        <w:rPr>
          <w:rStyle w:val="Strong"/>
        </w:rPr>
        <w:t>Consolidated over standalone:</w:t>
      </w:r>
      <w:r>
        <w:t xml:space="preserve"> Consolidated results reveal the real picture; strong India performance can be diluted by overseas subsidiaries, changing profitability and leverage.</w:t>
      </w:r>
    </w:p>
    <w:p w14:paraId="6734B2C9" w14:textId="77777777" w:rsidR="00E434E7" w:rsidRDefault="00E434E7" w:rsidP="00E434E7">
      <w:pPr>
        <w:pStyle w:val="NormalWeb"/>
        <w:numPr>
          <w:ilvl w:val="0"/>
          <w:numId w:val="31"/>
        </w:numPr>
      </w:pPr>
      <w:r>
        <w:rPr>
          <w:rStyle w:val="Strong"/>
        </w:rPr>
        <w:t>Notes to Accounts decoding:</w:t>
      </w:r>
      <w:r>
        <w:t xml:space="preserve"> Contingent liabilities, pensions, hedges, and FX translation in OCI explained why “Other Equity” moves even when operating results are steady.</w:t>
      </w:r>
    </w:p>
    <w:p w14:paraId="6BBBB13E" w14:textId="77777777" w:rsidR="00E434E7" w:rsidRDefault="00E434E7" w:rsidP="00E434E7">
      <w:pPr>
        <w:pStyle w:val="NormalWeb"/>
        <w:numPr>
          <w:ilvl w:val="0"/>
          <w:numId w:val="31"/>
        </w:numPr>
      </w:pPr>
      <w:r>
        <w:rPr>
          <w:rStyle w:val="Strong"/>
        </w:rPr>
        <w:t>Balance sheet literacy:</w:t>
      </w:r>
      <w:r>
        <w:t xml:space="preserve"> Mapping debt, equity, and working capital helped link capex and expansions to debt-to-equity and interest coverage movements.</w:t>
      </w:r>
    </w:p>
    <w:p w14:paraId="1A8B8AC4" w14:textId="77777777" w:rsidR="00E434E7" w:rsidRDefault="00E434E7" w:rsidP="00E434E7">
      <w:pPr>
        <w:pStyle w:val="NormalWeb"/>
        <w:numPr>
          <w:ilvl w:val="0"/>
          <w:numId w:val="31"/>
        </w:numPr>
      </w:pPr>
      <w:r>
        <w:rPr>
          <w:rStyle w:val="Strong"/>
        </w:rPr>
        <w:t>Subsidiary map and control:</w:t>
      </w:r>
      <w:r>
        <w:t xml:space="preserve"> Identifying key subsidiaries, their roles, and ownership (majority vs 100%) clarified EBITDA contributors, risk pockets, and how control shapes results.</w:t>
      </w:r>
    </w:p>
    <w:p w14:paraId="765742C3" w14:textId="77777777" w:rsidR="00E434E7" w:rsidRDefault="00E434E7" w:rsidP="00E434E7">
      <w:pPr>
        <w:pStyle w:val="NormalWeb"/>
        <w:numPr>
          <w:ilvl w:val="0"/>
          <w:numId w:val="31"/>
        </w:numPr>
      </w:pPr>
      <w:r>
        <w:rPr>
          <w:rStyle w:val="Strong"/>
        </w:rPr>
        <w:t>NCI understanding:</w:t>
      </w:r>
      <w:r>
        <w:t xml:space="preserve"> Seeing how non-controlling interests split profits and equity—and how mergers/stake hikes lower NCI—made the attribution to owners and ROE shifts clearer.</w:t>
      </w:r>
    </w:p>
    <w:p w14:paraId="0CA93093" w14:textId="77777777" w:rsidR="00E434E7" w:rsidRDefault="00E434E7" w:rsidP="00E434E7">
      <w:pPr>
        <w:pStyle w:val="NormalWeb"/>
        <w:numPr>
          <w:ilvl w:val="0"/>
          <w:numId w:val="31"/>
        </w:numPr>
      </w:pPr>
      <w:r>
        <w:rPr>
          <w:rStyle w:val="Strong"/>
        </w:rPr>
        <w:t>Profit vs cash conversion:</w:t>
      </w:r>
      <w:r>
        <w:t xml:space="preserve"> Comparing PAT, EBITDA, and operating cash flow taught me to assess dividend capacity and sustainability beyond accounting profit.</w:t>
      </w:r>
    </w:p>
    <w:p w14:paraId="51B92316" w14:textId="77777777" w:rsidR="00E434E7" w:rsidRDefault="00E434E7" w:rsidP="00E434E7">
      <w:pPr>
        <w:pStyle w:val="NormalWeb"/>
        <w:numPr>
          <w:ilvl w:val="0"/>
          <w:numId w:val="31"/>
        </w:numPr>
      </w:pPr>
      <w:r>
        <w:rPr>
          <w:rStyle w:val="Strong"/>
        </w:rPr>
        <w:t>Valuation nuance:</w:t>
      </w:r>
      <w:r>
        <w:t xml:space="preserve"> Negative/lofty P/E years taught me to pair market multiples with earnings quality, cycle position, and one-time items before concluding.</w:t>
      </w:r>
    </w:p>
    <w:p w14:paraId="4683D8DC" w14:textId="77777777" w:rsidR="00E434E7" w:rsidRDefault="00E434E7" w:rsidP="00E434E7">
      <w:pPr>
        <w:pStyle w:val="NormalWeb"/>
        <w:numPr>
          <w:ilvl w:val="0"/>
          <w:numId w:val="31"/>
        </w:numPr>
      </w:pPr>
      <w:r>
        <w:rPr>
          <w:rStyle w:val="Strong"/>
        </w:rPr>
        <w:t>ESG and CSR to financials:</w:t>
      </w:r>
      <w:r>
        <w:t xml:space="preserve"> </w:t>
      </w:r>
      <w:proofErr w:type="gramStart"/>
      <w:r>
        <w:t>Green</w:t>
      </w:r>
      <w:proofErr w:type="gramEnd"/>
      <w:r>
        <w:t xml:space="preserve"> transitions, energy choices, and CSR programs aren’t just optics—they show up as capex, costs, and long-term margin/valuation impacts.</w:t>
      </w:r>
    </w:p>
    <w:p w14:paraId="4B234FE8" w14:textId="77777777" w:rsidR="00E434E7" w:rsidRDefault="00E434E7" w:rsidP="00E434E7">
      <w:pPr>
        <w:pStyle w:val="Heading2"/>
      </w:pPr>
      <w:r>
        <w:t xml:space="preserve">Part 3: Conclusion (10% Weight) </w:t>
      </w:r>
      <w:r w:rsidRPr="00640A00">
        <w:rPr>
          <w:rStyle w:val="IntenseEmphasis"/>
          <w:color w:val="auto"/>
          <w:sz w:val="22"/>
        </w:rPr>
        <w:t>{30 sec}</w:t>
      </w:r>
    </w:p>
    <w:p w14:paraId="24BD44E9" w14:textId="77777777" w:rsidR="00E434E7" w:rsidRDefault="00E434E7" w:rsidP="00E434E7">
      <w:pPr>
        <w:pStyle w:val="NormalWeb"/>
        <w:numPr>
          <w:ilvl w:val="0"/>
          <w:numId w:val="32"/>
        </w:numPr>
      </w:pPr>
      <w:r>
        <w:t>Navigating the annual report end-to-end taught me to connect Management Discussion &amp; Analysis, financial statements, and Notes to Accounts—so I can distinguish recurring performance from one-off adjustments.</w:t>
      </w:r>
    </w:p>
    <w:p w14:paraId="0C095904" w14:textId="77777777" w:rsidR="00E434E7" w:rsidRDefault="00E434E7" w:rsidP="00E434E7">
      <w:pPr>
        <w:pStyle w:val="NormalWeb"/>
        <w:numPr>
          <w:ilvl w:val="0"/>
          <w:numId w:val="32"/>
        </w:numPr>
      </w:pPr>
      <w:r>
        <w:t>Performing three-year trend analysis of key ratios (ROE, margins, P/E, debt ratios) reinforced that a single-year snapshot can be misleading; context and cycle drivers are critical.</w:t>
      </w:r>
    </w:p>
    <w:p w14:paraId="5DA8B509" w14:textId="77777777" w:rsidR="00E434E7" w:rsidRDefault="00E434E7" w:rsidP="00E434E7">
      <w:pPr>
        <w:pStyle w:val="NormalWeb"/>
        <w:numPr>
          <w:ilvl w:val="0"/>
          <w:numId w:val="32"/>
        </w:numPr>
      </w:pPr>
      <w:r>
        <w:t>Decoding the Notes to Accounts for contingencies—legal disputes, pension obligations, deferred taxes—helped me translate footnote disclosures into real cash-flow and valuation risks.</w:t>
      </w:r>
    </w:p>
    <w:p w14:paraId="2C35F828" w14:textId="77777777" w:rsidR="00E434E7" w:rsidRDefault="00E434E7" w:rsidP="00E434E7">
      <w:pPr>
        <w:pStyle w:val="NormalWeb"/>
        <w:numPr>
          <w:ilvl w:val="0"/>
          <w:numId w:val="32"/>
        </w:numPr>
      </w:pPr>
      <w:r>
        <w:lastRenderedPageBreak/>
        <w:t>Mapping Tata Steel’s subsidiaries and ownership stakes sharpened my understanding of how majority versus full control, plus Non-Controlling Interests, shape consolidated profits, reserves, and equity attribution.</w:t>
      </w:r>
    </w:p>
    <w:p w14:paraId="2D7DE0DD" w14:textId="77777777" w:rsidR="00E434E7" w:rsidRDefault="00E434E7" w:rsidP="00E434E7">
      <w:pPr>
        <w:pStyle w:val="NormalWeb"/>
        <w:numPr>
          <w:ilvl w:val="0"/>
          <w:numId w:val="32"/>
        </w:numPr>
      </w:pPr>
      <w:r>
        <w:t>Comparing consolidated versus standalone numbers showed why overseas operations (like Tata Steel Europe) can dilute group margins even when domestic units are strong—underscoring the importance of consolidated analysis for investors.</w:t>
      </w:r>
    </w:p>
    <w:p w14:paraId="512838F4" w14:textId="77777777" w:rsidR="00E434E7" w:rsidRDefault="00E434E7" w:rsidP="00E434E7">
      <w:pPr>
        <w:pStyle w:val="NormalWeb"/>
        <w:numPr>
          <w:ilvl w:val="0"/>
          <w:numId w:val="32"/>
        </w:numPr>
      </w:pPr>
      <w:r>
        <w:t>Reviewing “Other Equity” line items clarified the mechanics of retained earnings, OCI (pension premeasurements, FX translation, hedging), and amalgamation reserves, explaining equity volatility beyond pure profitability.</w:t>
      </w:r>
    </w:p>
    <w:p w14:paraId="0F1DCB1A" w14:textId="77777777" w:rsidR="00E434E7" w:rsidRDefault="00E434E7" w:rsidP="00E434E7">
      <w:pPr>
        <w:pStyle w:val="NormalWeb"/>
        <w:numPr>
          <w:ilvl w:val="0"/>
          <w:numId w:val="32"/>
        </w:numPr>
      </w:pPr>
      <w:r>
        <w:t>Linking CSR and ESG initiatives to the balance sheet demonstrated that sustainability projects (green steel, energy efficiency) aren’t just narrative—they manifest as capex, restructuring costs, and long-term margin impacts.</w:t>
      </w:r>
    </w:p>
    <w:p w14:paraId="05054B7D" w14:textId="77777777" w:rsidR="00E434E7" w:rsidRDefault="00E434E7" w:rsidP="00E434E7">
      <w:pPr>
        <w:pStyle w:val="NormalWeb"/>
      </w:pPr>
      <w:r>
        <w:t xml:space="preserve">Certainly, Mahek! Here's a well-structured conclusion with </w:t>
      </w:r>
      <w:r>
        <w:rPr>
          <w:rStyle w:val="Strong"/>
        </w:rPr>
        <w:t>five key takeaways</w:t>
      </w:r>
      <w:r>
        <w:t xml:space="preserve"> from your project, aligned with academic and professional expectations:</w:t>
      </w:r>
    </w:p>
    <w:p w14:paraId="372D9FE0" w14:textId="77777777" w:rsidR="00E434E7" w:rsidRDefault="00000000" w:rsidP="00E434E7">
      <w:r>
        <w:pict w14:anchorId="0FE5E04F">
          <v:rect id="_x0000_i1055" style="width:0;height:1.5pt" o:hralign="center" o:hrstd="t" o:hr="t" fillcolor="#a0a0a0" stroked="f"/>
        </w:pict>
      </w:r>
    </w:p>
    <w:p w14:paraId="6C5B2751" w14:textId="77777777" w:rsidR="00E434E7" w:rsidRDefault="00E434E7" w:rsidP="00E434E7">
      <w:pPr>
        <w:pStyle w:val="Heading2"/>
      </w:pPr>
      <w:r>
        <w:rPr>
          <w:rFonts w:ascii="Segoe UI Symbol" w:hAnsi="Segoe UI Symbol" w:cs="Segoe UI Symbol"/>
        </w:rPr>
        <w:t>📘</w:t>
      </w:r>
      <w:r>
        <w:t xml:space="preserve"> </w:t>
      </w:r>
      <w:r>
        <w:rPr>
          <w:rStyle w:val="Strong"/>
          <w:b w:val="0"/>
          <w:bCs w:val="0"/>
        </w:rPr>
        <w:t xml:space="preserve">Part 3: Conclusion (10% </w:t>
      </w:r>
      <w:proofErr w:type="gramStart"/>
      <w:r>
        <w:rPr>
          <w:rStyle w:val="Strong"/>
          <w:b w:val="0"/>
          <w:bCs w:val="0"/>
        </w:rPr>
        <w:t>Weight)s</w:t>
      </w:r>
      <w:proofErr w:type="gramEnd"/>
      <w:r>
        <w:rPr>
          <w:rStyle w:val="Strong"/>
          <w:b w:val="0"/>
          <w:bCs w:val="0"/>
        </w:rPr>
        <w:t xml:space="preserve"> </w:t>
      </w:r>
      <w:r w:rsidRPr="00640A00">
        <w:rPr>
          <w:rStyle w:val="IntenseEmphasis"/>
          <w:color w:val="auto"/>
          <w:sz w:val="22"/>
        </w:rPr>
        <w:t>{Quick}</w:t>
      </w:r>
    </w:p>
    <w:p w14:paraId="0000518E" w14:textId="77777777" w:rsidR="00E434E7" w:rsidRDefault="00E434E7" w:rsidP="00E434E7">
      <w:pPr>
        <w:pStyle w:val="Heading3"/>
      </w:pPr>
      <w:r>
        <w:rPr>
          <w:rFonts w:ascii="Segoe UI Symbol" w:hAnsi="Segoe UI Symbol" w:cs="Segoe UI Symbol"/>
        </w:rPr>
        <w:t>🔑</w:t>
      </w:r>
      <w:r>
        <w:t xml:space="preserve"> </w:t>
      </w:r>
      <w:r>
        <w:rPr>
          <w:rStyle w:val="Strong"/>
          <w:b w:val="0"/>
          <w:bCs w:val="0"/>
        </w:rPr>
        <w:t>Key Takeaways from the Project</w:t>
      </w:r>
    </w:p>
    <w:p w14:paraId="27456345" w14:textId="77777777" w:rsidR="00E434E7" w:rsidRDefault="00E434E7" w:rsidP="00E434E7">
      <w:pPr>
        <w:pStyle w:val="NormalWeb"/>
        <w:numPr>
          <w:ilvl w:val="0"/>
          <w:numId w:val="33"/>
        </w:numPr>
      </w:pPr>
      <w:r>
        <w:rPr>
          <w:rStyle w:val="Strong"/>
        </w:rPr>
        <w:t>Understanding Annual Reports</w:t>
      </w:r>
      <w:r>
        <w:br/>
        <w:t>I learned how to systematically read and interpret Tata Steel’s annual report, including the Management Discussion &amp; Analysis, financial statements, and Notes to Accounts. This helped me connect strategic decisions with financial outcomes and identify hidden risks or one-time adjustments.</w:t>
      </w:r>
    </w:p>
    <w:p w14:paraId="2BFE07C4" w14:textId="77777777" w:rsidR="00E434E7" w:rsidRDefault="00E434E7" w:rsidP="00E434E7">
      <w:pPr>
        <w:pStyle w:val="NormalWeb"/>
        <w:numPr>
          <w:ilvl w:val="0"/>
          <w:numId w:val="33"/>
        </w:numPr>
      </w:pPr>
      <w:r>
        <w:rPr>
          <w:rStyle w:val="Strong"/>
        </w:rPr>
        <w:t>Interpreting Financial Ratios Over Time</w:t>
      </w:r>
      <w:r>
        <w:br/>
        <w:t>Analyzing profitability, solvency, and valuation ratios across three years taught me that trends matter more than isolated figures. For example, a negative ROE or P/E in one year may reflect temporary losses rather than long-term weakness.</w:t>
      </w:r>
    </w:p>
    <w:p w14:paraId="4B7CA638" w14:textId="77777777" w:rsidR="00E434E7" w:rsidRDefault="00E434E7" w:rsidP="00E434E7">
      <w:pPr>
        <w:pStyle w:val="NormalWeb"/>
        <w:numPr>
          <w:ilvl w:val="0"/>
          <w:numId w:val="33"/>
        </w:numPr>
      </w:pPr>
      <w:r>
        <w:rPr>
          <w:rStyle w:val="Strong"/>
        </w:rPr>
        <w:t>Subsidiary Mapping and Ownership Control</w:t>
      </w:r>
      <w:r>
        <w:br/>
        <w:t>I discovered how Tata Steel’s domestic and international subsidiaries contribute differently to its financial performance. Understanding majority vs. full ownership and the role of Non-Controlling Interests (NCI) clarified how profits and equity are attributed in consolidated statements.</w:t>
      </w:r>
    </w:p>
    <w:p w14:paraId="08019F25" w14:textId="77777777" w:rsidR="00E434E7" w:rsidRDefault="00E434E7" w:rsidP="00E434E7">
      <w:pPr>
        <w:pStyle w:val="NormalWeb"/>
        <w:numPr>
          <w:ilvl w:val="0"/>
          <w:numId w:val="33"/>
        </w:numPr>
      </w:pPr>
      <w:r>
        <w:rPr>
          <w:rStyle w:val="Strong"/>
        </w:rPr>
        <w:t>Balance Sheet and Equity Insights</w:t>
      </w:r>
      <w:r>
        <w:br/>
        <w:t>Reviewing the consolidated balance sheet helped me understand how retained earnings, OCI (Other Comprehensive Income), and amalgamation reserves affect “Other Equity.” I also saw how debt levels and interest coverage ratios reflect the company’s financial health and strategic choices.</w:t>
      </w:r>
    </w:p>
    <w:p w14:paraId="4142F807" w14:textId="77777777" w:rsidR="00E434E7" w:rsidRDefault="00E434E7" w:rsidP="00E434E7">
      <w:pPr>
        <w:pStyle w:val="NormalWeb"/>
        <w:numPr>
          <w:ilvl w:val="0"/>
          <w:numId w:val="33"/>
        </w:numPr>
      </w:pPr>
      <w:r>
        <w:rPr>
          <w:rStyle w:val="Strong"/>
        </w:rPr>
        <w:t>Linking CSR and ESG to Financials</w:t>
      </w:r>
      <w:r>
        <w:br/>
        <w:t>I realized that Tata Steel’s sustainability initiatives—like green steel and energy efficiency—aren’t just social commitments. They directly impact capital expenditure, profitability, and long-term valuation, making ESG a financial as well as ethical consideration.</w:t>
      </w:r>
    </w:p>
    <w:p w14:paraId="5B53826C" w14:textId="224D118C" w:rsidR="00E434E7" w:rsidRDefault="00000000" w:rsidP="00E434E7">
      <w:r>
        <w:pict w14:anchorId="00DAE41C">
          <v:rect id="_x0000_i1059" style="width:0;height:1.5pt" o:hralign="center" o:bullet="t" o:hrstd="t" o:hr="t" fillcolor="#a0a0a0" stroked="f"/>
        </w:pict>
      </w:r>
    </w:p>
    <w:p w14:paraId="7DAB90B3" w14:textId="77777777" w:rsidR="005772AF" w:rsidRDefault="005772AF" w:rsidP="00E434E7"/>
    <w:p w14:paraId="3896DCB7" w14:textId="1E51EE24" w:rsidR="005772AF" w:rsidRDefault="005772AF">
      <w:r>
        <w:br w:type="page"/>
      </w:r>
    </w:p>
    <w:p w14:paraId="56B262E3" w14:textId="78A58655" w:rsidR="005772AF" w:rsidRPr="005772AF" w:rsidRDefault="005772AF" w:rsidP="005772AF">
      <w:pPr>
        <w:pStyle w:val="Heading3"/>
        <w:rPr>
          <w:rFonts w:ascii="Cooper Black" w:hAnsi="Cooper Black"/>
          <w:b/>
          <w:bCs/>
          <w:lang w:val="en-IN"/>
        </w:rPr>
      </w:pPr>
      <w:r w:rsidRPr="005772AF">
        <w:rPr>
          <w:rFonts w:ascii="Cooper Black" w:hAnsi="Cooper Black" w:cs="Segoe UI Symbol"/>
        </w:rPr>
        <w:lastRenderedPageBreak/>
        <w:t>Key Takeaways from the Project</w:t>
      </w:r>
      <w:r>
        <w:rPr>
          <w:rFonts w:ascii="Cooper Black" w:hAnsi="Cooper Black" w:cs="Segoe UI Symbol"/>
        </w:rPr>
        <w:t xml:space="preserve"> </w:t>
      </w:r>
      <w:r w:rsidRPr="005772AF">
        <w:rPr>
          <w:rStyle w:val="IntenseEmphasis"/>
          <w:color w:val="auto"/>
          <w:sz w:val="22"/>
          <w:szCs w:val="26"/>
        </w:rPr>
        <w:t>(Deep)</w:t>
      </w:r>
    </w:p>
    <w:p w14:paraId="14889501" w14:textId="77777777" w:rsidR="005772AF" w:rsidRPr="005772AF" w:rsidRDefault="005772AF" w:rsidP="005772AF">
      <w:pPr>
        <w:numPr>
          <w:ilvl w:val="0"/>
          <w:numId w:val="41"/>
        </w:numPr>
        <w:rPr>
          <w:lang w:val="en-IN"/>
        </w:rPr>
      </w:pPr>
      <w:r w:rsidRPr="005772AF">
        <w:rPr>
          <w:b/>
          <w:bCs/>
          <w:lang w:val="en-IN"/>
        </w:rPr>
        <w:t>Hands-on Experience with Annual Reports</w:t>
      </w:r>
    </w:p>
    <w:p w14:paraId="56C9087A" w14:textId="77777777" w:rsidR="005772AF" w:rsidRPr="005772AF" w:rsidRDefault="005772AF" w:rsidP="005772AF">
      <w:pPr>
        <w:numPr>
          <w:ilvl w:val="1"/>
          <w:numId w:val="41"/>
        </w:numPr>
        <w:rPr>
          <w:lang w:val="en-IN"/>
        </w:rPr>
      </w:pPr>
      <w:r w:rsidRPr="005772AF">
        <w:rPr>
          <w:lang w:val="en-IN"/>
        </w:rPr>
        <w:t>I learned how to read and interpret an annual report beyond just the profit numbers. The management discussion, notes to accounts, and segment reports provided a deeper understanding of the company’s operations and subsidiaries.</w:t>
      </w:r>
    </w:p>
    <w:p w14:paraId="7957043D" w14:textId="77777777" w:rsidR="005772AF" w:rsidRPr="005772AF" w:rsidRDefault="005772AF" w:rsidP="005772AF">
      <w:pPr>
        <w:numPr>
          <w:ilvl w:val="0"/>
          <w:numId w:val="41"/>
        </w:numPr>
        <w:rPr>
          <w:lang w:val="en-IN"/>
        </w:rPr>
      </w:pPr>
      <w:r w:rsidRPr="005772AF">
        <w:rPr>
          <w:b/>
          <w:bCs/>
          <w:lang w:val="en-IN"/>
        </w:rPr>
        <w:t>Understanding Financial Ratios &amp; Their Relevance</w:t>
      </w:r>
    </w:p>
    <w:p w14:paraId="1A4A82C9" w14:textId="77777777" w:rsidR="005772AF" w:rsidRPr="005772AF" w:rsidRDefault="005772AF" w:rsidP="005772AF">
      <w:pPr>
        <w:numPr>
          <w:ilvl w:val="1"/>
          <w:numId w:val="41"/>
        </w:numPr>
        <w:rPr>
          <w:lang w:val="en-IN"/>
        </w:rPr>
      </w:pPr>
      <w:r w:rsidRPr="005772AF">
        <w:rPr>
          <w:lang w:val="en-IN"/>
        </w:rPr>
        <w:t xml:space="preserve">By </w:t>
      </w:r>
      <w:proofErr w:type="spellStart"/>
      <w:r w:rsidRPr="005772AF">
        <w:rPr>
          <w:lang w:val="en-IN"/>
        </w:rPr>
        <w:t>analyzing</w:t>
      </w:r>
      <w:proofErr w:type="spellEnd"/>
      <w:r w:rsidRPr="005772AF">
        <w:rPr>
          <w:lang w:val="en-IN"/>
        </w:rPr>
        <w:t xml:space="preserve"> ratios such as PAT margin, debt-equity, and return on equity, I realized how these numbers highlight the difference between standalone and consolidated performance. This exercise showed me the importance of ratios in assessing financial health.</w:t>
      </w:r>
    </w:p>
    <w:p w14:paraId="37881EC7" w14:textId="77777777" w:rsidR="005772AF" w:rsidRPr="005772AF" w:rsidRDefault="005772AF" w:rsidP="005772AF">
      <w:pPr>
        <w:numPr>
          <w:ilvl w:val="0"/>
          <w:numId w:val="41"/>
        </w:numPr>
        <w:rPr>
          <w:lang w:val="en-IN"/>
        </w:rPr>
      </w:pPr>
      <w:r w:rsidRPr="005772AF">
        <w:rPr>
          <w:b/>
          <w:bCs/>
          <w:lang w:val="en-IN"/>
        </w:rPr>
        <w:t>Reading Notes to Accounts in Detail</w:t>
      </w:r>
    </w:p>
    <w:p w14:paraId="7C119640" w14:textId="77777777" w:rsidR="005772AF" w:rsidRPr="005772AF" w:rsidRDefault="005772AF" w:rsidP="005772AF">
      <w:pPr>
        <w:numPr>
          <w:ilvl w:val="1"/>
          <w:numId w:val="41"/>
        </w:numPr>
        <w:rPr>
          <w:lang w:val="en-IN"/>
        </w:rPr>
      </w:pPr>
      <w:r w:rsidRPr="005772AF">
        <w:rPr>
          <w:lang w:val="en-IN"/>
        </w:rPr>
        <w:t>Notes to accounts helped me understand hidden details like reserves, contingent liabilities, and adjustments due to mergers. Earlier, I used to focus only on the main statements, but now I know that the notes are equally critical for interpretation.</w:t>
      </w:r>
    </w:p>
    <w:p w14:paraId="49BE0CE9" w14:textId="77777777" w:rsidR="005772AF" w:rsidRPr="005772AF" w:rsidRDefault="005772AF" w:rsidP="005772AF">
      <w:pPr>
        <w:numPr>
          <w:ilvl w:val="0"/>
          <w:numId w:val="41"/>
        </w:numPr>
        <w:rPr>
          <w:lang w:val="en-IN"/>
        </w:rPr>
      </w:pPr>
      <w:r w:rsidRPr="005772AF">
        <w:rPr>
          <w:b/>
          <w:bCs/>
          <w:lang w:val="en-IN"/>
        </w:rPr>
        <w:t>Balance Sheet &amp; Equity Insights</w:t>
      </w:r>
    </w:p>
    <w:p w14:paraId="1B0223A2" w14:textId="77777777" w:rsidR="005772AF" w:rsidRPr="005772AF" w:rsidRDefault="005772AF" w:rsidP="005772AF">
      <w:pPr>
        <w:numPr>
          <w:ilvl w:val="1"/>
          <w:numId w:val="41"/>
        </w:numPr>
        <w:rPr>
          <w:lang w:val="en-IN"/>
        </w:rPr>
      </w:pPr>
      <w:r w:rsidRPr="005772AF">
        <w:rPr>
          <w:lang w:val="en-IN"/>
        </w:rPr>
        <w:t>Working on the consolidated balance sheet taught me the importance of reserves, other equity components, and non-controlling interest (NCI). I understood how subsidiaries impact the parent’s financials and how group consolidation works in practice.</w:t>
      </w:r>
    </w:p>
    <w:p w14:paraId="3C1DC14A" w14:textId="77777777" w:rsidR="005772AF" w:rsidRPr="005772AF" w:rsidRDefault="005772AF" w:rsidP="005772AF">
      <w:pPr>
        <w:numPr>
          <w:ilvl w:val="0"/>
          <w:numId w:val="41"/>
        </w:numPr>
        <w:rPr>
          <w:lang w:val="en-IN"/>
        </w:rPr>
      </w:pPr>
      <w:r w:rsidRPr="005772AF">
        <w:rPr>
          <w:b/>
          <w:bCs/>
          <w:lang w:val="en-IN"/>
        </w:rPr>
        <w:t>Subsidiaries and Proportionate Control</w:t>
      </w:r>
    </w:p>
    <w:p w14:paraId="5F3E11DF" w14:textId="0456C145" w:rsidR="005772AF" w:rsidRPr="005772AF" w:rsidRDefault="005772AF" w:rsidP="005772AF">
      <w:pPr>
        <w:numPr>
          <w:ilvl w:val="1"/>
          <w:numId w:val="41"/>
        </w:numPr>
        <w:rPr>
          <w:lang w:val="en-IN"/>
        </w:rPr>
      </w:pPr>
      <w:r w:rsidRPr="005772AF">
        <w:rPr>
          <w:lang w:val="en-IN"/>
        </w:rPr>
        <w:t>One of the most valuable learnings was identifying subsidiaries and their effect on the parent’s performance. I realized that while some subsidiaries positively contribute through profits and reserves, others (like overseas units) may dilute overall profitability. Understanding NCI gave me insight into how profits are split between the parent and minority shareholders.</w:t>
      </w:r>
    </w:p>
    <w:p w14:paraId="20815EE0" w14:textId="77777777" w:rsidR="005772AF" w:rsidRPr="005772AF" w:rsidRDefault="005772AF" w:rsidP="005772AF">
      <w:pPr>
        <w:numPr>
          <w:ilvl w:val="0"/>
          <w:numId w:val="42"/>
        </w:numPr>
        <w:rPr>
          <w:lang w:val="en-IN"/>
        </w:rPr>
      </w:pPr>
      <w:r w:rsidRPr="005772AF">
        <w:rPr>
          <w:b/>
          <w:bCs/>
          <w:lang w:val="en-IN"/>
        </w:rPr>
        <w:t>Impact of Exceptional Items</w:t>
      </w:r>
    </w:p>
    <w:p w14:paraId="1E218694" w14:textId="77777777" w:rsidR="005772AF" w:rsidRPr="005772AF" w:rsidRDefault="005772AF" w:rsidP="005772AF">
      <w:pPr>
        <w:numPr>
          <w:ilvl w:val="1"/>
          <w:numId w:val="42"/>
        </w:numPr>
        <w:rPr>
          <w:lang w:val="en-IN"/>
        </w:rPr>
      </w:pPr>
      <w:r w:rsidRPr="005772AF">
        <w:rPr>
          <w:lang w:val="en-IN"/>
        </w:rPr>
        <w:t>I understood how one-time charges (like impairments, restructuring costs, or provisions) can drastically change the net profit and why analysts often look at “profit before exceptional items” to judge performance.</w:t>
      </w:r>
    </w:p>
    <w:p w14:paraId="07348F05" w14:textId="77777777" w:rsidR="005772AF" w:rsidRPr="005772AF" w:rsidRDefault="005772AF" w:rsidP="005772AF">
      <w:pPr>
        <w:numPr>
          <w:ilvl w:val="0"/>
          <w:numId w:val="42"/>
        </w:numPr>
        <w:rPr>
          <w:lang w:val="en-IN"/>
        </w:rPr>
      </w:pPr>
      <w:r w:rsidRPr="005772AF">
        <w:rPr>
          <w:b/>
          <w:bCs/>
          <w:lang w:val="en-IN"/>
        </w:rPr>
        <w:t>Standalone vs Consolidated View</w:t>
      </w:r>
    </w:p>
    <w:p w14:paraId="065F6F96" w14:textId="77777777" w:rsidR="005772AF" w:rsidRPr="005772AF" w:rsidRDefault="005772AF" w:rsidP="005772AF">
      <w:pPr>
        <w:numPr>
          <w:ilvl w:val="1"/>
          <w:numId w:val="42"/>
        </w:numPr>
        <w:rPr>
          <w:lang w:val="en-IN"/>
        </w:rPr>
      </w:pPr>
      <w:r w:rsidRPr="005772AF">
        <w:rPr>
          <w:lang w:val="en-IN"/>
        </w:rPr>
        <w:t>I realized that standalone financials sometimes paint an overly positive picture of profitability, while consolidated accounts give the real group performance. This taught me why investors and regulators rely more on consolidated numbers.</w:t>
      </w:r>
    </w:p>
    <w:p w14:paraId="16488CE2" w14:textId="77777777" w:rsidR="005772AF" w:rsidRPr="005772AF" w:rsidRDefault="005772AF" w:rsidP="005772AF">
      <w:pPr>
        <w:numPr>
          <w:ilvl w:val="0"/>
          <w:numId w:val="42"/>
        </w:numPr>
        <w:rPr>
          <w:lang w:val="en-IN"/>
        </w:rPr>
      </w:pPr>
      <w:r w:rsidRPr="005772AF">
        <w:rPr>
          <w:b/>
          <w:bCs/>
          <w:lang w:val="en-IN"/>
        </w:rPr>
        <w:t>Revenue Diversification &amp; Geographic Risk</w:t>
      </w:r>
    </w:p>
    <w:p w14:paraId="78518733" w14:textId="77777777" w:rsidR="005772AF" w:rsidRPr="005772AF" w:rsidRDefault="005772AF" w:rsidP="005772AF">
      <w:pPr>
        <w:numPr>
          <w:ilvl w:val="1"/>
          <w:numId w:val="42"/>
        </w:numPr>
        <w:rPr>
          <w:lang w:val="en-IN"/>
        </w:rPr>
      </w:pPr>
      <w:r w:rsidRPr="005772AF">
        <w:rPr>
          <w:lang w:val="en-IN"/>
        </w:rPr>
        <w:t>By studying segment-wise and regional revenue splits, I learned how dependence on international subsidiaries exposes the company to risks like global steel prices, currency fluctuations, and foreign competition.</w:t>
      </w:r>
    </w:p>
    <w:p w14:paraId="6ABCAC35" w14:textId="77777777" w:rsidR="005772AF" w:rsidRPr="005772AF" w:rsidRDefault="005772AF" w:rsidP="005772AF">
      <w:pPr>
        <w:numPr>
          <w:ilvl w:val="0"/>
          <w:numId w:val="42"/>
        </w:numPr>
        <w:rPr>
          <w:lang w:val="en-IN"/>
        </w:rPr>
      </w:pPr>
      <w:r w:rsidRPr="005772AF">
        <w:rPr>
          <w:b/>
          <w:bCs/>
          <w:lang w:val="en-IN"/>
        </w:rPr>
        <w:t>Importance of Equity Components</w:t>
      </w:r>
    </w:p>
    <w:p w14:paraId="632750AF" w14:textId="77777777" w:rsidR="005772AF" w:rsidRPr="005772AF" w:rsidRDefault="005772AF" w:rsidP="005772AF">
      <w:pPr>
        <w:numPr>
          <w:ilvl w:val="1"/>
          <w:numId w:val="42"/>
        </w:numPr>
        <w:rPr>
          <w:lang w:val="en-IN"/>
        </w:rPr>
      </w:pPr>
      <w:r w:rsidRPr="005772AF">
        <w:rPr>
          <w:lang w:val="en-IN"/>
        </w:rPr>
        <w:t>Through reserves and other equity analysis, I gained clarity on terms like “securities premium,” “debenture redemption reserve,” “capital reserve,” and how these are built over time to strengthen the financial position.</w:t>
      </w:r>
    </w:p>
    <w:p w14:paraId="764F24D5" w14:textId="77777777" w:rsidR="005772AF" w:rsidRPr="005772AF" w:rsidRDefault="005772AF" w:rsidP="005772AF">
      <w:pPr>
        <w:numPr>
          <w:ilvl w:val="0"/>
          <w:numId w:val="42"/>
        </w:numPr>
        <w:rPr>
          <w:lang w:val="en-IN"/>
        </w:rPr>
      </w:pPr>
      <w:r w:rsidRPr="005772AF">
        <w:rPr>
          <w:b/>
          <w:bCs/>
          <w:lang w:val="en-IN"/>
        </w:rPr>
        <w:t>Learning to Interpret NCI (Non-Controlling Interest)</w:t>
      </w:r>
    </w:p>
    <w:p w14:paraId="554508B9" w14:textId="77777777" w:rsidR="005772AF" w:rsidRPr="005772AF" w:rsidRDefault="005772AF" w:rsidP="005772AF">
      <w:pPr>
        <w:numPr>
          <w:ilvl w:val="1"/>
          <w:numId w:val="46"/>
        </w:numPr>
        <w:rPr>
          <w:lang w:val="en-IN"/>
        </w:rPr>
      </w:pPr>
      <w:r w:rsidRPr="005772AF">
        <w:rPr>
          <w:lang w:val="en-IN"/>
        </w:rPr>
        <w:t>Earlier, I only considered the parent company’s profits, but this project helped me understand how profits must also be shared with minority shareholders of subsidiaries, affecting the final profit attributable to owners.</w:t>
      </w:r>
    </w:p>
    <w:p w14:paraId="546C7919" w14:textId="77777777" w:rsidR="005772AF" w:rsidRPr="005772AF" w:rsidRDefault="005772AF" w:rsidP="005772AF">
      <w:pPr>
        <w:numPr>
          <w:ilvl w:val="0"/>
          <w:numId w:val="44"/>
        </w:numPr>
        <w:rPr>
          <w:lang w:val="en-IN"/>
        </w:rPr>
      </w:pPr>
      <w:r w:rsidRPr="005772AF">
        <w:rPr>
          <w:b/>
          <w:bCs/>
          <w:lang w:val="en-IN"/>
        </w:rPr>
        <w:t>Practical Skill in Financial Analysis</w:t>
      </w:r>
    </w:p>
    <w:p w14:paraId="606E9064" w14:textId="77777777" w:rsidR="005772AF" w:rsidRPr="005772AF" w:rsidRDefault="005772AF" w:rsidP="005772AF">
      <w:pPr>
        <w:numPr>
          <w:ilvl w:val="1"/>
          <w:numId w:val="46"/>
        </w:numPr>
        <w:rPr>
          <w:lang w:val="en-IN"/>
        </w:rPr>
      </w:pPr>
      <w:r w:rsidRPr="005772AF">
        <w:rPr>
          <w:lang w:val="en-IN"/>
        </w:rPr>
        <w:t>Beyond theory, I developed the practical skill of extracting data from long reports, comparing year-on-year changes, and converting them into meaningful insights — a process I hadn’t practiced before this project.</w:t>
      </w:r>
    </w:p>
    <w:p w14:paraId="48299FA3" w14:textId="77777777" w:rsidR="005772AF" w:rsidRPr="00CA0591" w:rsidRDefault="005772AF" w:rsidP="00E434E7"/>
    <w:p w14:paraId="4B3E1291" w14:textId="77777777" w:rsidR="005772AF" w:rsidRPr="005772AF" w:rsidRDefault="005772AF" w:rsidP="005772AF">
      <w:pPr>
        <w:rPr>
          <w:lang w:val="en-IN"/>
        </w:rPr>
      </w:pPr>
      <w:r w:rsidRPr="005772AF">
        <w:rPr>
          <w:lang w:val="en-IN"/>
        </w:rPr>
        <w:pict w14:anchorId="39E61846">
          <v:rect id="_x0000_i1087" style="width:0;height:1.5pt" o:hralign="center" o:hrstd="t" o:hr="t" fillcolor="#a0a0a0" stroked="f"/>
        </w:pict>
      </w:r>
    </w:p>
    <w:p w14:paraId="275B160D" w14:textId="77777777" w:rsidR="005772AF" w:rsidRPr="005772AF" w:rsidRDefault="005772AF" w:rsidP="005772AF">
      <w:pPr>
        <w:rPr>
          <w:lang w:val="en-IN"/>
        </w:rPr>
      </w:pPr>
      <w:r w:rsidRPr="005772AF">
        <w:rPr>
          <w:rFonts w:ascii="Segoe UI Emoji" w:hAnsi="Segoe UI Emoji" w:cs="Segoe UI Emoji"/>
          <w:lang w:val="en-IN"/>
        </w:rPr>
        <w:t>✨</w:t>
      </w:r>
      <w:r w:rsidRPr="005772AF">
        <w:rPr>
          <w:lang w:val="en-IN"/>
        </w:rPr>
        <w:t xml:space="preserve"> </w:t>
      </w:r>
      <w:r w:rsidRPr="005772AF">
        <w:rPr>
          <w:b/>
          <w:bCs/>
          <w:lang w:val="en-IN"/>
        </w:rPr>
        <w:t>Overall Learning:</w:t>
      </w:r>
      <w:r w:rsidRPr="005772AF">
        <w:rPr>
          <w:lang w:val="en-IN"/>
        </w:rPr>
        <w:br/>
        <w:t xml:space="preserve">This project improved my ability to critically </w:t>
      </w:r>
      <w:proofErr w:type="spellStart"/>
      <w:r w:rsidRPr="005772AF">
        <w:rPr>
          <w:lang w:val="en-IN"/>
        </w:rPr>
        <w:t>analyze</w:t>
      </w:r>
      <w:proofErr w:type="spellEnd"/>
      <w:r w:rsidRPr="005772AF">
        <w:rPr>
          <w:lang w:val="en-IN"/>
        </w:rPr>
        <w:t xml:space="preserve"> financial statements instead of just reading headline profit figures. It also gave me confidence in interpreting consolidated vs standalone numbers, which is essential for real-world corporate and investment analysis.</w:t>
      </w:r>
    </w:p>
    <w:p w14:paraId="6EA73F0D" w14:textId="38039D8E" w:rsidR="000116E9" w:rsidRPr="00E434E7" w:rsidRDefault="000116E9" w:rsidP="00E434E7"/>
    <w:sectPr w:rsidR="000116E9" w:rsidRPr="00E434E7" w:rsidSect="00DF5721">
      <w:type w:val="continuous"/>
      <w:pgSz w:w="11910" w:h="16840"/>
      <w:pgMar w:top="1360" w:right="1700" w:bottom="280" w:left="1133"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C0C31" w14:textId="77777777" w:rsidR="008E3CD0" w:rsidRPr="004A5B8E" w:rsidRDefault="008E3CD0" w:rsidP="00ED01EE">
      <w:r w:rsidRPr="004A5B8E">
        <w:separator/>
      </w:r>
    </w:p>
  </w:endnote>
  <w:endnote w:type="continuationSeparator" w:id="0">
    <w:p w14:paraId="14136B80" w14:textId="77777777" w:rsidR="008E3CD0" w:rsidRPr="004A5B8E" w:rsidRDefault="008E3CD0" w:rsidP="00ED01EE">
      <w:r w:rsidRPr="004A5B8E">
        <w:continuationSeparator/>
      </w:r>
    </w:p>
  </w:endnote>
  <w:endnote w:type="continuationNotice" w:id="1">
    <w:p w14:paraId="21CC6D14" w14:textId="77777777" w:rsidR="008E3CD0" w:rsidRPr="004A5B8E" w:rsidRDefault="008E3CD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Print">
    <w:panose1 w:val="02000600000000000000"/>
    <w:charset w:val="00"/>
    <w:family w:val="auto"/>
    <w:pitch w:val="variable"/>
    <w:sig w:usb0="0000028F" w:usb1="00000000" w:usb2="00000000" w:usb3="00000000" w:csb0="0000009F" w:csb1="00000000"/>
  </w:font>
  <w:font w:name="Cooper Black">
    <w:panose1 w:val="0208090404030B0204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MV Boli">
    <w:panose1 w:val="02000500030200090000"/>
    <w:charset w:val="00"/>
    <w:family w:val="auto"/>
    <w:pitch w:val="variable"/>
    <w:sig w:usb0="00000003" w:usb1="00000000" w:usb2="00000100" w:usb3="00000000" w:csb0="00000001"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63A63" w14:textId="77777777" w:rsidR="008E3CD0" w:rsidRPr="004A5B8E" w:rsidRDefault="008E3CD0" w:rsidP="00ED01EE">
      <w:r w:rsidRPr="004A5B8E">
        <w:separator/>
      </w:r>
    </w:p>
  </w:footnote>
  <w:footnote w:type="continuationSeparator" w:id="0">
    <w:p w14:paraId="31B32590" w14:textId="77777777" w:rsidR="008E3CD0" w:rsidRPr="004A5B8E" w:rsidRDefault="008E3CD0" w:rsidP="00ED01EE">
      <w:r w:rsidRPr="004A5B8E">
        <w:continuationSeparator/>
      </w:r>
    </w:p>
  </w:footnote>
  <w:footnote w:type="continuationNotice" w:id="1">
    <w:p w14:paraId="75B3AEE8" w14:textId="77777777" w:rsidR="008E3CD0" w:rsidRPr="004A5B8E" w:rsidRDefault="008E3CD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56" style="width:0;height:1.5pt" o:hralign="center" o:bullet="t" o:hrstd="t" o:hr="t" fillcolor="#a0a0a0" stroked="f"/>
    </w:pict>
  </w:numPicBullet>
  <w:abstractNum w:abstractNumId="0" w15:restartNumberingAfterBreak="0">
    <w:nsid w:val="05431B35"/>
    <w:multiLevelType w:val="multilevel"/>
    <w:tmpl w:val="F8627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B4BC7"/>
    <w:multiLevelType w:val="multilevel"/>
    <w:tmpl w:val="C8AC1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56418"/>
    <w:multiLevelType w:val="multilevel"/>
    <w:tmpl w:val="85160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E82973"/>
    <w:multiLevelType w:val="multilevel"/>
    <w:tmpl w:val="D4705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EC579F"/>
    <w:multiLevelType w:val="multilevel"/>
    <w:tmpl w:val="6CBE1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754167"/>
    <w:multiLevelType w:val="multilevel"/>
    <w:tmpl w:val="9AC6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CC298C"/>
    <w:multiLevelType w:val="multilevel"/>
    <w:tmpl w:val="312E1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F97154"/>
    <w:multiLevelType w:val="multilevel"/>
    <w:tmpl w:val="EEE0C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7200A1"/>
    <w:multiLevelType w:val="multilevel"/>
    <w:tmpl w:val="81145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841C90"/>
    <w:multiLevelType w:val="multilevel"/>
    <w:tmpl w:val="ED94C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7E0B9D"/>
    <w:multiLevelType w:val="multilevel"/>
    <w:tmpl w:val="7EB4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8E727F"/>
    <w:multiLevelType w:val="multilevel"/>
    <w:tmpl w:val="6F046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864AF7"/>
    <w:multiLevelType w:val="multilevel"/>
    <w:tmpl w:val="3DB82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2176A1"/>
    <w:multiLevelType w:val="multilevel"/>
    <w:tmpl w:val="7CA09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4F4D80"/>
    <w:multiLevelType w:val="multilevel"/>
    <w:tmpl w:val="E068A97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C144FE"/>
    <w:multiLevelType w:val="multilevel"/>
    <w:tmpl w:val="1DD00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C9619A"/>
    <w:multiLevelType w:val="multilevel"/>
    <w:tmpl w:val="1C4A9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1F4AFF"/>
    <w:multiLevelType w:val="multilevel"/>
    <w:tmpl w:val="DC68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CF69B4"/>
    <w:multiLevelType w:val="multilevel"/>
    <w:tmpl w:val="D110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2E6BB8"/>
    <w:multiLevelType w:val="multilevel"/>
    <w:tmpl w:val="7F9C2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4955BC"/>
    <w:multiLevelType w:val="multilevel"/>
    <w:tmpl w:val="98AEF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4F0547"/>
    <w:multiLevelType w:val="multilevel"/>
    <w:tmpl w:val="437AF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6C4C25"/>
    <w:multiLevelType w:val="hybridMultilevel"/>
    <w:tmpl w:val="F7366CD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0722230"/>
    <w:multiLevelType w:val="multilevel"/>
    <w:tmpl w:val="AA343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76279D"/>
    <w:multiLevelType w:val="multilevel"/>
    <w:tmpl w:val="F1001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4F1B29"/>
    <w:multiLevelType w:val="multilevel"/>
    <w:tmpl w:val="6A8E5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697140"/>
    <w:multiLevelType w:val="hybridMultilevel"/>
    <w:tmpl w:val="FFDC2C20"/>
    <w:lvl w:ilvl="0" w:tplc="2B7ECA38">
      <w:start w:val="1"/>
      <w:numFmt w:val="upperLetter"/>
      <w:lvlText w:val="%1."/>
      <w:lvlJc w:val="left"/>
      <w:pPr>
        <w:ind w:left="317"/>
      </w:pPr>
      <w:rPr>
        <w:rFonts w:ascii="Times New Roman" w:eastAsia="Times New Roman" w:hAnsi="Times New Roman" w:cs="Times New Roman"/>
        <w:b/>
        <w:bCs/>
        <w:i w:val="0"/>
        <w:strike w:val="0"/>
        <w:dstrike w:val="0"/>
        <w:color w:val="1F4E79"/>
        <w:sz w:val="26"/>
        <w:szCs w:val="26"/>
        <w:u w:val="none" w:color="000000"/>
        <w:bdr w:val="none" w:sz="0" w:space="0" w:color="auto"/>
        <w:shd w:val="clear" w:color="auto" w:fill="auto"/>
        <w:vertAlign w:val="baseline"/>
      </w:rPr>
    </w:lvl>
    <w:lvl w:ilvl="1" w:tplc="5FF46B1C">
      <w:start w:val="1"/>
      <w:numFmt w:val="lowerLetter"/>
      <w:lvlText w:val="%2"/>
      <w:lvlJc w:val="left"/>
      <w:pPr>
        <w:ind w:left="1080"/>
      </w:pPr>
      <w:rPr>
        <w:rFonts w:ascii="Times New Roman" w:eastAsia="Times New Roman" w:hAnsi="Times New Roman" w:cs="Times New Roman"/>
        <w:b/>
        <w:bCs/>
        <w:i w:val="0"/>
        <w:strike w:val="0"/>
        <w:dstrike w:val="0"/>
        <w:color w:val="1F4E79"/>
        <w:sz w:val="26"/>
        <w:szCs w:val="26"/>
        <w:u w:val="none" w:color="000000"/>
        <w:bdr w:val="none" w:sz="0" w:space="0" w:color="auto"/>
        <w:shd w:val="clear" w:color="auto" w:fill="auto"/>
        <w:vertAlign w:val="baseline"/>
      </w:rPr>
    </w:lvl>
    <w:lvl w:ilvl="2" w:tplc="760E89F8">
      <w:start w:val="1"/>
      <w:numFmt w:val="lowerRoman"/>
      <w:lvlText w:val="%3"/>
      <w:lvlJc w:val="left"/>
      <w:pPr>
        <w:ind w:left="1800"/>
      </w:pPr>
      <w:rPr>
        <w:rFonts w:ascii="Times New Roman" w:eastAsia="Times New Roman" w:hAnsi="Times New Roman" w:cs="Times New Roman"/>
        <w:b/>
        <w:bCs/>
        <w:i w:val="0"/>
        <w:strike w:val="0"/>
        <w:dstrike w:val="0"/>
        <w:color w:val="1F4E79"/>
        <w:sz w:val="26"/>
        <w:szCs w:val="26"/>
        <w:u w:val="none" w:color="000000"/>
        <w:bdr w:val="none" w:sz="0" w:space="0" w:color="auto"/>
        <w:shd w:val="clear" w:color="auto" w:fill="auto"/>
        <w:vertAlign w:val="baseline"/>
      </w:rPr>
    </w:lvl>
    <w:lvl w:ilvl="3" w:tplc="5FF0D656">
      <w:start w:val="1"/>
      <w:numFmt w:val="decimal"/>
      <w:lvlText w:val="%4"/>
      <w:lvlJc w:val="left"/>
      <w:pPr>
        <w:ind w:left="2520"/>
      </w:pPr>
      <w:rPr>
        <w:rFonts w:ascii="Times New Roman" w:eastAsia="Times New Roman" w:hAnsi="Times New Roman" w:cs="Times New Roman"/>
        <w:b/>
        <w:bCs/>
        <w:i w:val="0"/>
        <w:strike w:val="0"/>
        <w:dstrike w:val="0"/>
        <w:color w:val="1F4E79"/>
        <w:sz w:val="26"/>
        <w:szCs w:val="26"/>
        <w:u w:val="none" w:color="000000"/>
        <w:bdr w:val="none" w:sz="0" w:space="0" w:color="auto"/>
        <w:shd w:val="clear" w:color="auto" w:fill="auto"/>
        <w:vertAlign w:val="baseline"/>
      </w:rPr>
    </w:lvl>
    <w:lvl w:ilvl="4" w:tplc="37180256">
      <w:start w:val="1"/>
      <w:numFmt w:val="lowerLetter"/>
      <w:lvlText w:val="%5"/>
      <w:lvlJc w:val="left"/>
      <w:pPr>
        <w:ind w:left="3240"/>
      </w:pPr>
      <w:rPr>
        <w:rFonts w:ascii="Times New Roman" w:eastAsia="Times New Roman" w:hAnsi="Times New Roman" w:cs="Times New Roman"/>
        <w:b/>
        <w:bCs/>
        <w:i w:val="0"/>
        <w:strike w:val="0"/>
        <w:dstrike w:val="0"/>
        <w:color w:val="1F4E79"/>
        <w:sz w:val="26"/>
        <w:szCs w:val="26"/>
        <w:u w:val="none" w:color="000000"/>
        <w:bdr w:val="none" w:sz="0" w:space="0" w:color="auto"/>
        <w:shd w:val="clear" w:color="auto" w:fill="auto"/>
        <w:vertAlign w:val="baseline"/>
      </w:rPr>
    </w:lvl>
    <w:lvl w:ilvl="5" w:tplc="FD02D180">
      <w:start w:val="1"/>
      <w:numFmt w:val="lowerRoman"/>
      <w:lvlText w:val="%6"/>
      <w:lvlJc w:val="left"/>
      <w:pPr>
        <w:ind w:left="3960"/>
      </w:pPr>
      <w:rPr>
        <w:rFonts w:ascii="Times New Roman" w:eastAsia="Times New Roman" w:hAnsi="Times New Roman" w:cs="Times New Roman"/>
        <w:b/>
        <w:bCs/>
        <w:i w:val="0"/>
        <w:strike w:val="0"/>
        <w:dstrike w:val="0"/>
        <w:color w:val="1F4E79"/>
        <w:sz w:val="26"/>
        <w:szCs w:val="26"/>
        <w:u w:val="none" w:color="000000"/>
        <w:bdr w:val="none" w:sz="0" w:space="0" w:color="auto"/>
        <w:shd w:val="clear" w:color="auto" w:fill="auto"/>
        <w:vertAlign w:val="baseline"/>
      </w:rPr>
    </w:lvl>
    <w:lvl w:ilvl="6" w:tplc="D55EEDC4">
      <w:start w:val="1"/>
      <w:numFmt w:val="decimal"/>
      <w:lvlText w:val="%7"/>
      <w:lvlJc w:val="left"/>
      <w:pPr>
        <w:ind w:left="4680"/>
      </w:pPr>
      <w:rPr>
        <w:rFonts w:ascii="Times New Roman" w:eastAsia="Times New Roman" w:hAnsi="Times New Roman" w:cs="Times New Roman"/>
        <w:b/>
        <w:bCs/>
        <w:i w:val="0"/>
        <w:strike w:val="0"/>
        <w:dstrike w:val="0"/>
        <w:color w:val="1F4E79"/>
        <w:sz w:val="26"/>
        <w:szCs w:val="26"/>
        <w:u w:val="none" w:color="000000"/>
        <w:bdr w:val="none" w:sz="0" w:space="0" w:color="auto"/>
        <w:shd w:val="clear" w:color="auto" w:fill="auto"/>
        <w:vertAlign w:val="baseline"/>
      </w:rPr>
    </w:lvl>
    <w:lvl w:ilvl="7" w:tplc="FCE46F64">
      <w:start w:val="1"/>
      <w:numFmt w:val="lowerLetter"/>
      <w:lvlText w:val="%8"/>
      <w:lvlJc w:val="left"/>
      <w:pPr>
        <w:ind w:left="5400"/>
      </w:pPr>
      <w:rPr>
        <w:rFonts w:ascii="Times New Roman" w:eastAsia="Times New Roman" w:hAnsi="Times New Roman" w:cs="Times New Roman"/>
        <w:b/>
        <w:bCs/>
        <w:i w:val="0"/>
        <w:strike w:val="0"/>
        <w:dstrike w:val="0"/>
        <w:color w:val="1F4E79"/>
        <w:sz w:val="26"/>
        <w:szCs w:val="26"/>
        <w:u w:val="none" w:color="000000"/>
        <w:bdr w:val="none" w:sz="0" w:space="0" w:color="auto"/>
        <w:shd w:val="clear" w:color="auto" w:fill="auto"/>
        <w:vertAlign w:val="baseline"/>
      </w:rPr>
    </w:lvl>
    <w:lvl w:ilvl="8" w:tplc="DCFE7EE6">
      <w:start w:val="1"/>
      <w:numFmt w:val="lowerRoman"/>
      <w:lvlText w:val="%9"/>
      <w:lvlJc w:val="left"/>
      <w:pPr>
        <w:ind w:left="6120"/>
      </w:pPr>
      <w:rPr>
        <w:rFonts w:ascii="Times New Roman" w:eastAsia="Times New Roman" w:hAnsi="Times New Roman" w:cs="Times New Roman"/>
        <w:b/>
        <w:bCs/>
        <w:i w:val="0"/>
        <w:strike w:val="0"/>
        <w:dstrike w:val="0"/>
        <w:color w:val="1F4E79"/>
        <w:sz w:val="26"/>
        <w:szCs w:val="26"/>
        <w:u w:val="none" w:color="000000"/>
        <w:bdr w:val="none" w:sz="0" w:space="0" w:color="auto"/>
        <w:shd w:val="clear" w:color="auto" w:fill="auto"/>
        <w:vertAlign w:val="baseline"/>
      </w:rPr>
    </w:lvl>
  </w:abstractNum>
  <w:abstractNum w:abstractNumId="27" w15:restartNumberingAfterBreak="0">
    <w:nsid w:val="43BE1E95"/>
    <w:multiLevelType w:val="hybridMultilevel"/>
    <w:tmpl w:val="831EA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5807740"/>
    <w:multiLevelType w:val="multilevel"/>
    <w:tmpl w:val="51D23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CA49B3"/>
    <w:multiLevelType w:val="multilevel"/>
    <w:tmpl w:val="52DE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DC0DDC"/>
    <w:multiLevelType w:val="multilevel"/>
    <w:tmpl w:val="29C28006"/>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D844C6"/>
    <w:multiLevelType w:val="multilevel"/>
    <w:tmpl w:val="41F010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A2401D5"/>
    <w:multiLevelType w:val="hybridMultilevel"/>
    <w:tmpl w:val="778A6DF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4D736C5E"/>
    <w:multiLevelType w:val="multilevel"/>
    <w:tmpl w:val="2C1480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2F53F41"/>
    <w:multiLevelType w:val="multilevel"/>
    <w:tmpl w:val="AE6E25C8"/>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6FA6E14"/>
    <w:multiLevelType w:val="multilevel"/>
    <w:tmpl w:val="83A4B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645C04"/>
    <w:multiLevelType w:val="multilevel"/>
    <w:tmpl w:val="AE7C5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876844"/>
    <w:multiLevelType w:val="multilevel"/>
    <w:tmpl w:val="A8D09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1101C4"/>
    <w:multiLevelType w:val="multilevel"/>
    <w:tmpl w:val="BCE05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8A2D7F"/>
    <w:multiLevelType w:val="multilevel"/>
    <w:tmpl w:val="3F9E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BA555E"/>
    <w:multiLevelType w:val="multilevel"/>
    <w:tmpl w:val="71C63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5209F9"/>
    <w:multiLevelType w:val="multilevel"/>
    <w:tmpl w:val="8F5E9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DA0009"/>
    <w:multiLevelType w:val="hybridMultilevel"/>
    <w:tmpl w:val="27DA197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9657820"/>
    <w:multiLevelType w:val="multilevel"/>
    <w:tmpl w:val="87485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F82F8F"/>
    <w:multiLevelType w:val="multilevel"/>
    <w:tmpl w:val="74BA7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342CE7"/>
    <w:multiLevelType w:val="multilevel"/>
    <w:tmpl w:val="853CF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2681270">
    <w:abstractNumId w:val="22"/>
  </w:num>
  <w:num w:numId="2" w16cid:durableId="1904020264">
    <w:abstractNumId w:val="32"/>
  </w:num>
  <w:num w:numId="3" w16cid:durableId="1587689107">
    <w:abstractNumId w:val="42"/>
  </w:num>
  <w:num w:numId="4" w16cid:durableId="1959338716">
    <w:abstractNumId w:val="27"/>
  </w:num>
  <w:num w:numId="5" w16cid:durableId="1454900883">
    <w:abstractNumId w:val="0"/>
  </w:num>
  <w:num w:numId="6" w16cid:durableId="2126271393">
    <w:abstractNumId w:val="8"/>
  </w:num>
  <w:num w:numId="7" w16cid:durableId="298804941">
    <w:abstractNumId w:val="37"/>
  </w:num>
  <w:num w:numId="8" w16cid:durableId="1978103761">
    <w:abstractNumId w:val="7"/>
  </w:num>
  <w:num w:numId="9" w16cid:durableId="903679844">
    <w:abstractNumId w:val="39"/>
  </w:num>
  <w:num w:numId="10" w16cid:durableId="1492863964">
    <w:abstractNumId w:val="45"/>
  </w:num>
  <w:num w:numId="11" w16cid:durableId="1732649793">
    <w:abstractNumId w:val="10"/>
  </w:num>
  <w:num w:numId="12" w16cid:durableId="297490700">
    <w:abstractNumId w:val="18"/>
  </w:num>
  <w:num w:numId="13" w16cid:durableId="2040469105">
    <w:abstractNumId w:val="36"/>
  </w:num>
  <w:num w:numId="14" w16cid:durableId="17633089">
    <w:abstractNumId w:val="4"/>
  </w:num>
  <w:num w:numId="15" w16cid:durableId="1493452976">
    <w:abstractNumId w:val="5"/>
  </w:num>
  <w:num w:numId="16" w16cid:durableId="1876846299">
    <w:abstractNumId w:val="33"/>
  </w:num>
  <w:num w:numId="17" w16cid:durableId="1649557611">
    <w:abstractNumId w:val="25"/>
  </w:num>
  <w:num w:numId="18" w16cid:durableId="2143231335">
    <w:abstractNumId w:val="20"/>
  </w:num>
  <w:num w:numId="19" w16cid:durableId="146015821">
    <w:abstractNumId w:val="17"/>
  </w:num>
  <w:num w:numId="20" w16cid:durableId="1064840958">
    <w:abstractNumId w:val="35"/>
  </w:num>
  <w:num w:numId="21" w16cid:durableId="1016856602">
    <w:abstractNumId w:val="26"/>
  </w:num>
  <w:num w:numId="22" w16cid:durableId="1969192616">
    <w:abstractNumId w:val="12"/>
  </w:num>
  <w:num w:numId="23" w16cid:durableId="1815877995">
    <w:abstractNumId w:val="41"/>
  </w:num>
  <w:num w:numId="24" w16cid:durableId="583149645">
    <w:abstractNumId w:val="15"/>
  </w:num>
  <w:num w:numId="25" w16cid:durableId="463500116">
    <w:abstractNumId w:val="16"/>
  </w:num>
  <w:num w:numId="26" w16cid:durableId="1631206391">
    <w:abstractNumId w:val="24"/>
  </w:num>
  <w:num w:numId="27" w16cid:durableId="1926575903">
    <w:abstractNumId w:val="28"/>
  </w:num>
  <w:num w:numId="28" w16cid:durableId="456217175">
    <w:abstractNumId w:val="40"/>
  </w:num>
  <w:num w:numId="29" w16cid:durableId="1440298834">
    <w:abstractNumId w:val="21"/>
  </w:num>
  <w:num w:numId="30" w16cid:durableId="1991521762">
    <w:abstractNumId w:val="38"/>
  </w:num>
  <w:num w:numId="31" w16cid:durableId="17850898">
    <w:abstractNumId w:val="13"/>
  </w:num>
  <w:num w:numId="32" w16cid:durableId="811219354">
    <w:abstractNumId w:val="2"/>
  </w:num>
  <w:num w:numId="33" w16cid:durableId="1944412644">
    <w:abstractNumId w:val="29"/>
  </w:num>
  <w:num w:numId="34" w16cid:durableId="1684942634">
    <w:abstractNumId w:val="23"/>
  </w:num>
  <w:num w:numId="35" w16cid:durableId="1004086573">
    <w:abstractNumId w:val="6"/>
  </w:num>
  <w:num w:numId="36" w16cid:durableId="514155720">
    <w:abstractNumId w:val="11"/>
  </w:num>
  <w:num w:numId="37" w16cid:durableId="1621717607">
    <w:abstractNumId w:val="3"/>
  </w:num>
  <w:num w:numId="38" w16cid:durableId="1830634997">
    <w:abstractNumId w:val="1"/>
  </w:num>
  <w:num w:numId="39" w16cid:durableId="181819019">
    <w:abstractNumId w:val="44"/>
  </w:num>
  <w:num w:numId="40" w16cid:durableId="254486578">
    <w:abstractNumId w:val="9"/>
  </w:num>
  <w:num w:numId="41" w16cid:durableId="600915076">
    <w:abstractNumId w:val="31"/>
  </w:num>
  <w:num w:numId="42" w16cid:durableId="1520000222">
    <w:abstractNumId w:val="34"/>
  </w:num>
  <w:num w:numId="43" w16cid:durableId="730616934">
    <w:abstractNumId w:val="43"/>
  </w:num>
  <w:num w:numId="44" w16cid:durableId="1179390300">
    <w:abstractNumId w:val="14"/>
  </w:num>
  <w:num w:numId="45" w16cid:durableId="1761871577">
    <w:abstractNumId w:val="19"/>
  </w:num>
  <w:num w:numId="46" w16cid:durableId="1502503872">
    <w:abstractNumId w:val="30"/>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isplayBackgroundShape/>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shapeLayoutLikeWW8/>
    <w:compatSetting w:name="compatibilityMode" w:uri="http://schemas.microsoft.com/office/word" w:val="14"/>
    <w:compatSetting w:name="useWord2013TrackBottomHyphenation" w:uri="http://schemas.microsoft.com/office/word" w:val="1"/>
  </w:compat>
  <w:rsids>
    <w:rsidRoot w:val="002B6165"/>
    <w:rsid w:val="000116E9"/>
    <w:rsid w:val="00011F4C"/>
    <w:rsid w:val="00023A7F"/>
    <w:rsid w:val="00035A8F"/>
    <w:rsid w:val="00040134"/>
    <w:rsid w:val="00040564"/>
    <w:rsid w:val="000434DE"/>
    <w:rsid w:val="00047329"/>
    <w:rsid w:val="00071393"/>
    <w:rsid w:val="00071BC3"/>
    <w:rsid w:val="00080837"/>
    <w:rsid w:val="000A4CA4"/>
    <w:rsid w:val="000C57E8"/>
    <w:rsid w:val="000C77C0"/>
    <w:rsid w:val="000D4638"/>
    <w:rsid w:val="000E248C"/>
    <w:rsid w:val="000E7EDD"/>
    <w:rsid w:val="000F1B30"/>
    <w:rsid w:val="000F6EE0"/>
    <w:rsid w:val="001128B7"/>
    <w:rsid w:val="00116A27"/>
    <w:rsid w:val="00131E0E"/>
    <w:rsid w:val="0014194B"/>
    <w:rsid w:val="00143CC6"/>
    <w:rsid w:val="0014651B"/>
    <w:rsid w:val="0018345C"/>
    <w:rsid w:val="00197F8F"/>
    <w:rsid w:val="001B0F07"/>
    <w:rsid w:val="001C596F"/>
    <w:rsid w:val="001C7FA9"/>
    <w:rsid w:val="00203947"/>
    <w:rsid w:val="002039CD"/>
    <w:rsid w:val="00204EB9"/>
    <w:rsid w:val="0021234D"/>
    <w:rsid w:val="00215971"/>
    <w:rsid w:val="00216D1F"/>
    <w:rsid w:val="00222B1E"/>
    <w:rsid w:val="00223FEF"/>
    <w:rsid w:val="002241C7"/>
    <w:rsid w:val="00225C91"/>
    <w:rsid w:val="00226CFA"/>
    <w:rsid w:val="00234E12"/>
    <w:rsid w:val="00242327"/>
    <w:rsid w:val="00246D2F"/>
    <w:rsid w:val="00257813"/>
    <w:rsid w:val="0026643B"/>
    <w:rsid w:val="00273528"/>
    <w:rsid w:val="00297B64"/>
    <w:rsid w:val="002A1C54"/>
    <w:rsid w:val="002B6165"/>
    <w:rsid w:val="002C3D8E"/>
    <w:rsid w:val="002C7D71"/>
    <w:rsid w:val="002F3942"/>
    <w:rsid w:val="002F69C0"/>
    <w:rsid w:val="00305A50"/>
    <w:rsid w:val="003107B0"/>
    <w:rsid w:val="00310C8B"/>
    <w:rsid w:val="00313505"/>
    <w:rsid w:val="003200BB"/>
    <w:rsid w:val="0032374A"/>
    <w:rsid w:val="003238DE"/>
    <w:rsid w:val="00327C01"/>
    <w:rsid w:val="00340C4F"/>
    <w:rsid w:val="00352040"/>
    <w:rsid w:val="00353994"/>
    <w:rsid w:val="00356DC2"/>
    <w:rsid w:val="00362DC9"/>
    <w:rsid w:val="00365F8A"/>
    <w:rsid w:val="00370951"/>
    <w:rsid w:val="00395623"/>
    <w:rsid w:val="003963C7"/>
    <w:rsid w:val="003B30AF"/>
    <w:rsid w:val="003C685A"/>
    <w:rsid w:val="003D6397"/>
    <w:rsid w:val="003E370C"/>
    <w:rsid w:val="003F1A42"/>
    <w:rsid w:val="003F3F67"/>
    <w:rsid w:val="003F454B"/>
    <w:rsid w:val="003F56C2"/>
    <w:rsid w:val="0040082E"/>
    <w:rsid w:val="00406D20"/>
    <w:rsid w:val="004169E7"/>
    <w:rsid w:val="004204C4"/>
    <w:rsid w:val="00424322"/>
    <w:rsid w:val="00425736"/>
    <w:rsid w:val="00431F57"/>
    <w:rsid w:val="00434CC0"/>
    <w:rsid w:val="00437A72"/>
    <w:rsid w:val="004443D4"/>
    <w:rsid w:val="0045319F"/>
    <w:rsid w:val="00456052"/>
    <w:rsid w:val="00461DD3"/>
    <w:rsid w:val="00463375"/>
    <w:rsid w:val="004A5B8E"/>
    <w:rsid w:val="004C3205"/>
    <w:rsid w:val="004D6950"/>
    <w:rsid w:val="004E4C8F"/>
    <w:rsid w:val="004F22FB"/>
    <w:rsid w:val="004F3CA6"/>
    <w:rsid w:val="004F4480"/>
    <w:rsid w:val="004F7C66"/>
    <w:rsid w:val="00502A01"/>
    <w:rsid w:val="0052387A"/>
    <w:rsid w:val="00523985"/>
    <w:rsid w:val="005340F8"/>
    <w:rsid w:val="00541A90"/>
    <w:rsid w:val="00557E5B"/>
    <w:rsid w:val="005625E2"/>
    <w:rsid w:val="00566C6E"/>
    <w:rsid w:val="00575673"/>
    <w:rsid w:val="005772AF"/>
    <w:rsid w:val="00593407"/>
    <w:rsid w:val="00593A2A"/>
    <w:rsid w:val="005B0515"/>
    <w:rsid w:val="005B4672"/>
    <w:rsid w:val="005C07C6"/>
    <w:rsid w:val="005C30E0"/>
    <w:rsid w:val="005D7A8D"/>
    <w:rsid w:val="005E31D3"/>
    <w:rsid w:val="005F2407"/>
    <w:rsid w:val="005F247A"/>
    <w:rsid w:val="00611077"/>
    <w:rsid w:val="0061744F"/>
    <w:rsid w:val="00623E1B"/>
    <w:rsid w:val="00624F0C"/>
    <w:rsid w:val="006361A5"/>
    <w:rsid w:val="00645122"/>
    <w:rsid w:val="0065035B"/>
    <w:rsid w:val="00651A59"/>
    <w:rsid w:val="006577EA"/>
    <w:rsid w:val="006654D2"/>
    <w:rsid w:val="0067343F"/>
    <w:rsid w:val="006B4243"/>
    <w:rsid w:val="006B6BDE"/>
    <w:rsid w:val="006F0A78"/>
    <w:rsid w:val="006F291B"/>
    <w:rsid w:val="0070257D"/>
    <w:rsid w:val="00705927"/>
    <w:rsid w:val="007128AB"/>
    <w:rsid w:val="0072305D"/>
    <w:rsid w:val="007303CC"/>
    <w:rsid w:val="00736347"/>
    <w:rsid w:val="0073752C"/>
    <w:rsid w:val="00740652"/>
    <w:rsid w:val="007629E1"/>
    <w:rsid w:val="00772588"/>
    <w:rsid w:val="007840F1"/>
    <w:rsid w:val="00784103"/>
    <w:rsid w:val="00784CD4"/>
    <w:rsid w:val="0079307D"/>
    <w:rsid w:val="007952C9"/>
    <w:rsid w:val="007A12C3"/>
    <w:rsid w:val="007B798E"/>
    <w:rsid w:val="007C56F0"/>
    <w:rsid w:val="007C7C29"/>
    <w:rsid w:val="007D0335"/>
    <w:rsid w:val="007D6A22"/>
    <w:rsid w:val="007D6D90"/>
    <w:rsid w:val="007F02A4"/>
    <w:rsid w:val="00801CA0"/>
    <w:rsid w:val="00822BEF"/>
    <w:rsid w:val="00860463"/>
    <w:rsid w:val="008667E8"/>
    <w:rsid w:val="008700FF"/>
    <w:rsid w:val="00870C0F"/>
    <w:rsid w:val="0087676E"/>
    <w:rsid w:val="00884C7A"/>
    <w:rsid w:val="00894D87"/>
    <w:rsid w:val="008A2AA9"/>
    <w:rsid w:val="008A3F7A"/>
    <w:rsid w:val="008B4ED8"/>
    <w:rsid w:val="008C074A"/>
    <w:rsid w:val="008C2754"/>
    <w:rsid w:val="008D5229"/>
    <w:rsid w:val="008E235B"/>
    <w:rsid w:val="008E3CD0"/>
    <w:rsid w:val="00902AB5"/>
    <w:rsid w:val="00904BBF"/>
    <w:rsid w:val="00906C9E"/>
    <w:rsid w:val="00920941"/>
    <w:rsid w:val="009258EA"/>
    <w:rsid w:val="009345AA"/>
    <w:rsid w:val="009511A6"/>
    <w:rsid w:val="00954FD9"/>
    <w:rsid w:val="009552AC"/>
    <w:rsid w:val="00964DAD"/>
    <w:rsid w:val="009703BC"/>
    <w:rsid w:val="009719A5"/>
    <w:rsid w:val="00974B54"/>
    <w:rsid w:val="00976BFB"/>
    <w:rsid w:val="00981B86"/>
    <w:rsid w:val="00982403"/>
    <w:rsid w:val="0098424C"/>
    <w:rsid w:val="009965D5"/>
    <w:rsid w:val="009B0A55"/>
    <w:rsid w:val="009B2E15"/>
    <w:rsid w:val="009B6EE2"/>
    <w:rsid w:val="009C49F8"/>
    <w:rsid w:val="00A02D3F"/>
    <w:rsid w:val="00A041D6"/>
    <w:rsid w:val="00A163CF"/>
    <w:rsid w:val="00A16852"/>
    <w:rsid w:val="00A43DB0"/>
    <w:rsid w:val="00A43EEE"/>
    <w:rsid w:val="00A44D6F"/>
    <w:rsid w:val="00A54732"/>
    <w:rsid w:val="00AA6803"/>
    <w:rsid w:val="00AD7BE0"/>
    <w:rsid w:val="00B21C89"/>
    <w:rsid w:val="00B22906"/>
    <w:rsid w:val="00B304E2"/>
    <w:rsid w:val="00B34702"/>
    <w:rsid w:val="00B41042"/>
    <w:rsid w:val="00B71D6F"/>
    <w:rsid w:val="00B77E90"/>
    <w:rsid w:val="00B8369F"/>
    <w:rsid w:val="00B86BD7"/>
    <w:rsid w:val="00B873A0"/>
    <w:rsid w:val="00B96A9D"/>
    <w:rsid w:val="00BC25A6"/>
    <w:rsid w:val="00BC34B7"/>
    <w:rsid w:val="00BD3DA7"/>
    <w:rsid w:val="00BE13C0"/>
    <w:rsid w:val="00BF34B1"/>
    <w:rsid w:val="00BF6295"/>
    <w:rsid w:val="00BF6DA3"/>
    <w:rsid w:val="00BF7ED5"/>
    <w:rsid w:val="00C076C3"/>
    <w:rsid w:val="00C15ED8"/>
    <w:rsid w:val="00C21D3D"/>
    <w:rsid w:val="00C26436"/>
    <w:rsid w:val="00C31192"/>
    <w:rsid w:val="00C66D8F"/>
    <w:rsid w:val="00C70287"/>
    <w:rsid w:val="00C800D6"/>
    <w:rsid w:val="00C82EB9"/>
    <w:rsid w:val="00C84E65"/>
    <w:rsid w:val="00C91543"/>
    <w:rsid w:val="00CA406F"/>
    <w:rsid w:val="00CB3A7F"/>
    <w:rsid w:val="00CB4A86"/>
    <w:rsid w:val="00CC55AE"/>
    <w:rsid w:val="00CD3C67"/>
    <w:rsid w:val="00CE183A"/>
    <w:rsid w:val="00CE5863"/>
    <w:rsid w:val="00D0160C"/>
    <w:rsid w:val="00D0756B"/>
    <w:rsid w:val="00D07EED"/>
    <w:rsid w:val="00D14372"/>
    <w:rsid w:val="00D314E5"/>
    <w:rsid w:val="00D36462"/>
    <w:rsid w:val="00D42BBC"/>
    <w:rsid w:val="00D53ECC"/>
    <w:rsid w:val="00D67DB3"/>
    <w:rsid w:val="00D756A4"/>
    <w:rsid w:val="00D75A54"/>
    <w:rsid w:val="00D971B9"/>
    <w:rsid w:val="00DB4E7F"/>
    <w:rsid w:val="00DC5AEA"/>
    <w:rsid w:val="00DC5E19"/>
    <w:rsid w:val="00DD20A8"/>
    <w:rsid w:val="00DD7C98"/>
    <w:rsid w:val="00DE417E"/>
    <w:rsid w:val="00DF5721"/>
    <w:rsid w:val="00DF59A3"/>
    <w:rsid w:val="00DF7153"/>
    <w:rsid w:val="00E002FE"/>
    <w:rsid w:val="00E01D3C"/>
    <w:rsid w:val="00E17DA3"/>
    <w:rsid w:val="00E2431B"/>
    <w:rsid w:val="00E365C2"/>
    <w:rsid w:val="00E379C7"/>
    <w:rsid w:val="00E42BD6"/>
    <w:rsid w:val="00E434E7"/>
    <w:rsid w:val="00E458F5"/>
    <w:rsid w:val="00E47B2D"/>
    <w:rsid w:val="00E56CB6"/>
    <w:rsid w:val="00E56DEC"/>
    <w:rsid w:val="00E57107"/>
    <w:rsid w:val="00E65EAA"/>
    <w:rsid w:val="00E66DC9"/>
    <w:rsid w:val="00E6743F"/>
    <w:rsid w:val="00E8139C"/>
    <w:rsid w:val="00E84D8B"/>
    <w:rsid w:val="00E85C04"/>
    <w:rsid w:val="00E963EC"/>
    <w:rsid w:val="00EA2A93"/>
    <w:rsid w:val="00EB1087"/>
    <w:rsid w:val="00EC197E"/>
    <w:rsid w:val="00ED01EE"/>
    <w:rsid w:val="00ED103C"/>
    <w:rsid w:val="00ED24EA"/>
    <w:rsid w:val="00ED6E3B"/>
    <w:rsid w:val="00EE343E"/>
    <w:rsid w:val="00EE4A1A"/>
    <w:rsid w:val="00EE5483"/>
    <w:rsid w:val="00EF1797"/>
    <w:rsid w:val="00EF4AC8"/>
    <w:rsid w:val="00F003D7"/>
    <w:rsid w:val="00F101B8"/>
    <w:rsid w:val="00F116D4"/>
    <w:rsid w:val="00F1319B"/>
    <w:rsid w:val="00F13FC1"/>
    <w:rsid w:val="00F160E2"/>
    <w:rsid w:val="00F160F3"/>
    <w:rsid w:val="00F21360"/>
    <w:rsid w:val="00F21DFC"/>
    <w:rsid w:val="00F23850"/>
    <w:rsid w:val="00F25DB3"/>
    <w:rsid w:val="00F30C11"/>
    <w:rsid w:val="00F36044"/>
    <w:rsid w:val="00F42039"/>
    <w:rsid w:val="00F45FED"/>
    <w:rsid w:val="00F511A4"/>
    <w:rsid w:val="00F56F2C"/>
    <w:rsid w:val="00F63275"/>
    <w:rsid w:val="00F636C2"/>
    <w:rsid w:val="00F65669"/>
    <w:rsid w:val="00F86691"/>
    <w:rsid w:val="00F9077A"/>
    <w:rsid w:val="00FA025A"/>
    <w:rsid w:val="00FA1249"/>
    <w:rsid w:val="00FA4ECA"/>
    <w:rsid w:val="00FA57B8"/>
    <w:rsid w:val="00FA7DBA"/>
    <w:rsid w:val="00FB032D"/>
    <w:rsid w:val="00FD0D9C"/>
    <w:rsid w:val="00FF6745"/>
    <w:rsid w:val="00FF6B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25381D"/>
  <w15:docId w15:val="{55C1D0CF-AB3B-4FE4-B8A7-EBB96F4F2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11A6"/>
    <w:rPr>
      <w:rFonts w:ascii="Times New Roman" w:eastAsia="Times New Roman" w:hAnsi="Times New Roman" w:cs="Times New Roman"/>
      <w:lang w:val="en-GB"/>
    </w:rPr>
  </w:style>
  <w:style w:type="paragraph" w:styleId="Heading1">
    <w:name w:val="heading 1"/>
    <w:basedOn w:val="Normal"/>
    <w:next w:val="Normal"/>
    <w:link w:val="Heading1Char"/>
    <w:uiPriority w:val="9"/>
    <w:qFormat/>
    <w:rsid w:val="007C7C29"/>
    <w:pPr>
      <w:keepNext/>
      <w:keepLines/>
      <w:spacing w:before="240"/>
      <w:outlineLvl w:val="0"/>
    </w:pPr>
    <w:rPr>
      <w:rFonts w:asciiTheme="majorHAnsi" w:eastAsiaTheme="majorEastAsia" w:hAnsiTheme="majorHAnsi" w:cstheme="majorBidi"/>
      <w:color w:val="B43412" w:themeColor="accent1" w:themeShade="BF"/>
      <w:sz w:val="32"/>
      <w:szCs w:val="32"/>
    </w:rPr>
  </w:style>
  <w:style w:type="paragraph" w:styleId="Heading2">
    <w:name w:val="heading 2"/>
    <w:basedOn w:val="Normal"/>
    <w:next w:val="Normal"/>
    <w:link w:val="Heading2Char"/>
    <w:uiPriority w:val="9"/>
    <w:unhideWhenUsed/>
    <w:qFormat/>
    <w:rsid w:val="00C70287"/>
    <w:pPr>
      <w:keepNext/>
      <w:keepLines/>
      <w:spacing w:before="40"/>
      <w:outlineLvl w:val="1"/>
    </w:pPr>
    <w:rPr>
      <w:rFonts w:asciiTheme="majorHAnsi" w:eastAsiaTheme="majorEastAsia" w:hAnsiTheme="majorHAnsi" w:cstheme="majorBidi"/>
      <w:color w:val="B43412" w:themeColor="accent1" w:themeShade="BF"/>
      <w:sz w:val="26"/>
      <w:szCs w:val="26"/>
    </w:rPr>
  </w:style>
  <w:style w:type="paragraph" w:styleId="Heading3">
    <w:name w:val="heading 3"/>
    <w:basedOn w:val="Normal"/>
    <w:next w:val="Normal"/>
    <w:link w:val="Heading3Char"/>
    <w:uiPriority w:val="9"/>
    <w:semiHidden/>
    <w:unhideWhenUsed/>
    <w:qFormat/>
    <w:rsid w:val="00F160F3"/>
    <w:pPr>
      <w:keepNext/>
      <w:keepLines/>
      <w:spacing w:before="40"/>
      <w:outlineLvl w:val="2"/>
    </w:pPr>
    <w:rPr>
      <w:rFonts w:asciiTheme="majorHAnsi" w:eastAsiaTheme="majorEastAsia" w:hAnsiTheme="majorHAnsi" w:cstheme="majorBidi"/>
      <w:color w:val="77230C" w:themeColor="accent1" w:themeShade="7F"/>
      <w:sz w:val="24"/>
      <w:szCs w:val="24"/>
    </w:rPr>
  </w:style>
  <w:style w:type="paragraph" w:styleId="Heading4">
    <w:name w:val="heading 4"/>
    <w:basedOn w:val="Normal"/>
    <w:next w:val="Normal"/>
    <w:link w:val="Heading4Char"/>
    <w:uiPriority w:val="9"/>
    <w:semiHidden/>
    <w:unhideWhenUsed/>
    <w:qFormat/>
    <w:rsid w:val="00F160F3"/>
    <w:pPr>
      <w:keepNext/>
      <w:keepLines/>
      <w:spacing w:before="40"/>
      <w:outlineLvl w:val="3"/>
    </w:pPr>
    <w:rPr>
      <w:rFonts w:asciiTheme="majorHAnsi" w:eastAsiaTheme="majorEastAsia" w:hAnsiTheme="majorHAnsi" w:cstheme="majorBidi"/>
      <w:i/>
      <w:iCs/>
      <w:color w:val="B43412" w:themeColor="accent1" w:themeShade="BF"/>
    </w:rPr>
  </w:style>
  <w:style w:type="paragraph" w:styleId="Heading5">
    <w:name w:val="heading 5"/>
    <w:basedOn w:val="Normal"/>
    <w:next w:val="Normal"/>
    <w:link w:val="Heading5Char"/>
    <w:uiPriority w:val="9"/>
    <w:semiHidden/>
    <w:unhideWhenUsed/>
    <w:qFormat/>
    <w:rsid w:val="005772AF"/>
    <w:pPr>
      <w:keepNext/>
      <w:keepLines/>
      <w:spacing w:before="40"/>
      <w:outlineLvl w:val="4"/>
    </w:pPr>
    <w:rPr>
      <w:rFonts w:asciiTheme="majorHAnsi" w:eastAsiaTheme="majorEastAsia" w:hAnsiTheme="majorHAnsi" w:cstheme="majorBidi"/>
      <w:color w:val="B43412" w:themeColor="accent1" w:themeShade="BF"/>
    </w:rPr>
  </w:style>
  <w:style w:type="paragraph" w:styleId="Heading6">
    <w:name w:val="heading 6"/>
    <w:basedOn w:val="Normal"/>
    <w:next w:val="Normal"/>
    <w:link w:val="Heading6Char"/>
    <w:uiPriority w:val="9"/>
    <w:semiHidden/>
    <w:unhideWhenUsed/>
    <w:qFormat/>
    <w:rsid w:val="005772AF"/>
    <w:pPr>
      <w:keepNext/>
      <w:keepLines/>
      <w:spacing w:before="40"/>
      <w:outlineLvl w:val="5"/>
    </w:pPr>
    <w:rPr>
      <w:rFonts w:asciiTheme="majorHAnsi" w:eastAsiaTheme="majorEastAsia" w:hAnsiTheme="majorHAnsi" w:cstheme="majorBidi"/>
      <w:color w:val="77230C"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34"/>
    <w:qFormat/>
  </w:style>
  <w:style w:type="paragraph" w:customStyle="1" w:styleId="TableParagraph">
    <w:name w:val="Table Paragraph"/>
    <w:basedOn w:val="Normal"/>
    <w:uiPriority w:val="1"/>
    <w:qFormat/>
    <w:pPr>
      <w:spacing w:before="27"/>
      <w:ind w:left="410"/>
    </w:pPr>
  </w:style>
  <w:style w:type="paragraph" w:styleId="IntenseQuote">
    <w:name w:val="Intense Quote"/>
    <w:basedOn w:val="Normal"/>
    <w:next w:val="Normal"/>
    <w:link w:val="IntenseQuoteChar"/>
    <w:uiPriority w:val="30"/>
    <w:qFormat/>
    <w:rsid w:val="00EE5483"/>
    <w:pPr>
      <w:pBdr>
        <w:top w:val="single" w:sz="4" w:space="10" w:color="E84C22" w:themeColor="accent1"/>
        <w:bottom w:val="single" w:sz="4" w:space="10" w:color="E84C22" w:themeColor="accent1"/>
      </w:pBdr>
      <w:spacing w:before="360" w:after="360"/>
      <w:ind w:left="864" w:right="864"/>
      <w:jc w:val="center"/>
    </w:pPr>
    <w:rPr>
      <w:i/>
      <w:iCs/>
      <w:color w:val="E84C22" w:themeColor="accent1"/>
    </w:rPr>
  </w:style>
  <w:style w:type="character" w:customStyle="1" w:styleId="IntenseQuoteChar">
    <w:name w:val="Intense Quote Char"/>
    <w:basedOn w:val="DefaultParagraphFont"/>
    <w:link w:val="IntenseQuote"/>
    <w:uiPriority w:val="30"/>
    <w:rsid w:val="00EE5483"/>
    <w:rPr>
      <w:rFonts w:ascii="Times New Roman" w:eastAsia="Times New Roman" w:hAnsi="Times New Roman" w:cs="Times New Roman"/>
      <w:i/>
      <w:iCs/>
      <w:color w:val="E84C22" w:themeColor="accent1"/>
    </w:rPr>
  </w:style>
  <w:style w:type="character" w:customStyle="1" w:styleId="Heading2Char">
    <w:name w:val="Heading 2 Char"/>
    <w:basedOn w:val="DefaultParagraphFont"/>
    <w:link w:val="Heading2"/>
    <w:uiPriority w:val="9"/>
    <w:rsid w:val="00C70287"/>
    <w:rPr>
      <w:rFonts w:asciiTheme="majorHAnsi" w:eastAsiaTheme="majorEastAsia" w:hAnsiTheme="majorHAnsi" w:cstheme="majorBidi"/>
      <w:color w:val="B43412" w:themeColor="accent1" w:themeShade="BF"/>
      <w:sz w:val="26"/>
      <w:szCs w:val="26"/>
    </w:rPr>
  </w:style>
  <w:style w:type="paragraph" w:styleId="Header">
    <w:name w:val="header"/>
    <w:basedOn w:val="Normal"/>
    <w:link w:val="HeaderChar"/>
    <w:uiPriority w:val="99"/>
    <w:unhideWhenUsed/>
    <w:rsid w:val="00ED01EE"/>
    <w:pPr>
      <w:tabs>
        <w:tab w:val="center" w:pos="4513"/>
        <w:tab w:val="right" w:pos="9026"/>
      </w:tabs>
    </w:pPr>
  </w:style>
  <w:style w:type="character" w:customStyle="1" w:styleId="HeaderChar">
    <w:name w:val="Header Char"/>
    <w:basedOn w:val="DefaultParagraphFont"/>
    <w:link w:val="Header"/>
    <w:uiPriority w:val="99"/>
    <w:rsid w:val="00ED01EE"/>
    <w:rPr>
      <w:rFonts w:ascii="Times New Roman" w:eastAsia="Times New Roman" w:hAnsi="Times New Roman" w:cs="Times New Roman"/>
    </w:rPr>
  </w:style>
  <w:style w:type="paragraph" w:styleId="Footer">
    <w:name w:val="footer"/>
    <w:basedOn w:val="Normal"/>
    <w:link w:val="FooterChar"/>
    <w:uiPriority w:val="99"/>
    <w:unhideWhenUsed/>
    <w:rsid w:val="00ED01EE"/>
    <w:pPr>
      <w:tabs>
        <w:tab w:val="center" w:pos="4513"/>
        <w:tab w:val="right" w:pos="9026"/>
      </w:tabs>
    </w:pPr>
  </w:style>
  <w:style w:type="character" w:customStyle="1" w:styleId="FooterChar">
    <w:name w:val="Footer Char"/>
    <w:basedOn w:val="DefaultParagraphFont"/>
    <w:link w:val="Footer"/>
    <w:uiPriority w:val="99"/>
    <w:rsid w:val="00ED01EE"/>
    <w:rPr>
      <w:rFonts w:ascii="Times New Roman" w:eastAsia="Times New Roman" w:hAnsi="Times New Roman" w:cs="Times New Roman"/>
    </w:rPr>
  </w:style>
  <w:style w:type="paragraph" w:styleId="Revision">
    <w:name w:val="Revision"/>
    <w:hidden/>
    <w:uiPriority w:val="99"/>
    <w:semiHidden/>
    <w:rsid w:val="00222B1E"/>
    <w:pPr>
      <w:widowControl/>
      <w:autoSpaceDE/>
      <w:autoSpaceDN/>
    </w:pPr>
    <w:rPr>
      <w:rFonts w:ascii="Times New Roman" w:eastAsia="Times New Roman" w:hAnsi="Times New Roman" w:cs="Times New Roman"/>
      <w:lang w:val="en-GB"/>
    </w:rPr>
  </w:style>
  <w:style w:type="character" w:styleId="Hyperlink">
    <w:name w:val="Hyperlink"/>
    <w:basedOn w:val="DefaultParagraphFont"/>
    <w:uiPriority w:val="99"/>
    <w:unhideWhenUsed/>
    <w:rsid w:val="007C7C29"/>
    <w:rPr>
      <w:color w:val="0000FF"/>
      <w:u w:val="single"/>
    </w:rPr>
  </w:style>
  <w:style w:type="character" w:customStyle="1" w:styleId="Heading1Char">
    <w:name w:val="Heading 1 Char"/>
    <w:basedOn w:val="DefaultParagraphFont"/>
    <w:link w:val="Heading1"/>
    <w:uiPriority w:val="9"/>
    <w:rsid w:val="007C7C29"/>
    <w:rPr>
      <w:rFonts w:asciiTheme="majorHAnsi" w:eastAsiaTheme="majorEastAsia" w:hAnsiTheme="majorHAnsi" w:cstheme="majorBidi"/>
      <w:color w:val="B43412" w:themeColor="accent1" w:themeShade="BF"/>
      <w:sz w:val="32"/>
      <w:szCs w:val="32"/>
      <w:lang w:val="en-GB"/>
    </w:rPr>
  </w:style>
  <w:style w:type="character" w:customStyle="1" w:styleId="Heading3Char">
    <w:name w:val="Heading 3 Char"/>
    <w:basedOn w:val="DefaultParagraphFont"/>
    <w:link w:val="Heading3"/>
    <w:uiPriority w:val="9"/>
    <w:semiHidden/>
    <w:rsid w:val="00F160F3"/>
    <w:rPr>
      <w:rFonts w:asciiTheme="majorHAnsi" w:eastAsiaTheme="majorEastAsia" w:hAnsiTheme="majorHAnsi" w:cstheme="majorBidi"/>
      <w:color w:val="77230C" w:themeColor="accent1" w:themeShade="7F"/>
      <w:sz w:val="24"/>
      <w:szCs w:val="24"/>
      <w:lang w:val="en-GB"/>
    </w:rPr>
  </w:style>
  <w:style w:type="character" w:customStyle="1" w:styleId="Heading4Char">
    <w:name w:val="Heading 4 Char"/>
    <w:basedOn w:val="DefaultParagraphFont"/>
    <w:link w:val="Heading4"/>
    <w:uiPriority w:val="9"/>
    <w:semiHidden/>
    <w:rsid w:val="00F160F3"/>
    <w:rPr>
      <w:rFonts w:asciiTheme="majorHAnsi" w:eastAsiaTheme="majorEastAsia" w:hAnsiTheme="majorHAnsi" w:cstheme="majorBidi"/>
      <w:i/>
      <w:iCs/>
      <w:color w:val="B43412" w:themeColor="accent1" w:themeShade="BF"/>
      <w:lang w:val="en-GB"/>
    </w:rPr>
  </w:style>
  <w:style w:type="paragraph" w:styleId="NormalWeb">
    <w:name w:val="Normal (Web)"/>
    <w:basedOn w:val="Normal"/>
    <w:uiPriority w:val="99"/>
    <w:unhideWhenUsed/>
    <w:rsid w:val="00F160F3"/>
    <w:pPr>
      <w:widowControl/>
      <w:autoSpaceDE/>
      <w:autoSpaceDN/>
      <w:spacing w:before="100" w:beforeAutospacing="1" w:after="100" w:afterAutospacing="1"/>
    </w:pPr>
    <w:rPr>
      <w:sz w:val="24"/>
      <w:szCs w:val="24"/>
      <w:lang w:val="en-US"/>
    </w:rPr>
  </w:style>
  <w:style w:type="character" w:styleId="Strong">
    <w:name w:val="Strong"/>
    <w:basedOn w:val="DefaultParagraphFont"/>
    <w:uiPriority w:val="22"/>
    <w:qFormat/>
    <w:rsid w:val="00F160F3"/>
    <w:rPr>
      <w:b/>
      <w:bCs/>
    </w:rPr>
  </w:style>
  <w:style w:type="character" w:styleId="Emphasis">
    <w:name w:val="Emphasis"/>
    <w:basedOn w:val="DefaultParagraphFont"/>
    <w:uiPriority w:val="20"/>
    <w:qFormat/>
    <w:rsid w:val="00F160F3"/>
    <w:rPr>
      <w:i/>
      <w:iCs/>
    </w:rPr>
  </w:style>
  <w:style w:type="paragraph" w:styleId="Title">
    <w:name w:val="Title"/>
    <w:basedOn w:val="Normal"/>
    <w:next w:val="Normal"/>
    <w:link w:val="TitleChar"/>
    <w:uiPriority w:val="10"/>
    <w:qFormat/>
    <w:rsid w:val="00E434E7"/>
    <w:pPr>
      <w:widowControl/>
      <w:autoSpaceDE/>
      <w:autoSpaceDN/>
      <w:contextualSpacing/>
    </w:pPr>
    <w:rPr>
      <w:rFonts w:asciiTheme="majorHAnsi" w:eastAsiaTheme="majorEastAsia" w:hAnsiTheme="majorHAnsi" w:cstheme="majorBidi"/>
      <w:color w:val="B43412" w:themeColor="accent1" w:themeShade="BF"/>
      <w:spacing w:val="-7"/>
      <w:sz w:val="80"/>
      <w:szCs w:val="80"/>
      <w:lang w:val="en-US"/>
    </w:rPr>
  </w:style>
  <w:style w:type="character" w:customStyle="1" w:styleId="TitleChar">
    <w:name w:val="Title Char"/>
    <w:basedOn w:val="DefaultParagraphFont"/>
    <w:link w:val="Title"/>
    <w:uiPriority w:val="10"/>
    <w:rsid w:val="00E434E7"/>
    <w:rPr>
      <w:rFonts w:asciiTheme="majorHAnsi" w:eastAsiaTheme="majorEastAsia" w:hAnsiTheme="majorHAnsi" w:cstheme="majorBidi"/>
      <w:color w:val="B43412" w:themeColor="accent1" w:themeShade="BF"/>
      <w:spacing w:val="-7"/>
      <w:sz w:val="80"/>
      <w:szCs w:val="80"/>
    </w:rPr>
  </w:style>
  <w:style w:type="character" w:styleId="SubtleEmphasis">
    <w:name w:val="Subtle Emphasis"/>
    <w:basedOn w:val="DefaultParagraphFont"/>
    <w:uiPriority w:val="19"/>
    <w:qFormat/>
    <w:rsid w:val="00E434E7"/>
    <w:rPr>
      <w:i/>
      <w:iCs/>
      <w:color w:val="595959" w:themeColor="text1" w:themeTint="A6"/>
    </w:rPr>
  </w:style>
  <w:style w:type="character" w:styleId="IntenseEmphasis">
    <w:name w:val="Intense Emphasis"/>
    <w:basedOn w:val="DefaultParagraphFont"/>
    <w:uiPriority w:val="21"/>
    <w:qFormat/>
    <w:rsid w:val="00E434E7"/>
    <w:rPr>
      <w:b/>
      <w:bCs/>
      <w:i/>
      <w:iCs/>
    </w:rPr>
  </w:style>
  <w:style w:type="table" w:styleId="GridTable4">
    <w:name w:val="Grid Table 4"/>
    <w:basedOn w:val="TableNormal"/>
    <w:uiPriority w:val="49"/>
    <w:rsid w:val="004F3CA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UnresolvedMention">
    <w:name w:val="Unresolved Mention"/>
    <w:basedOn w:val="DefaultParagraphFont"/>
    <w:uiPriority w:val="99"/>
    <w:semiHidden/>
    <w:unhideWhenUsed/>
    <w:rsid w:val="00424322"/>
    <w:rPr>
      <w:color w:val="605E5C"/>
      <w:shd w:val="clear" w:color="auto" w:fill="E1DFDD"/>
    </w:rPr>
  </w:style>
  <w:style w:type="character" w:styleId="FollowedHyperlink">
    <w:name w:val="FollowedHyperlink"/>
    <w:basedOn w:val="DefaultParagraphFont"/>
    <w:uiPriority w:val="99"/>
    <w:semiHidden/>
    <w:unhideWhenUsed/>
    <w:rsid w:val="00F42039"/>
    <w:rPr>
      <w:color w:val="666699" w:themeColor="followedHyperlink"/>
      <w:u w:val="single"/>
    </w:rPr>
  </w:style>
  <w:style w:type="character" w:customStyle="1" w:styleId="Heading5Char">
    <w:name w:val="Heading 5 Char"/>
    <w:basedOn w:val="DefaultParagraphFont"/>
    <w:link w:val="Heading5"/>
    <w:uiPriority w:val="9"/>
    <w:semiHidden/>
    <w:rsid w:val="005772AF"/>
    <w:rPr>
      <w:rFonts w:asciiTheme="majorHAnsi" w:eastAsiaTheme="majorEastAsia" w:hAnsiTheme="majorHAnsi" w:cstheme="majorBidi"/>
      <w:color w:val="B43412" w:themeColor="accent1" w:themeShade="BF"/>
      <w:lang w:val="en-GB"/>
    </w:rPr>
  </w:style>
  <w:style w:type="character" w:customStyle="1" w:styleId="Heading6Char">
    <w:name w:val="Heading 6 Char"/>
    <w:basedOn w:val="DefaultParagraphFont"/>
    <w:link w:val="Heading6"/>
    <w:uiPriority w:val="9"/>
    <w:semiHidden/>
    <w:rsid w:val="005772AF"/>
    <w:rPr>
      <w:rFonts w:asciiTheme="majorHAnsi" w:eastAsiaTheme="majorEastAsia" w:hAnsiTheme="majorHAnsi" w:cstheme="majorBidi"/>
      <w:color w:val="77230C" w:themeColor="accent1" w:themeShade="7F"/>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395662">
      <w:bodyDiv w:val="1"/>
      <w:marLeft w:val="0"/>
      <w:marRight w:val="0"/>
      <w:marTop w:val="0"/>
      <w:marBottom w:val="0"/>
      <w:divBdr>
        <w:top w:val="none" w:sz="0" w:space="0" w:color="auto"/>
        <w:left w:val="none" w:sz="0" w:space="0" w:color="auto"/>
        <w:bottom w:val="none" w:sz="0" w:space="0" w:color="auto"/>
        <w:right w:val="none" w:sz="0" w:space="0" w:color="auto"/>
      </w:divBdr>
    </w:div>
    <w:div w:id="585454864">
      <w:bodyDiv w:val="1"/>
      <w:marLeft w:val="0"/>
      <w:marRight w:val="0"/>
      <w:marTop w:val="0"/>
      <w:marBottom w:val="0"/>
      <w:divBdr>
        <w:top w:val="none" w:sz="0" w:space="0" w:color="auto"/>
        <w:left w:val="none" w:sz="0" w:space="0" w:color="auto"/>
        <w:bottom w:val="none" w:sz="0" w:space="0" w:color="auto"/>
        <w:right w:val="none" w:sz="0" w:space="0" w:color="auto"/>
      </w:divBdr>
    </w:div>
    <w:div w:id="1669483986">
      <w:bodyDiv w:val="1"/>
      <w:marLeft w:val="0"/>
      <w:marRight w:val="0"/>
      <w:marTop w:val="0"/>
      <w:marBottom w:val="0"/>
      <w:divBdr>
        <w:top w:val="none" w:sz="0" w:space="0" w:color="auto"/>
        <w:left w:val="none" w:sz="0" w:space="0" w:color="auto"/>
        <w:bottom w:val="none" w:sz="0" w:space="0" w:color="auto"/>
        <w:right w:val="none" w:sz="0" w:space="0" w:color="auto"/>
      </w:divBdr>
    </w:div>
    <w:div w:id="2132092752">
      <w:bodyDiv w:val="1"/>
      <w:marLeft w:val="0"/>
      <w:marRight w:val="0"/>
      <w:marTop w:val="0"/>
      <w:marBottom w:val="0"/>
      <w:divBdr>
        <w:top w:val="none" w:sz="0" w:space="0" w:color="auto"/>
        <w:left w:val="none" w:sz="0" w:space="0" w:color="auto"/>
        <w:bottom w:val="none" w:sz="0" w:space="0" w:color="auto"/>
        <w:right w:val="none" w:sz="0" w:space="0" w:color="auto"/>
      </w:divBdr>
      <w:divsChild>
        <w:div w:id="1553149826">
          <w:blockQuote w:val="1"/>
          <w:marLeft w:val="720"/>
          <w:marRight w:val="720"/>
          <w:marTop w:val="100"/>
          <w:marBottom w:val="100"/>
          <w:divBdr>
            <w:top w:val="none" w:sz="0" w:space="0" w:color="auto"/>
            <w:left w:val="none" w:sz="0" w:space="0" w:color="auto"/>
            <w:bottom w:val="none" w:sz="0" w:space="0" w:color="auto"/>
            <w:right w:val="none" w:sz="0" w:space="0" w:color="auto"/>
          </w:divBdr>
        </w:div>
        <w:div w:id="1738817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mart-investing.in/pe-ratio.php?Company=TATA+STEEL+LTD" TargetMode="External"/><Relationship Id="rId18" Type="http://schemas.openxmlformats.org/officeDocument/2006/relationships/hyperlink" Target="https://en.wikipedia.org/wiki/Tata_Steel?utm_source=chatgpt.com" TargetMode="External"/><Relationship Id="rId26" Type="http://schemas.openxmlformats.org/officeDocument/2006/relationships/hyperlink" Target="https://iide.co/case-studies/swot-analysis-of-tata-steel/?utm_source=chatgpt.com" TargetMode="External"/><Relationship Id="rId39" Type="http://schemas.openxmlformats.org/officeDocument/2006/relationships/image" Target="media/image2.png"/><Relationship Id="rId21" Type="http://schemas.openxmlformats.org/officeDocument/2006/relationships/hyperlink" Target="https://en.wikipedia.org/wiki/HIsarna_ironmaking_process?utm_source=chatgpt.com" TargetMode="External"/><Relationship Id="rId34" Type="http://schemas.openxmlformats.org/officeDocument/2006/relationships/hyperlink" Target="https://economictimes.indiatimes.com/markets/stocks/news/jefferies-sees-greenshoots-for-indian-metal-players-picks-tata-steel-and-jindal-stainless-as-top-bets-for-rebound/articleshow/122991413.cms?utm_source=chatgpt.com" TargetMode="External"/><Relationship Id="rId42" Type="http://schemas.openxmlformats.org/officeDocument/2006/relationships/image" Target="media/image5.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latterly.org/tata-steel-swot-analysis/?utm_source=chatgpt.com" TargetMode="External"/><Relationship Id="rId29" Type="http://schemas.openxmlformats.org/officeDocument/2006/relationships/hyperlink" Target="https://iide.co/case-studies/swot-analysis-of-tata-steel/?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radingview.com/symbols/NSE-TATASTEEL/financials-statistics-and-ratios/debt-to-equity/" TargetMode="External"/><Relationship Id="rId24" Type="http://schemas.openxmlformats.org/officeDocument/2006/relationships/hyperlink" Target="https://admeducation.com/case-studies/swot-analysis-of-tata-steel/?utm_source=chatgpt.com" TargetMode="External"/><Relationship Id="rId32" Type="http://schemas.openxmlformats.org/officeDocument/2006/relationships/hyperlink" Target="https://en.wikipedia.org/wiki/Tata_Steel?utm_source=chatgpt.com" TargetMode="External"/><Relationship Id="rId37" Type="http://schemas.openxmlformats.org/officeDocument/2006/relationships/image" Target="media/image1.png"/><Relationship Id="rId40" Type="http://schemas.openxmlformats.org/officeDocument/2006/relationships/image" Target="media/image3.png"/><Relationship Id="rId45"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hyperlink" Target="https://www.mbaskool.com/swot-analysis/industrial-products-and-chemicals/4303-tata-steel.html?utm_source=chatgpt.com" TargetMode="External"/><Relationship Id="rId23" Type="http://schemas.openxmlformats.org/officeDocument/2006/relationships/hyperlink" Target="https://iide.co/case-studies/swot-analysis-of-tata-steel/?utm_source=chatgpt.com" TargetMode="External"/><Relationship Id="rId28" Type="http://schemas.openxmlformats.org/officeDocument/2006/relationships/hyperlink" Target="https://www.mbaskool.com/swot-analysis/industrial-products-and-chemicals/4303-tata-steel.html?utm_source=chatgpt.com" TargetMode="External"/><Relationship Id="rId36" Type="http://schemas.openxmlformats.org/officeDocument/2006/relationships/hyperlink" Target="https://www.reuters.com/markets/commodities/indian-steel-prices-facing-risk-chinese-imports-tariff-pressures-fitch-says-2025-03-18/?utm_source=chatgpt.com" TargetMode="External"/><Relationship Id="rId10" Type="http://schemas.openxmlformats.org/officeDocument/2006/relationships/hyperlink" Target="https://tradingeconomics.com/tata:in:eps" TargetMode="External"/><Relationship Id="rId19" Type="http://schemas.openxmlformats.org/officeDocument/2006/relationships/hyperlink" Target="https://www.latterly.org/tata-steel-swot-analysis/?utm_source=chatgpt.com" TargetMode="External"/><Relationship Id="rId31" Type="http://schemas.openxmlformats.org/officeDocument/2006/relationships/hyperlink" Target="https://apnews.com/article/64406c62c2d048b9ad3d99725b2bb0ab?utm_source=chatgpt.com" TargetMode="External"/><Relationship Id="rId44"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https://trendlyne.com/fundamentals/financial-ratios/1366/TATASTEEL/tata-steel-ltd/" TargetMode="External"/><Relationship Id="rId14" Type="http://schemas.openxmlformats.org/officeDocument/2006/relationships/hyperlink" Target="https://iide.co/case-studies/swot-analysis-of-tata-steel/?utm_source=chatgpt.com" TargetMode="External"/><Relationship Id="rId22" Type="http://schemas.openxmlformats.org/officeDocument/2006/relationships/hyperlink" Target="https://www.reddit.com/r/IndianStockMarket/comments/1icrfhv?utm_source=chatgpt.com" TargetMode="External"/><Relationship Id="rId27" Type="http://schemas.openxmlformats.org/officeDocument/2006/relationships/hyperlink" Target="https://admeducation.com/case-studies/swot-analysis-of-tata-steel/?utm_source=chatgpt.com" TargetMode="External"/><Relationship Id="rId30" Type="http://schemas.openxmlformats.org/officeDocument/2006/relationships/hyperlink" Target="https://www.theguardian.com/business/2024/jan/24/unions-accuse-tata-of-hypocrisy-over-port-talbot-closure-green-claims?utm_source=chatgpt.com" TargetMode="External"/><Relationship Id="rId35" Type="http://schemas.openxmlformats.org/officeDocument/2006/relationships/hyperlink" Target="https://timesofindia.indiatimes.com/business/india-business/tata-steel-upl-abb-iifl-jindal-stainless-top-stocks-on-brokers-radar-for-may-14/articleshow/121150117.cms?utm_source=chatgpt.com" TargetMode="External"/><Relationship Id="rId43" Type="http://schemas.openxmlformats.org/officeDocument/2006/relationships/image" Target="media/image6.png"/><Relationship Id="rId48" Type="http://schemas.openxmlformats.org/officeDocument/2006/relationships/theme" Target="theme/theme1.xml"/><Relationship Id="rId8" Type="http://schemas.openxmlformats.org/officeDocument/2006/relationships/hyperlink" Target="https://trendlyne.com/fundamentals/financial-ratios/1366/TATASTEEL/tata-steel-ltd/" TargetMode="External"/><Relationship Id="rId3" Type="http://schemas.openxmlformats.org/officeDocument/2006/relationships/styles" Target="styles.xml"/><Relationship Id="rId12" Type="http://schemas.openxmlformats.org/officeDocument/2006/relationships/hyperlink" Target="https://www.topstockresearch.com/rt/Financial/TATASTEEL/InterestCoverageRatio" TargetMode="External"/><Relationship Id="rId17" Type="http://schemas.openxmlformats.org/officeDocument/2006/relationships/hyperlink" Target="https://www.marketing91.com/swot-analysis-of-tata-steel/?utm_source=chatgpt.com" TargetMode="External"/><Relationship Id="rId25" Type="http://schemas.openxmlformats.org/officeDocument/2006/relationships/hyperlink" Target="https://en.wikipedia.org/wiki/Tata_Steel?utm_source=chatgpt.com" TargetMode="External"/><Relationship Id="rId33" Type="http://schemas.openxmlformats.org/officeDocument/2006/relationships/hyperlink" Target="https://www.reddit.com/r/Stocksyourknowledge/comments/1hq6hu6?utm_source=chatgpt.com" TargetMode="External"/><Relationship Id="rId38" Type="http://schemas.openxmlformats.org/officeDocument/2006/relationships/hyperlink" Target="https://trendlyne.com/equity/share-holding/1366/TATASTEEL/latest/tata-steel-ltd/%23promoter-holding" TargetMode="External"/><Relationship Id="rId46" Type="http://schemas.openxmlformats.org/officeDocument/2006/relationships/image" Target="media/image9.png"/><Relationship Id="rId20" Type="http://schemas.openxmlformats.org/officeDocument/2006/relationships/hyperlink" Target="https://admeducation.com/case-studies/swot-analysis-of-tata-steel/?utm_source=chatgpt.com" TargetMode="External"/><Relationship Id="rId41" Type="http://schemas.openxmlformats.org/officeDocument/2006/relationships/image" Target="media/image4.png"/></Relationships>
</file>

<file path=word/theme/theme1.xml><?xml version="1.0" encoding="utf-8"?>
<a:theme xmlns:a="http://schemas.openxmlformats.org/drawingml/2006/main" name="Office Theme">
  <a:themeElements>
    <a:clrScheme name="Red Orange">
      <a:dk1>
        <a:sysClr val="windowText" lastClr="000000"/>
      </a:dk1>
      <a:lt1>
        <a:sysClr val="window" lastClr="FFFFFF"/>
      </a:lt1>
      <a:dk2>
        <a:srgbClr val="505046"/>
      </a:dk2>
      <a:lt2>
        <a:srgbClr val="EEECE1"/>
      </a:lt2>
      <a:accent1>
        <a:srgbClr val="E84C22"/>
      </a:accent1>
      <a:accent2>
        <a:srgbClr val="FFBD47"/>
      </a:accent2>
      <a:accent3>
        <a:srgbClr val="B64926"/>
      </a:accent3>
      <a:accent4>
        <a:srgbClr val="FF8427"/>
      </a:accent4>
      <a:accent5>
        <a:srgbClr val="CC9900"/>
      </a:accent5>
      <a:accent6>
        <a:srgbClr val="B22600"/>
      </a:accent6>
      <a:hlink>
        <a:srgbClr val="CC9900"/>
      </a:hlink>
      <a:folHlink>
        <a:srgbClr val="666699"/>
      </a:folHlink>
    </a:clrScheme>
    <a:fontScheme name="Custom 1">
      <a:majorFont>
        <a:latin typeface="Cooper Black"/>
        <a:ea typeface=""/>
        <a:cs typeface=""/>
      </a:majorFont>
      <a:minorFont>
        <a:latin typeface="Segoe Print"/>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F9FCE0-DF7C-4C10-B1D5-9F69A366D9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408</TotalTime>
  <Pages>14</Pages>
  <Words>5126</Words>
  <Characters>29222</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Neeraja Tutakne</dc:creator>
  <cp:lastModifiedBy>Mahek Shah</cp:lastModifiedBy>
  <cp:revision>53</cp:revision>
  <dcterms:created xsi:type="dcterms:W3CDTF">2025-08-11T10:25:00Z</dcterms:created>
  <dcterms:modified xsi:type="dcterms:W3CDTF">2025-08-19T19:11:00Z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2025-02-27T00:00:00Z</vt:filetime>
  </property>
  <property fmtid="{D5CDD505-2E9C-101B-9397-08002B2CF9AE}" pid="3" name="Creator">
    <vt:lpwstr>Microsoft® Word 2019</vt:lpwstr>
  </property>
  <property fmtid="{D5CDD505-2E9C-101B-9397-08002B2CF9AE}" pid="4" name="LastSaved">
    <vt:filetime>2025-03-05T00:00:00Z</vt:filetime>
  </property>
  <property fmtid="{D5CDD505-2E9C-101B-9397-08002B2CF9AE}" pid="5" name="Producer">
    <vt:lpwstr>Microsoft® Word 2019</vt:lpwstr>
  </property>
</Properties>
</file>