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8.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37643" w14:textId="77777777" w:rsidR="00264EC3" w:rsidRDefault="00000000">
      <w:pPr>
        <w:jc w:val="center"/>
      </w:pPr>
      <w:r>
        <w:rPr>
          <w:b/>
          <w:bCs/>
          <w:color w:val="1F4E79"/>
          <w:sz w:val="56"/>
          <w:szCs w:val="56"/>
        </w:rPr>
        <w:t>Hybrid Renewable EMS — Simulink Development Report</w:t>
      </w:r>
    </w:p>
    <w:p w14:paraId="233CA449" w14:textId="77777777" w:rsidR="00264EC3" w:rsidRDefault="00264EC3"/>
    <w:p w14:paraId="4277EE9E" w14:textId="77777777" w:rsidR="00264EC3" w:rsidRDefault="00000000">
      <w:pPr>
        <w:jc w:val="center"/>
      </w:pPr>
      <w:r>
        <w:rPr>
          <w:color w:val="444444"/>
          <w:sz w:val="24"/>
          <w:szCs w:val="24"/>
        </w:rPr>
        <w:t>August 2026</w:t>
      </w:r>
    </w:p>
    <w:p w14:paraId="0E09F599" w14:textId="77777777" w:rsidR="00264EC3" w:rsidRDefault="00264EC3"/>
    <w:p w14:paraId="2F1FAC06" w14:textId="77777777" w:rsidR="00264EC3" w:rsidRDefault="00264EC3"/>
    <w:p w14:paraId="6D1739EB" w14:textId="77777777" w:rsidR="00264EC3" w:rsidRDefault="00000000">
      <w:pPr>
        <w:pStyle w:val="Heading1"/>
      </w:pPr>
      <w:r>
        <w:t>1. Project Overview</w:t>
      </w:r>
    </w:p>
    <w:p w14:paraId="2F15E11C" w14:textId="77777777" w:rsidR="00264EC3" w:rsidRDefault="00000000">
      <w:r>
        <w:rPr>
          <w:sz w:val="24"/>
          <w:szCs w:val="24"/>
        </w:rPr>
        <w:t>This report documents the full development arc of a hybrid PV-Wind-Battery-Hydrogen Energy Management System (EMS) for a 50 kW village-scale load in Coimbatore, India. The work spans MATLAB-based techno-economic optimization (Path 2), ML pipeline development (Path 3), and Simulink model implementation.</w:t>
      </w:r>
    </w:p>
    <w:p w14:paraId="7569C902" w14:textId="77777777" w:rsidR="00264EC3" w:rsidRDefault="00264EC3"/>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17C7407A" w14:textId="77777777">
        <w:tblPrEx>
          <w:tblCellMar>
            <w:top w:w="0" w:type="dxa"/>
            <w:bottom w:w="0" w:type="dxa"/>
          </w:tblCellMar>
        </w:tblPrEx>
        <w:tc>
          <w:tcPr>
            <w:tcW w:w="4500" w:type="dxa"/>
            <w:shd w:val="clear" w:color="1F4E79" w:fill="1F4E79"/>
          </w:tcPr>
          <w:p w14:paraId="765149C2" w14:textId="77777777" w:rsidR="00264EC3" w:rsidRDefault="00000000">
            <w:r>
              <w:rPr>
                <w:b/>
                <w:bCs/>
                <w:color w:val="FFFFFF"/>
                <w:sz w:val="22"/>
                <w:szCs w:val="22"/>
              </w:rPr>
              <w:t>Parameter</w:t>
            </w:r>
          </w:p>
        </w:tc>
        <w:tc>
          <w:tcPr>
            <w:tcW w:w="4500" w:type="dxa"/>
            <w:shd w:val="clear" w:color="1F4E79" w:fill="1F4E79"/>
          </w:tcPr>
          <w:p w14:paraId="27879762" w14:textId="77777777" w:rsidR="00264EC3" w:rsidRDefault="00000000">
            <w:r>
              <w:rPr>
                <w:b/>
                <w:bCs/>
                <w:color w:val="FFFFFF"/>
                <w:sz w:val="22"/>
                <w:szCs w:val="22"/>
              </w:rPr>
              <w:t>Value</w:t>
            </w:r>
          </w:p>
        </w:tc>
      </w:tr>
      <w:tr w:rsidR="00264EC3" w14:paraId="7997187A" w14:textId="77777777">
        <w:tblPrEx>
          <w:tblCellMar>
            <w:top w:w="0" w:type="dxa"/>
            <w:bottom w:w="0" w:type="dxa"/>
          </w:tblCellMar>
        </w:tblPrEx>
        <w:tc>
          <w:tcPr>
            <w:tcW w:w="4500" w:type="dxa"/>
          </w:tcPr>
          <w:p w14:paraId="520152CC" w14:textId="77777777" w:rsidR="00264EC3" w:rsidRDefault="00000000">
            <w:r>
              <w:rPr>
                <w:color w:val="000000"/>
                <w:sz w:val="22"/>
                <w:szCs w:val="22"/>
              </w:rPr>
              <w:t>Load</w:t>
            </w:r>
          </w:p>
        </w:tc>
        <w:tc>
          <w:tcPr>
            <w:tcW w:w="4500" w:type="dxa"/>
          </w:tcPr>
          <w:p w14:paraId="17D24B15" w14:textId="77777777" w:rsidR="00264EC3" w:rsidRDefault="00000000">
            <w:r>
              <w:rPr>
                <w:color w:val="000000"/>
                <w:sz w:val="22"/>
                <w:szCs w:val="22"/>
              </w:rPr>
              <w:t>50 kW peak village load</w:t>
            </w:r>
          </w:p>
        </w:tc>
      </w:tr>
      <w:tr w:rsidR="00264EC3" w14:paraId="73B73D02" w14:textId="77777777">
        <w:tblPrEx>
          <w:tblCellMar>
            <w:top w:w="0" w:type="dxa"/>
            <w:bottom w:w="0" w:type="dxa"/>
          </w:tblCellMar>
        </w:tblPrEx>
        <w:tc>
          <w:tcPr>
            <w:tcW w:w="4500" w:type="dxa"/>
          </w:tcPr>
          <w:p w14:paraId="3492F4D6" w14:textId="77777777" w:rsidR="00264EC3" w:rsidRDefault="00000000">
            <w:r>
              <w:rPr>
                <w:color w:val="000000"/>
                <w:sz w:val="22"/>
                <w:szCs w:val="22"/>
              </w:rPr>
              <w:t>Location</w:t>
            </w:r>
          </w:p>
        </w:tc>
        <w:tc>
          <w:tcPr>
            <w:tcW w:w="4500" w:type="dxa"/>
          </w:tcPr>
          <w:p w14:paraId="04C77A9B" w14:textId="77777777" w:rsidR="00264EC3" w:rsidRDefault="00000000">
            <w:r>
              <w:rPr>
                <w:color w:val="000000"/>
                <w:sz w:val="22"/>
                <w:szCs w:val="22"/>
              </w:rPr>
              <w:t>Coimbatore (11.02°N, 76.96°E)</w:t>
            </w:r>
          </w:p>
        </w:tc>
      </w:tr>
      <w:tr w:rsidR="00264EC3" w14:paraId="473CCAE5" w14:textId="77777777">
        <w:tblPrEx>
          <w:tblCellMar>
            <w:top w:w="0" w:type="dxa"/>
            <w:bottom w:w="0" w:type="dxa"/>
          </w:tblCellMar>
        </w:tblPrEx>
        <w:tc>
          <w:tcPr>
            <w:tcW w:w="4500" w:type="dxa"/>
          </w:tcPr>
          <w:p w14:paraId="57AC787A" w14:textId="77777777" w:rsidR="00264EC3" w:rsidRDefault="00000000">
            <w:r>
              <w:rPr>
                <w:color w:val="000000"/>
                <w:sz w:val="22"/>
                <w:szCs w:val="22"/>
              </w:rPr>
              <w:t>Data Source</w:t>
            </w:r>
          </w:p>
        </w:tc>
        <w:tc>
          <w:tcPr>
            <w:tcW w:w="4500" w:type="dxa"/>
          </w:tcPr>
          <w:p w14:paraId="0E96B8D0" w14:textId="77777777" w:rsidR="00264EC3" w:rsidRDefault="00000000">
            <w:r>
              <w:rPr>
                <w:color w:val="000000"/>
                <w:sz w:val="22"/>
                <w:szCs w:val="22"/>
              </w:rPr>
              <w:t>NASA POWER — 20 years hourly (2004–2023)</w:t>
            </w:r>
          </w:p>
        </w:tc>
      </w:tr>
      <w:tr w:rsidR="00264EC3" w14:paraId="6899A487" w14:textId="77777777">
        <w:tblPrEx>
          <w:tblCellMar>
            <w:top w:w="0" w:type="dxa"/>
            <w:bottom w:w="0" w:type="dxa"/>
          </w:tblCellMar>
        </w:tblPrEx>
        <w:tc>
          <w:tcPr>
            <w:tcW w:w="4500" w:type="dxa"/>
          </w:tcPr>
          <w:p w14:paraId="02408A0A" w14:textId="77777777" w:rsidR="00264EC3" w:rsidRDefault="00000000">
            <w:r>
              <w:rPr>
                <w:color w:val="000000"/>
                <w:sz w:val="22"/>
                <w:szCs w:val="22"/>
              </w:rPr>
              <w:t>Optimizers</w:t>
            </w:r>
          </w:p>
        </w:tc>
        <w:tc>
          <w:tcPr>
            <w:tcW w:w="4500" w:type="dxa"/>
          </w:tcPr>
          <w:p w14:paraId="00FC42C1" w14:textId="77777777" w:rsidR="00264EC3" w:rsidRDefault="00000000">
            <w:r>
              <w:rPr>
                <w:color w:val="000000"/>
                <w:sz w:val="22"/>
                <w:szCs w:val="22"/>
              </w:rPr>
              <w:t>GA + PSO</w:t>
            </w:r>
          </w:p>
        </w:tc>
      </w:tr>
      <w:tr w:rsidR="00264EC3" w14:paraId="23FA30C8" w14:textId="77777777">
        <w:tblPrEx>
          <w:tblCellMar>
            <w:top w:w="0" w:type="dxa"/>
            <w:bottom w:w="0" w:type="dxa"/>
          </w:tblCellMar>
        </w:tblPrEx>
        <w:tc>
          <w:tcPr>
            <w:tcW w:w="4500" w:type="dxa"/>
          </w:tcPr>
          <w:p w14:paraId="6949CBA4" w14:textId="77777777" w:rsidR="00264EC3" w:rsidRDefault="00000000">
            <w:r>
              <w:rPr>
                <w:color w:val="000000"/>
                <w:sz w:val="22"/>
                <w:szCs w:val="22"/>
              </w:rPr>
              <w:t>Objective</w:t>
            </w:r>
          </w:p>
        </w:tc>
        <w:tc>
          <w:tcPr>
            <w:tcW w:w="4500" w:type="dxa"/>
          </w:tcPr>
          <w:p w14:paraId="4F16424C" w14:textId="77777777" w:rsidR="00264EC3" w:rsidRDefault="00000000">
            <w:r>
              <w:rPr>
                <w:color w:val="000000"/>
                <w:sz w:val="22"/>
                <w:szCs w:val="22"/>
              </w:rPr>
              <w:t>LCOE minimization (USD/kWh)</w:t>
            </w:r>
          </w:p>
        </w:tc>
      </w:tr>
      <w:tr w:rsidR="00264EC3" w14:paraId="77A346CC" w14:textId="77777777">
        <w:tblPrEx>
          <w:tblCellMar>
            <w:top w:w="0" w:type="dxa"/>
            <w:bottom w:w="0" w:type="dxa"/>
          </w:tblCellMar>
        </w:tblPrEx>
        <w:tc>
          <w:tcPr>
            <w:tcW w:w="4500" w:type="dxa"/>
          </w:tcPr>
          <w:p w14:paraId="502E33F5" w14:textId="77777777" w:rsidR="00264EC3" w:rsidRDefault="00000000">
            <w:r>
              <w:rPr>
                <w:color w:val="000000"/>
                <w:sz w:val="22"/>
                <w:szCs w:val="22"/>
              </w:rPr>
              <w:t>Components</w:t>
            </w:r>
          </w:p>
        </w:tc>
        <w:tc>
          <w:tcPr>
            <w:tcW w:w="4500" w:type="dxa"/>
          </w:tcPr>
          <w:p w14:paraId="178C2CE7" w14:textId="77777777" w:rsidR="00264EC3" w:rsidRDefault="00000000">
            <w:r>
              <w:rPr>
                <w:color w:val="000000"/>
                <w:sz w:val="22"/>
                <w:szCs w:val="22"/>
              </w:rPr>
              <w:t>PV + Wind + Li-ion Battery + H2 Tank + Fuel Cell</w:t>
            </w:r>
          </w:p>
        </w:tc>
      </w:tr>
      <w:tr w:rsidR="00264EC3" w14:paraId="24DDD479" w14:textId="77777777">
        <w:tblPrEx>
          <w:tblCellMar>
            <w:top w:w="0" w:type="dxa"/>
            <w:bottom w:w="0" w:type="dxa"/>
          </w:tblCellMar>
        </w:tblPrEx>
        <w:tc>
          <w:tcPr>
            <w:tcW w:w="4500" w:type="dxa"/>
          </w:tcPr>
          <w:p w14:paraId="4DDFF8BE" w14:textId="77777777" w:rsidR="00264EC3" w:rsidRDefault="00000000">
            <w:r>
              <w:rPr>
                <w:color w:val="000000"/>
                <w:sz w:val="22"/>
                <w:szCs w:val="22"/>
              </w:rPr>
              <w:t>Subsidies</w:t>
            </w:r>
          </w:p>
        </w:tc>
        <w:tc>
          <w:tcPr>
            <w:tcW w:w="4500" w:type="dxa"/>
          </w:tcPr>
          <w:p w14:paraId="24567BF3" w14:textId="77777777" w:rsidR="00264EC3" w:rsidRDefault="00000000">
            <w:r>
              <w:rPr>
                <w:color w:val="000000"/>
                <w:sz w:val="22"/>
                <w:szCs w:val="22"/>
              </w:rPr>
              <w:t>MNRE PV 30%, Wind 20%</w:t>
            </w:r>
          </w:p>
        </w:tc>
      </w:tr>
      <w:tr w:rsidR="00264EC3" w14:paraId="79404840" w14:textId="77777777">
        <w:tblPrEx>
          <w:tblCellMar>
            <w:top w:w="0" w:type="dxa"/>
            <w:bottom w:w="0" w:type="dxa"/>
          </w:tblCellMar>
        </w:tblPrEx>
        <w:tc>
          <w:tcPr>
            <w:tcW w:w="4500" w:type="dxa"/>
          </w:tcPr>
          <w:p w14:paraId="6D2CEC76" w14:textId="77777777" w:rsidR="00264EC3" w:rsidRDefault="00000000">
            <w:r>
              <w:rPr>
                <w:color w:val="000000"/>
                <w:sz w:val="22"/>
                <w:szCs w:val="22"/>
              </w:rPr>
              <w:t>Carbon Credit</w:t>
            </w:r>
          </w:p>
        </w:tc>
        <w:tc>
          <w:tcPr>
            <w:tcW w:w="4500" w:type="dxa"/>
          </w:tcPr>
          <w:p w14:paraId="6F786825" w14:textId="77777777" w:rsidR="00264EC3" w:rsidRDefault="00000000">
            <w:r>
              <w:rPr>
                <w:color w:val="000000"/>
                <w:sz w:val="22"/>
                <w:szCs w:val="22"/>
              </w:rPr>
              <w:t>₹50/tCO₂, 0.82 kg/kWh avoided</w:t>
            </w:r>
          </w:p>
        </w:tc>
      </w:tr>
      <w:tr w:rsidR="00264EC3" w14:paraId="1BC070C4" w14:textId="77777777">
        <w:tblPrEx>
          <w:tblCellMar>
            <w:top w:w="0" w:type="dxa"/>
            <w:bottom w:w="0" w:type="dxa"/>
          </w:tblCellMar>
        </w:tblPrEx>
        <w:tc>
          <w:tcPr>
            <w:tcW w:w="4500" w:type="dxa"/>
          </w:tcPr>
          <w:p w14:paraId="3220C659" w14:textId="77777777" w:rsidR="00264EC3" w:rsidRDefault="00000000">
            <w:r>
              <w:rPr>
                <w:color w:val="000000"/>
                <w:sz w:val="22"/>
                <w:szCs w:val="22"/>
              </w:rPr>
              <w:t>Lifetime</w:t>
            </w:r>
          </w:p>
        </w:tc>
        <w:tc>
          <w:tcPr>
            <w:tcW w:w="4500" w:type="dxa"/>
          </w:tcPr>
          <w:p w14:paraId="2E660AFE" w14:textId="77777777" w:rsidR="00264EC3" w:rsidRDefault="00000000">
            <w:r>
              <w:rPr>
                <w:color w:val="000000"/>
                <w:sz w:val="22"/>
                <w:szCs w:val="22"/>
              </w:rPr>
              <w:t>20 years | Discount rate 8%</w:t>
            </w:r>
          </w:p>
        </w:tc>
      </w:tr>
    </w:tbl>
    <w:p w14:paraId="40B2D569" w14:textId="77777777" w:rsidR="00264EC3" w:rsidRDefault="00264EC3"/>
    <w:p w14:paraId="27B1FE8E" w14:textId="77777777" w:rsidR="00264EC3" w:rsidRDefault="00000000">
      <w:pPr>
        <w:pStyle w:val="Heading1"/>
      </w:pPr>
      <w:r>
        <w:t>2. NASA Data Validation</w:t>
      </w:r>
    </w:p>
    <w:p w14:paraId="727F4627" w14:textId="77777777" w:rsidR="00264EC3" w:rsidRDefault="00000000">
      <w:r>
        <w:rPr>
          <w:sz w:val="24"/>
          <w:szCs w:val="24"/>
        </w:rPr>
        <w:t>20-year hourly meteorological data was fetched and validated:</w:t>
      </w:r>
    </w:p>
    <w:p w14:paraId="17B34BB1" w14:textId="77777777" w:rsidR="00264EC3" w:rsidRDefault="00264EC3"/>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16ABE5A3" w14:textId="77777777">
        <w:tblPrEx>
          <w:tblCellMar>
            <w:top w:w="0" w:type="dxa"/>
            <w:bottom w:w="0" w:type="dxa"/>
          </w:tblCellMar>
        </w:tblPrEx>
        <w:tc>
          <w:tcPr>
            <w:tcW w:w="4500" w:type="dxa"/>
            <w:shd w:val="clear" w:color="1F4E79" w:fill="1F4E79"/>
          </w:tcPr>
          <w:p w14:paraId="546B9326" w14:textId="77777777" w:rsidR="00264EC3" w:rsidRDefault="00000000">
            <w:r>
              <w:rPr>
                <w:b/>
                <w:bCs/>
                <w:color w:val="FFFFFF"/>
                <w:sz w:val="22"/>
                <w:szCs w:val="22"/>
              </w:rPr>
              <w:t>Metric</w:t>
            </w:r>
          </w:p>
        </w:tc>
        <w:tc>
          <w:tcPr>
            <w:tcW w:w="4500" w:type="dxa"/>
            <w:shd w:val="clear" w:color="1F4E79" w:fill="1F4E79"/>
          </w:tcPr>
          <w:p w14:paraId="3DF90E71" w14:textId="77777777" w:rsidR="00264EC3" w:rsidRDefault="00000000">
            <w:r>
              <w:rPr>
                <w:b/>
                <w:bCs/>
                <w:color w:val="FFFFFF"/>
                <w:sz w:val="22"/>
                <w:szCs w:val="22"/>
              </w:rPr>
              <w:t>Value</w:t>
            </w:r>
          </w:p>
        </w:tc>
      </w:tr>
      <w:tr w:rsidR="00264EC3" w14:paraId="1C6AE84E" w14:textId="77777777">
        <w:tblPrEx>
          <w:tblCellMar>
            <w:top w:w="0" w:type="dxa"/>
            <w:bottom w:w="0" w:type="dxa"/>
          </w:tblCellMar>
        </w:tblPrEx>
        <w:tc>
          <w:tcPr>
            <w:tcW w:w="4500" w:type="dxa"/>
          </w:tcPr>
          <w:p w14:paraId="5B9556DC" w14:textId="77777777" w:rsidR="00264EC3" w:rsidRDefault="00000000">
            <w:r>
              <w:rPr>
                <w:color w:val="000000"/>
                <w:sz w:val="22"/>
                <w:szCs w:val="22"/>
              </w:rPr>
              <w:t>Rows</w:t>
            </w:r>
          </w:p>
        </w:tc>
        <w:tc>
          <w:tcPr>
            <w:tcW w:w="4500" w:type="dxa"/>
          </w:tcPr>
          <w:p w14:paraId="0B321C0D" w14:textId="77777777" w:rsidR="00264EC3" w:rsidRDefault="00000000">
            <w:r>
              <w:rPr>
                <w:color w:val="000000"/>
                <w:sz w:val="22"/>
                <w:szCs w:val="22"/>
              </w:rPr>
              <w:t>175,320</w:t>
            </w:r>
          </w:p>
        </w:tc>
      </w:tr>
      <w:tr w:rsidR="00264EC3" w14:paraId="49749A69" w14:textId="77777777">
        <w:tblPrEx>
          <w:tblCellMar>
            <w:top w:w="0" w:type="dxa"/>
            <w:bottom w:w="0" w:type="dxa"/>
          </w:tblCellMar>
        </w:tblPrEx>
        <w:tc>
          <w:tcPr>
            <w:tcW w:w="4500" w:type="dxa"/>
          </w:tcPr>
          <w:p w14:paraId="4C5EBA0C" w14:textId="77777777" w:rsidR="00264EC3" w:rsidRDefault="00000000">
            <w:r>
              <w:rPr>
                <w:color w:val="000000"/>
                <w:sz w:val="22"/>
                <w:szCs w:val="22"/>
              </w:rPr>
              <w:t>Columns</w:t>
            </w:r>
          </w:p>
        </w:tc>
        <w:tc>
          <w:tcPr>
            <w:tcW w:w="4500" w:type="dxa"/>
          </w:tcPr>
          <w:p w14:paraId="691443A9" w14:textId="77777777" w:rsidR="00264EC3" w:rsidRDefault="00000000">
            <w:r>
              <w:rPr>
                <w:color w:val="000000"/>
                <w:sz w:val="22"/>
                <w:szCs w:val="22"/>
              </w:rPr>
              <w:t>GHI, WindSpeed, Temperature</w:t>
            </w:r>
          </w:p>
        </w:tc>
      </w:tr>
      <w:tr w:rsidR="00264EC3" w14:paraId="6A736CCA" w14:textId="77777777">
        <w:tblPrEx>
          <w:tblCellMar>
            <w:top w:w="0" w:type="dxa"/>
            <w:bottom w:w="0" w:type="dxa"/>
          </w:tblCellMar>
        </w:tblPrEx>
        <w:tc>
          <w:tcPr>
            <w:tcW w:w="4500" w:type="dxa"/>
          </w:tcPr>
          <w:p w14:paraId="19549D31" w14:textId="77777777" w:rsidR="00264EC3" w:rsidRDefault="00000000">
            <w:r>
              <w:rPr>
                <w:color w:val="000000"/>
                <w:sz w:val="22"/>
                <w:szCs w:val="22"/>
              </w:rPr>
              <w:t>Nulls</w:t>
            </w:r>
          </w:p>
        </w:tc>
        <w:tc>
          <w:tcPr>
            <w:tcW w:w="4500" w:type="dxa"/>
          </w:tcPr>
          <w:p w14:paraId="5E1F1B9E" w14:textId="77777777" w:rsidR="00264EC3" w:rsidRDefault="00000000">
            <w:r>
              <w:rPr>
                <w:color w:val="000000"/>
                <w:sz w:val="22"/>
                <w:szCs w:val="22"/>
              </w:rPr>
              <w:t>0</w:t>
            </w:r>
          </w:p>
        </w:tc>
      </w:tr>
      <w:tr w:rsidR="00264EC3" w14:paraId="56CEDFD3" w14:textId="77777777">
        <w:tblPrEx>
          <w:tblCellMar>
            <w:top w:w="0" w:type="dxa"/>
            <w:bottom w:w="0" w:type="dxa"/>
          </w:tblCellMar>
        </w:tblPrEx>
        <w:tc>
          <w:tcPr>
            <w:tcW w:w="4500" w:type="dxa"/>
          </w:tcPr>
          <w:p w14:paraId="69216CE7" w14:textId="77777777" w:rsidR="00264EC3" w:rsidRDefault="00000000">
            <w:r>
              <w:rPr>
                <w:color w:val="000000"/>
                <w:sz w:val="22"/>
                <w:szCs w:val="22"/>
              </w:rPr>
              <w:t>GHI max</w:t>
            </w:r>
          </w:p>
        </w:tc>
        <w:tc>
          <w:tcPr>
            <w:tcW w:w="4500" w:type="dxa"/>
          </w:tcPr>
          <w:p w14:paraId="425BCCDC" w14:textId="77777777" w:rsidR="00264EC3" w:rsidRDefault="00000000">
            <w:r>
              <w:rPr>
                <w:color w:val="000000"/>
                <w:sz w:val="22"/>
                <w:szCs w:val="22"/>
              </w:rPr>
              <w:t>1082.6 W/m²</w:t>
            </w:r>
          </w:p>
        </w:tc>
      </w:tr>
      <w:tr w:rsidR="00264EC3" w14:paraId="683EF2B1" w14:textId="77777777">
        <w:tblPrEx>
          <w:tblCellMar>
            <w:top w:w="0" w:type="dxa"/>
            <w:bottom w:w="0" w:type="dxa"/>
          </w:tblCellMar>
        </w:tblPrEx>
        <w:tc>
          <w:tcPr>
            <w:tcW w:w="4500" w:type="dxa"/>
          </w:tcPr>
          <w:p w14:paraId="596D7B91" w14:textId="77777777" w:rsidR="00264EC3" w:rsidRDefault="00000000">
            <w:r>
              <w:rPr>
                <w:color w:val="000000"/>
                <w:sz w:val="22"/>
                <w:szCs w:val="22"/>
              </w:rPr>
              <w:t>Wind mean</w:t>
            </w:r>
          </w:p>
        </w:tc>
        <w:tc>
          <w:tcPr>
            <w:tcW w:w="4500" w:type="dxa"/>
          </w:tcPr>
          <w:p w14:paraId="582A4251" w14:textId="77777777" w:rsidR="00264EC3" w:rsidRDefault="00000000">
            <w:r>
              <w:rPr>
                <w:color w:val="000000"/>
                <w:sz w:val="22"/>
                <w:szCs w:val="22"/>
              </w:rPr>
              <w:t>4.6 m/s</w:t>
            </w:r>
          </w:p>
        </w:tc>
      </w:tr>
      <w:tr w:rsidR="00264EC3" w14:paraId="4472138F" w14:textId="77777777">
        <w:tblPrEx>
          <w:tblCellMar>
            <w:top w:w="0" w:type="dxa"/>
            <w:bottom w:w="0" w:type="dxa"/>
          </w:tblCellMar>
        </w:tblPrEx>
        <w:tc>
          <w:tcPr>
            <w:tcW w:w="4500" w:type="dxa"/>
          </w:tcPr>
          <w:p w14:paraId="51F16543" w14:textId="77777777" w:rsidR="00264EC3" w:rsidRDefault="00000000">
            <w:r>
              <w:rPr>
                <w:color w:val="000000"/>
                <w:sz w:val="22"/>
                <w:szCs w:val="22"/>
              </w:rPr>
              <w:t>Temp range</w:t>
            </w:r>
          </w:p>
        </w:tc>
        <w:tc>
          <w:tcPr>
            <w:tcW w:w="4500" w:type="dxa"/>
          </w:tcPr>
          <w:p w14:paraId="34C6A9EF" w14:textId="77777777" w:rsidR="00264EC3" w:rsidRDefault="00000000">
            <w:r>
              <w:rPr>
                <w:color w:val="000000"/>
                <w:sz w:val="22"/>
                <w:szCs w:val="22"/>
              </w:rPr>
              <w:t>12–41°C</w:t>
            </w:r>
          </w:p>
        </w:tc>
      </w:tr>
    </w:tbl>
    <w:p w14:paraId="676537B4" w14:textId="77777777" w:rsidR="00264EC3" w:rsidRDefault="00264EC3"/>
    <w:p w14:paraId="3116DDAB" w14:textId="77777777" w:rsidR="00264EC3" w:rsidRDefault="00000000">
      <w:pPr>
        <w:pStyle w:val="Heading1"/>
      </w:pPr>
      <w:r>
        <w:t>3. Village Load Profile</w:t>
      </w:r>
    </w:p>
    <w:p w14:paraId="5542A477" w14:textId="77777777" w:rsidR="00264EC3" w:rsidRDefault="00000000">
      <w:r>
        <w:rPr>
          <w:sz w:val="24"/>
          <w:szCs w:val="24"/>
        </w:rPr>
        <w:t>A CEA-aligned diurnal load curve was generated with morning ramp (6–9h), evening peak (18–22h), seasonal multipliers, and ±5% random noise.</w:t>
      </w:r>
    </w:p>
    <w:p w14:paraId="78AC3DAC" w14:textId="77777777" w:rsidR="00264EC3" w:rsidRDefault="00264EC3"/>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7855CC18" w14:textId="77777777">
        <w:tblPrEx>
          <w:tblCellMar>
            <w:top w:w="0" w:type="dxa"/>
            <w:bottom w:w="0" w:type="dxa"/>
          </w:tblCellMar>
        </w:tblPrEx>
        <w:tc>
          <w:tcPr>
            <w:tcW w:w="4500" w:type="dxa"/>
            <w:shd w:val="clear" w:color="1F4E79" w:fill="1F4E79"/>
          </w:tcPr>
          <w:p w14:paraId="02C6E487" w14:textId="77777777" w:rsidR="00264EC3" w:rsidRDefault="00000000">
            <w:r>
              <w:rPr>
                <w:b/>
                <w:bCs/>
                <w:color w:val="FFFFFF"/>
                <w:sz w:val="22"/>
                <w:szCs w:val="22"/>
              </w:rPr>
              <w:t>Metric</w:t>
            </w:r>
          </w:p>
        </w:tc>
        <w:tc>
          <w:tcPr>
            <w:tcW w:w="4500" w:type="dxa"/>
            <w:shd w:val="clear" w:color="1F4E79" w:fill="1F4E79"/>
          </w:tcPr>
          <w:p w14:paraId="2339B808" w14:textId="77777777" w:rsidR="00264EC3" w:rsidRDefault="00000000">
            <w:r>
              <w:rPr>
                <w:b/>
                <w:bCs/>
                <w:color w:val="FFFFFF"/>
                <w:sz w:val="22"/>
                <w:szCs w:val="22"/>
              </w:rPr>
              <w:t>Value</w:t>
            </w:r>
          </w:p>
        </w:tc>
      </w:tr>
      <w:tr w:rsidR="00264EC3" w14:paraId="495AD50E" w14:textId="77777777">
        <w:tblPrEx>
          <w:tblCellMar>
            <w:top w:w="0" w:type="dxa"/>
            <w:bottom w:w="0" w:type="dxa"/>
          </w:tblCellMar>
        </w:tblPrEx>
        <w:tc>
          <w:tcPr>
            <w:tcW w:w="4500" w:type="dxa"/>
          </w:tcPr>
          <w:p w14:paraId="0E83A69D" w14:textId="77777777" w:rsidR="00264EC3" w:rsidRDefault="00000000">
            <w:r>
              <w:rPr>
                <w:color w:val="000000"/>
                <w:sz w:val="22"/>
                <w:szCs w:val="22"/>
              </w:rPr>
              <w:t>Peak load</w:t>
            </w:r>
          </w:p>
        </w:tc>
        <w:tc>
          <w:tcPr>
            <w:tcW w:w="4500" w:type="dxa"/>
          </w:tcPr>
          <w:p w14:paraId="6B9B8C1B" w14:textId="77777777" w:rsidR="00264EC3" w:rsidRDefault="00000000">
            <w:r>
              <w:rPr>
                <w:color w:val="000000"/>
                <w:sz w:val="22"/>
                <w:szCs w:val="22"/>
              </w:rPr>
              <w:t>52.5 kW</w:t>
            </w:r>
          </w:p>
        </w:tc>
      </w:tr>
      <w:tr w:rsidR="00264EC3" w14:paraId="42D0AC24" w14:textId="77777777">
        <w:tblPrEx>
          <w:tblCellMar>
            <w:top w:w="0" w:type="dxa"/>
            <w:bottom w:w="0" w:type="dxa"/>
          </w:tblCellMar>
        </w:tblPrEx>
        <w:tc>
          <w:tcPr>
            <w:tcW w:w="4500" w:type="dxa"/>
          </w:tcPr>
          <w:p w14:paraId="3CAC4DA2" w14:textId="77777777" w:rsidR="00264EC3" w:rsidRDefault="00000000">
            <w:r>
              <w:rPr>
                <w:color w:val="000000"/>
                <w:sz w:val="22"/>
                <w:szCs w:val="22"/>
              </w:rPr>
              <w:t>Mean load</w:t>
            </w:r>
          </w:p>
        </w:tc>
        <w:tc>
          <w:tcPr>
            <w:tcW w:w="4500" w:type="dxa"/>
          </w:tcPr>
          <w:p w14:paraId="392B07A2" w14:textId="77777777" w:rsidR="00264EC3" w:rsidRDefault="00000000">
            <w:r>
              <w:rPr>
                <w:color w:val="000000"/>
                <w:sz w:val="22"/>
                <w:szCs w:val="22"/>
              </w:rPr>
              <w:t>24.54 kW</w:t>
            </w:r>
          </w:p>
        </w:tc>
      </w:tr>
      <w:tr w:rsidR="00264EC3" w14:paraId="0D0FBF47" w14:textId="77777777">
        <w:tblPrEx>
          <w:tblCellMar>
            <w:top w:w="0" w:type="dxa"/>
            <w:bottom w:w="0" w:type="dxa"/>
          </w:tblCellMar>
        </w:tblPrEx>
        <w:tc>
          <w:tcPr>
            <w:tcW w:w="4500" w:type="dxa"/>
          </w:tcPr>
          <w:p w14:paraId="5A68B632" w14:textId="77777777" w:rsidR="00264EC3" w:rsidRDefault="00000000">
            <w:r>
              <w:rPr>
                <w:color w:val="000000"/>
                <w:sz w:val="22"/>
                <w:szCs w:val="22"/>
              </w:rPr>
              <w:t>Min load</w:t>
            </w:r>
          </w:p>
        </w:tc>
        <w:tc>
          <w:tcPr>
            <w:tcW w:w="4500" w:type="dxa"/>
          </w:tcPr>
          <w:p w14:paraId="7E228330" w14:textId="77777777" w:rsidR="00264EC3" w:rsidRDefault="00000000">
            <w:r>
              <w:rPr>
                <w:color w:val="000000"/>
                <w:sz w:val="22"/>
                <w:szCs w:val="22"/>
              </w:rPr>
              <w:t>8.36 kW</w:t>
            </w:r>
          </w:p>
        </w:tc>
      </w:tr>
      <w:tr w:rsidR="00264EC3" w14:paraId="3BB1F13D" w14:textId="77777777">
        <w:tblPrEx>
          <w:tblCellMar>
            <w:top w:w="0" w:type="dxa"/>
            <w:bottom w:w="0" w:type="dxa"/>
          </w:tblCellMar>
        </w:tblPrEx>
        <w:tc>
          <w:tcPr>
            <w:tcW w:w="4500" w:type="dxa"/>
          </w:tcPr>
          <w:p w14:paraId="3029BD91" w14:textId="77777777" w:rsidR="00264EC3" w:rsidRDefault="00000000">
            <w:r>
              <w:rPr>
                <w:color w:val="000000"/>
                <w:sz w:val="22"/>
                <w:szCs w:val="22"/>
              </w:rPr>
              <w:t>Annual energy</w:t>
            </w:r>
          </w:p>
        </w:tc>
        <w:tc>
          <w:tcPr>
            <w:tcW w:w="4500" w:type="dxa"/>
          </w:tcPr>
          <w:p w14:paraId="4C5A350C" w14:textId="77777777" w:rsidR="00264EC3" w:rsidRDefault="00000000">
            <w:r>
              <w:rPr>
                <w:color w:val="000000"/>
                <w:sz w:val="22"/>
                <w:szCs w:val="22"/>
              </w:rPr>
              <w:t>~215,000 kWh/yr</w:t>
            </w:r>
          </w:p>
        </w:tc>
      </w:tr>
      <w:tr w:rsidR="00264EC3" w14:paraId="2A4192C5" w14:textId="77777777">
        <w:tblPrEx>
          <w:tblCellMar>
            <w:top w:w="0" w:type="dxa"/>
            <w:bottom w:w="0" w:type="dxa"/>
          </w:tblCellMar>
        </w:tblPrEx>
        <w:tc>
          <w:tcPr>
            <w:tcW w:w="4500" w:type="dxa"/>
          </w:tcPr>
          <w:p w14:paraId="34808FDF" w14:textId="77777777" w:rsidR="00264EC3" w:rsidRDefault="00000000">
            <w:r>
              <w:rPr>
                <w:color w:val="000000"/>
                <w:sz w:val="22"/>
                <w:szCs w:val="22"/>
              </w:rPr>
              <w:t>Daily avg</w:t>
            </w:r>
          </w:p>
        </w:tc>
        <w:tc>
          <w:tcPr>
            <w:tcW w:w="4500" w:type="dxa"/>
          </w:tcPr>
          <w:p w14:paraId="431C2844" w14:textId="77777777" w:rsidR="00264EC3" w:rsidRDefault="00000000">
            <w:r>
              <w:rPr>
                <w:color w:val="000000"/>
                <w:sz w:val="22"/>
                <w:szCs w:val="22"/>
              </w:rPr>
              <w:t>~589 kWh/day</w:t>
            </w:r>
          </w:p>
        </w:tc>
      </w:tr>
    </w:tbl>
    <w:p w14:paraId="30A84FC8" w14:textId="77777777" w:rsidR="00264EC3" w:rsidRDefault="00264EC3"/>
    <w:p w14:paraId="440978AF" w14:textId="77777777" w:rsidR="00264EC3" w:rsidRDefault="00000000">
      <w:pPr>
        <w:pStyle w:val="Heading1"/>
      </w:pPr>
      <w:r>
        <w:t>4. MATLAB Optimization Results (Path 2)</w:t>
      </w:r>
    </w:p>
    <w:p w14:paraId="3A67A0ED" w14:textId="77777777" w:rsidR="00264EC3" w:rsidRDefault="00000000">
      <w:pPr>
        <w:pStyle w:val="Heading2"/>
      </w:pPr>
      <w:r>
        <w:t>4.1 Cost Model</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6AC08848" w14:textId="77777777">
        <w:tblPrEx>
          <w:tblCellMar>
            <w:top w:w="0" w:type="dxa"/>
            <w:bottom w:w="0" w:type="dxa"/>
          </w:tblCellMar>
        </w:tblPrEx>
        <w:tc>
          <w:tcPr>
            <w:tcW w:w="4500" w:type="dxa"/>
            <w:shd w:val="clear" w:color="1F4E79" w:fill="1F4E79"/>
          </w:tcPr>
          <w:p w14:paraId="34956549" w14:textId="77777777" w:rsidR="00264EC3" w:rsidRDefault="00000000">
            <w:r>
              <w:rPr>
                <w:b/>
                <w:bCs/>
                <w:color w:val="FFFFFF"/>
                <w:sz w:val="22"/>
                <w:szCs w:val="22"/>
              </w:rPr>
              <w:t>Item</w:t>
            </w:r>
          </w:p>
        </w:tc>
        <w:tc>
          <w:tcPr>
            <w:tcW w:w="4500" w:type="dxa"/>
            <w:shd w:val="clear" w:color="1F4E79" w:fill="1F4E79"/>
          </w:tcPr>
          <w:p w14:paraId="625B7C68" w14:textId="77777777" w:rsidR="00264EC3" w:rsidRDefault="00000000">
            <w:r>
              <w:rPr>
                <w:b/>
                <w:bCs/>
                <w:color w:val="FFFFFF"/>
                <w:sz w:val="22"/>
                <w:szCs w:val="22"/>
              </w:rPr>
              <w:t>Value</w:t>
            </w:r>
          </w:p>
        </w:tc>
      </w:tr>
      <w:tr w:rsidR="00264EC3" w14:paraId="51F1D01F" w14:textId="77777777">
        <w:tblPrEx>
          <w:tblCellMar>
            <w:top w:w="0" w:type="dxa"/>
            <w:bottom w:w="0" w:type="dxa"/>
          </w:tblCellMar>
        </w:tblPrEx>
        <w:tc>
          <w:tcPr>
            <w:tcW w:w="4500" w:type="dxa"/>
          </w:tcPr>
          <w:p w14:paraId="77391E93" w14:textId="77777777" w:rsidR="00264EC3" w:rsidRDefault="00000000">
            <w:r>
              <w:rPr>
                <w:color w:val="000000"/>
                <w:sz w:val="22"/>
                <w:szCs w:val="22"/>
              </w:rPr>
              <w:t>PV cost</w:t>
            </w:r>
          </w:p>
        </w:tc>
        <w:tc>
          <w:tcPr>
            <w:tcW w:w="4500" w:type="dxa"/>
          </w:tcPr>
          <w:p w14:paraId="6556E73C" w14:textId="77777777" w:rsidR="00264EC3" w:rsidRDefault="00000000">
            <w:r>
              <w:rPr>
                <w:color w:val="000000"/>
                <w:sz w:val="22"/>
                <w:szCs w:val="22"/>
              </w:rPr>
              <w:t>₹22,000/m²</w:t>
            </w:r>
          </w:p>
        </w:tc>
      </w:tr>
      <w:tr w:rsidR="00264EC3" w14:paraId="31F6C548" w14:textId="77777777">
        <w:tblPrEx>
          <w:tblCellMar>
            <w:top w:w="0" w:type="dxa"/>
            <w:bottom w:w="0" w:type="dxa"/>
          </w:tblCellMar>
        </w:tblPrEx>
        <w:tc>
          <w:tcPr>
            <w:tcW w:w="4500" w:type="dxa"/>
          </w:tcPr>
          <w:p w14:paraId="44CA219C" w14:textId="77777777" w:rsidR="00264EC3" w:rsidRDefault="00000000">
            <w:r>
              <w:rPr>
                <w:color w:val="000000"/>
                <w:sz w:val="22"/>
                <w:szCs w:val="22"/>
              </w:rPr>
              <w:t>Wind cost</w:t>
            </w:r>
          </w:p>
        </w:tc>
        <w:tc>
          <w:tcPr>
            <w:tcW w:w="4500" w:type="dxa"/>
          </w:tcPr>
          <w:p w14:paraId="19782A2D" w14:textId="77777777" w:rsidR="00264EC3" w:rsidRDefault="00000000">
            <w:r>
              <w:rPr>
                <w:color w:val="000000"/>
                <w:sz w:val="22"/>
                <w:szCs w:val="22"/>
              </w:rPr>
              <w:t>₹15,000/m² (swept area)</w:t>
            </w:r>
          </w:p>
        </w:tc>
      </w:tr>
      <w:tr w:rsidR="00264EC3" w14:paraId="27D995F8" w14:textId="77777777">
        <w:tblPrEx>
          <w:tblCellMar>
            <w:top w:w="0" w:type="dxa"/>
            <w:bottom w:w="0" w:type="dxa"/>
          </w:tblCellMar>
        </w:tblPrEx>
        <w:tc>
          <w:tcPr>
            <w:tcW w:w="4500" w:type="dxa"/>
          </w:tcPr>
          <w:p w14:paraId="62FB3930" w14:textId="77777777" w:rsidR="00264EC3" w:rsidRDefault="00000000">
            <w:r>
              <w:rPr>
                <w:color w:val="000000"/>
                <w:sz w:val="22"/>
                <w:szCs w:val="22"/>
              </w:rPr>
              <w:t>Battery</w:t>
            </w:r>
          </w:p>
        </w:tc>
        <w:tc>
          <w:tcPr>
            <w:tcW w:w="4500" w:type="dxa"/>
          </w:tcPr>
          <w:p w14:paraId="5ACDE511" w14:textId="77777777" w:rsidR="00264EC3" w:rsidRDefault="00000000">
            <w:r>
              <w:rPr>
                <w:color w:val="000000"/>
                <w:sz w:val="22"/>
                <w:szCs w:val="22"/>
              </w:rPr>
              <w:t>₹25,000/kWh (Li-ion)</w:t>
            </w:r>
          </w:p>
        </w:tc>
      </w:tr>
      <w:tr w:rsidR="00264EC3" w14:paraId="1587EBD8" w14:textId="77777777">
        <w:tblPrEx>
          <w:tblCellMar>
            <w:top w:w="0" w:type="dxa"/>
            <w:bottom w:w="0" w:type="dxa"/>
          </w:tblCellMar>
        </w:tblPrEx>
        <w:tc>
          <w:tcPr>
            <w:tcW w:w="4500" w:type="dxa"/>
          </w:tcPr>
          <w:p w14:paraId="615B07EF" w14:textId="77777777" w:rsidR="00264EC3" w:rsidRDefault="00000000">
            <w:r>
              <w:rPr>
                <w:color w:val="000000"/>
                <w:sz w:val="22"/>
                <w:szCs w:val="22"/>
              </w:rPr>
              <w:t>H2 tank</w:t>
            </w:r>
          </w:p>
        </w:tc>
        <w:tc>
          <w:tcPr>
            <w:tcW w:w="4500" w:type="dxa"/>
          </w:tcPr>
          <w:p w14:paraId="7C4C488B" w14:textId="77777777" w:rsidR="00264EC3" w:rsidRDefault="00000000">
            <w:r>
              <w:rPr>
                <w:color w:val="000000"/>
                <w:sz w:val="22"/>
                <w:szCs w:val="22"/>
              </w:rPr>
              <w:t>₹80,000/kg</w:t>
            </w:r>
          </w:p>
        </w:tc>
      </w:tr>
      <w:tr w:rsidR="00264EC3" w14:paraId="21445942" w14:textId="77777777">
        <w:tblPrEx>
          <w:tblCellMar>
            <w:top w:w="0" w:type="dxa"/>
            <w:bottom w:w="0" w:type="dxa"/>
          </w:tblCellMar>
        </w:tblPrEx>
        <w:tc>
          <w:tcPr>
            <w:tcW w:w="4500" w:type="dxa"/>
          </w:tcPr>
          <w:p w14:paraId="1A6F6DF3" w14:textId="77777777" w:rsidR="00264EC3" w:rsidRDefault="00000000">
            <w:r>
              <w:rPr>
                <w:color w:val="000000"/>
                <w:sz w:val="22"/>
                <w:szCs w:val="22"/>
              </w:rPr>
              <w:t>Fuel cell</w:t>
            </w:r>
          </w:p>
        </w:tc>
        <w:tc>
          <w:tcPr>
            <w:tcW w:w="4500" w:type="dxa"/>
          </w:tcPr>
          <w:p w14:paraId="3FD9CAC2" w14:textId="77777777" w:rsidR="00264EC3" w:rsidRDefault="00000000">
            <w:r>
              <w:rPr>
                <w:color w:val="000000"/>
                <w:sz w:val="22"/>
                <w:szCs w:val="22"/>
              </w:rPr>
              <w:t>₹1,50,000/unit</w:t>
            </w:r>
          </w:p>
        </w:tc>
      </w:tr>
      <w:tr w:rsidR="00264EC3" w14:paraId="13FAC8CA" w14:textId="77777777">
        <w:tblPrEx>
          <w:tblCellMar>
            <w:top w:w="0" w:type="dxa"/>
            <w:bottom w:w="0" w:type="dxa"/>
          </w:tblCellMar>
        </w:tblPrEx>
        <w:tc>
          <w:tcPr>
            <w:tcW w:w="4500" w:type="dxa"/>
          </w:tcPr>
          <w:p w14:paraId="5620F837" w14:textId="77777777" w:rsidR="00264EC3" w:rsidRDefault="00000000">
            <w:r>
              <w:rPr>
                <w:color w:val="000000"/>
                <w:sz w:val="22"/>
                <w:szCs w:val="22"/>
              </w:rPr>
              <w:t>Grid rate</w:t>
            </w:r>
          </w:p>
        </w:tc>
        <w:tc>
          <w:tcPr>
            <w:tcW w:w="4500" w:type="dxa"/>
          </w:tcPr>
          <w:p w14:paraId="49DF3B82" w14:textId="77777777" w:rsidR="00264EC3" w:rsidRDefault="00000000">
            <w:r>
              <w:rPr>
                <w:color w:val="000000"/>
                <w:sz w:val="22"/>
                <w:szCs w:val="22"/>
              </w:rPr>
              <w:t>₹7/kWh (TANGEDCO)</w:t>
            </w:r>
          </w:p>
        </w:tc>
      </w:tr>
      <w:tr w:rsidR="00264EC3" w14:paraId="590B14B5" w14:textId="77777777">
        <w:tblPrEx>
          <w:tblCellMar>
            <w:top w:w="0" w:type="dxa"/>
            <w:bottom w:w="0" w:type="dxa"/>
          </w:tblCellMar>
        </w:tblPrEx>
        <w:tc>
          <w:tcPr>
            <w:tcW w:w="4500" w:type="dxa"/>
          </w:tcPr>
          <w:p w14:paraId="16F5A9B4" w14:textId="77777777" w:rsidR="00264EC3" w:rsidRDefault="00000000">
            <w:r>
              <w:rPr>
                <w:color w:val="000000"/>
                <w:sz w:val="22"/>
                <w:szCs w:val="22"/>
              </w:rPr>
              <w:t>O&amp;M</w:t>
            </w:r>
          </w:p>
        </w:tc>
        <w:tc>
          <w:tcPr>
            <w:tcW w:w="4500" w:type="dxa"/>
          </w:tcPr>
          <w:p w14:paraId="697C1A55" w14:textId="77777777" w:rsidR="00264EC3" w:rsidRDefault="00000000">
            <w:r>
              <w:rPr>
                <w:color w:val="000000"/>
                <w:sz w:val="22"/>
                <w:szCs w:val="22"/>
              </w:rPr>
              <w:t>2% of CAPEX/yr</w:t>
            </w:r>
          </w:p>
        </w:tc>
      </w:tr>
    </w:tbl>
    <w:p w14:paraId="192637D3" w14:textId="77777777" w:rsidR="00264EC3" w:rsidRDefault="00264EC3"/>
    <w:p w14:paraId="6A386BD9" w14:textId="77777777" w:rsidR="00264EC3" w:rsidRDefault="00000000">
      <w:pPr>
        <w:pStyle w:val="Heading2"/>
      </w:pPr>
      <w:r>
        <w:t>4.2 Optimizer Results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64EC3" w14:paraId="698C7AED" w14:textId="77777777">
        <w:tblPrEx>
          <w:tblCellMar>
            <w:top w:w="0" w:type="dxa"/>
            <w:bottom w:w="0" w:type="dxa"/>
          </w:tblCellMar>
        </w:tblPrEx>
        <w:tc>
          <w:tcPr>
            <w:tcW w:w="3000" w:type="dxa"/>
            <w:shd w:val="clear" w:color="1F4E79" w:fill="1F4E79"/>
          </w:tcPr>
          <w:p w14:paraId="118E47A4" w14:textId="77777777" w:rsidR="00264EC3" w:rsidRDefault="00000000">
            <w:r>
              <w:rPr>
                <w:b/>
                <w:bCs/>
                <w:color w:val="FFFFFF"/>
                <w:sz w:val="22"/>
                <w:szCs w:val="22"/>
              </w:rPr>
              <w:t>Metric</w:t>
            </w:r>
          </w:p>
        </w:tc>
        <w:tc>
          <w:tcPr>
            <w:tcW w:w="3000" w:type="dxa"/>
            <w:shd w:val="clear" w:color="1F4E79" w:fill="1F4E79"/>
          </w:tcPr>
          <w:p w14:paraId="1A5F0FF5" w14:textId="77777777" w:rsidR="00264EC3" w:rsidRDefault="00000000">
            <w:r>
              <w:rPr>
                <w:b/>
                <w:bCs/>
                <w:color w:val="FFFFFF"/>
                <w:sz w:val="22"/>
                <w:szCs w:val="22"/>
              </w:rPr>
              <w:t>GA</w:t>
            </w:r>
          </w:p>
        </w:tc>
        <w:tc>
          <w:tcPr>
            <w:tcW w:w="3000" w:type="dxa"/>
            <w:shd w:val="clear" w:color="1F4E79" w:fill="1F4E79"/>
          </w:tcPr>
          <w:p w14:paraId="4BF3F861" w14:textId="77777777" w:rsidR="00264EC3" w:rsidRDefault="00000000">
            <w:r>
              <w:rPr>
                <w:b/>
                <w:bCs/>
                <w:color w:val="FFFFFF"/>
                <w:sz w:val="22"/>
                <w:szCs w:val="22"/>
              </w:rPr>
              <w:t>PSO</w:t>
            </w:r>
          </w:p>
        </w:tc>
      </w:tr>
      <w:tr w:rsidR="00264EC3" w14:paraId="10C8274B" w14:textId="77777777">
        <w:tblPrEx>
          <w:tblCellMar>
            <w:top w:w="0" w:type="dxa"/>
            <w:bottom w:w="0" w:type="dxa"/>
          </w:tblCellMar>
        </w:tblPrEx>
        <w:tc>
          <w:tcPr>
            <w:tcW w:w="3000" w:type="dxa"/>
          </w:tcPr>
          <w:p w14:paraId="4D54C032" w14:textId="77777777" w:rsidR="00264EC3" w:rsidRDefault="00000000">
            <w:r>
              <w:rPr>
                <w:color w:val="000000"/>
                <w:sz w:val="22"/>
                <w:szCs w:val="22"/>
              </w:rPr>
              <w:t>LCOE</w:t>
            </w:r>
          </w:p>
        </w:tc>
        <w:tc>
          <w:tcPr>
            <w:tcW w:w="3000" w:type="dxa"/>
          </w:tcPr>
          <w:p w14:paraId="475E1FCC" w14:textId="77777777" w:rsidR="00264EC3" w:rsidRDefault="00000000">
            <w:r>
              <w:rPr>
                <w:color w:val="000000"/>
                <w:sz w:val="22"/>
                <w:szCs w:val="22"/>
              </w:rPr>
              <w:t>$0.0798/kWh</w:t>
            </w:r>
          </w:p>
        </w:tc>
        <w:tc>
          <w:tcPr>
            <w:tcW w:w="3000" w:type="dxa"/>
          </w:tcPr>
          <w:p w14:paraId="00F6A297" w14:textId="77777777" w:rsidR="00264EC3" w:rsidRDefault="00000000">
            <w:r>
              <w:rPr>
                <w:color w:val="000000"/>
                <w:sz w:val="22"/>
                <w:szCs w:val="22"/>
              </w:rPr>
              <w:t>$0.0795/kWh</w:t>
            </w:r>
          </w:p>
        </w:tc>
      </w:tr>
      <w:tr w:rsidR="00264EC3" w14:paraId="7BB12E8E" w14:textId="77777777">
        <w:tblPrEx>
          <w:tblCellMar>
            <w:top w:w="0" w:type="dxa"/>
            <w:bottom w:w="0" w:type="dxa"/>
          </w:tblCellMar>
        </w:tblPrEx>
        <w:tc>
          <w:tcPr>
            <w:tcW w:w="3000" w:type="dxa"/>
          </w:tcPr>
          <w:p w14:paraId="699810B5" w14:textId="77777777" w:rsidR="00264EC3" w:rsidRDefault="00000000">
            <w:r>
              <w:rPr>
                <w:color w:val="000000"/>
                <w:sz w:val="22"/>
                <w:szCs w:val="22"/>
              </w:rPr>
              <w:t>Runtime</w:t>
            </w:r>
          </w:p>
        </w:tc>
        <w:tc>
          <w:tcPr>
            <w:tcW w:w="3000" w:type="dxa"/>
          </w:tcPr>
          <w:p w14:paraId="09C5D865" w14:textId="77777777" w:rsidR="00264EC3" w:rsidRDefault="00000000">
            <w:r>
              <w:rPr>
                <w:color w:val="000000"/>
                <w:sz w:val="22"/>
                <w:szCs w:val="22"/>
              </w:rPr>
              <w:t>45.0 s</w:t>
            </w:r>
          </w:p>
        </w:tc>
        <w:tc>
          <w:tcPr>
            <w:tcW w:w="3000" w:type="dxa"/>
          </w:tcPr>
          <w:p w14:paraId="060B5464" w14:textId="77777777" w:rsidR="00264EC3" w:rsidRDefault="00000000">
            <w:r>
              <w:rPr>
                <w:color w:val="000000"/>
                <w:sz w:val="22"/>
                <w:szCs w:val="22"/>
              </w:rPr>
              <w:t>22.1 s</w:t>
            </w:r>
          </w:p>
        </w:tc>
      </w:tr>
      <w:tr w:rsidR="00264EC3" w14:paraId="489C980C" w14:textId="77777777">
        <w:tblPrEx>
          <w:tblCellMar>
            <w:top w:w="0" w:type="dxa"/>
            <w:bottom w:w="0" w:type="dxa"/>
          </w:tblCellMar>
        </w:tblPrEx>
        <w:tc>
          <w:tcPr>
            <w:tcW w:w="3000" w:type="dxa"/>
          </w:tcPr>
          <w:p w14:paraId="5754008F" w14:textId="77777777" w:rsidR="00264EC3" w:rsidRDefault="00000000">
            <w:r>
              <w:rPr>
                <w:color w:val="000000"/>
                <w:sz w:val="22"/>
                <w:szCs w:val="22"/>
              </w:rPr>
              <w:t>A_pv</w:t>
            </w:r>
          </w:p>
        </w:tc>
        <w:tc>
          <w:tcPr>
            <w:tcW w:w="3000" w:type="dxa"/>
          </w:tcPr>
          <w:p w14:paraId="4CA65B45" w14:textId="77777777" w:rsidR="00264EC3" w:rsidRDefault="00000000">
            <w:r>
              <w:rPr>
                <w:color w:val="000000"/>
                <w:sz w:val="22"/>
                <w:szCs w:val="22"/>
              </w:rPr>
              <w:t>—</w:t>
            </w:r>
          </w:p>
        </w:tc>
        <w:tc>
          <w:tcPr>
            <w:tcW w:w="3000" w:type="dxa"/>
          </w:tcPr>
          <w:p w14:paraId="2508406F" w14:textId="77777777" w:rsidR="00264EC3" w:rsidRDefault="00000000">
            <w:r>
              <w:rPr>
                <w:color w:val="000000"/>
                <w:sz w:val="22"/>
                <w:szCs w:val="22"/>
              </w:rPr>
              <w:t>350.7 m²</w:t>
            </w:r>
          </w:p>
        </w:tc>
      </w:tr>
      <w:tr w:rsidR="00264EC3" w14:paraId="07695322" w14:textId="77777777">
        <w:tblPrEx>
          <w:tblCellMar>
            <w:top w:w="0" w:type="dxa"/>
            <w:bottom w:w="0" w:type="dxa"/>
          </w:tblCellMar>
        </w:tblPrEx>
        <w:tc>
          <w:tcPr>
            <w:tcW w:w="3000" w:type="dxa"/>
          </w:tcPr>
          <w:p w14:paraId="3A81E744" w14:textId="77777777" w:rsidR="00264EC3" w:rsidRDefault="00000000">
            <w:r>
              <w:rPr>
                <w:color w:val="000000"/>
                <w:sz w:val="22"/>
                <w:szCs w:val="22"/>
              </w:rPr>
              <w:t>A_wind</w:t>
            </w:r>
          </w:p>
        </w:tc>
        <w:tc>
          <w:tcPr>
            <w:tcW w:w="3000" w:type="dxa"/>
          </w:tcPr>
          <w:p w14:paraId="2491EC8E" w14:textId="77777777" w:rsidR="00264EC3" w:rsidRDefault="00000000">
            <w:r>
              <w:rPr>
                <w:color w:val="000000"/>
                <w:sz w:val="22"/>
                <w:szCs w:val="22"/>
              </w:rPr>
              <w:t>—</w:t>
            </w:r>
          </w:p>
        </w:tc>
        <w:tc>
          <w:tcPr>
            <w:tcW w:w="3000" w:type="dxa"/>
          </w:tcPr>
          <w:p w14:paraId="0D2CB6B1" w14:textId="77777777" w:rsidR="00264EC3" w:rsidRDefault="00000000">
            <w:r>
              <w:rPr>
                <w:color w:val="000000"/>
                <w:sz w:val="22"/>
                <w:szCs w:val="22"/>
              </w:rPr>
              <w:t>400.0 m² (ub)</w:t>
            </w:r>
          </w:p>
        </w:tc>
      </w:tr>
      <w:tr w:rsidR="00264EC3" w14:paraId="7914C027" w14:textId="77777777">
        <w:tblPrEx>
          <w:tblCellMar>
            <w:top w:w="0" w:type="dxa"/>
            <w:bottom w:w="0" w:type="dxa"/>
          </w:tblCellMar>
        </w:tblPrEx>
        <w:tc>
          <w:tcPr>
            <w:tcW w:w="3000" w:type="dxa"/>
          </w:tcPr>
          <w:p w14:paraId="6EA706FB" w14:textId="77777777" w:rsidR="00264EC3" w:rsidRDefault="00000000">
            <w:r>
              <w:rPr>
                <w:color w:val="000000"/>
                <w:sz w:val="22"/>
                <w:szCs w:val="22"/>
              </w:rPr>
              <w:t>Battery</w:t>
            </w:r>
          </w:p>
        </w:tc>
        <w:tc>
          <w:tcPr>
            <w:tcW w:w="3000" w:type="dxa"/>
          </w:tcPr>
          <w:p w14:paraId="18C3BDE7" w14:textId="77777777" w:rsidR="00264EC3" w:rsidRDefault="00000000">
            <w:r>
              <w:rPr>
                <w:color w:val="000000"/>
                <w:sz w:val="22"/>
                <w:szCs w:val="22"/>
              </w:rPr>
              <w:t>50 kWh (lb)</w:t>
            </w:r>
          </w:p>
        </w:tc>
        <w:tc>
          <w:tcPr>
            <w:tcW w:w="3000" w:type="dxa"/>
          </w:tcPr>
          <w:p w14:paraId="2858FDFE" w14:textId="77777777" w:rsidR="00264EC3" w:rsidRDefault="00000000">
            <w:r>
              <w:rPr>
                <w:color w:val="000000"/>
                <w:sz w:val="22"/>
                <w:szCs w:val="22"/>
              </w:rPr>
              <w:t>50 kWh (lb)</w:t>
            </w:r>
          </w:p>
        </w:tc>
      </w:tr>
      <w:tr w:rsidR="00264EC3" w14:paraId="66B6E5E8" w14:textId="77777777">
        <w:tblPrEx>
          <w:tblCellMar>
            <w:top w:w="0" w:type="dxa"/>
            <w:bottom w:w="0" w:type="dxa"/>
          </w:tblCellMar>
        </w:tblPrEx>
        <w:tc>
          <w:tcPr>
            <w:tcW w:w="3000" w:type="dxa"/>
          </w:tcPr>
          <w:p w14:paraId="2C1C91EE" w14:textId="77777777" w:rsidR="00264EC3" w:rsidRDefault="00000000">
            <w:r>
              <w:rPr>
                <w:color w:val="000000"/>
                <w:sz w:val="22"/>
                <w:szCs w:val="22"/>
              </w:rPr>
              <w:t>H2 Tank</w:t>
            </w:r>
          </w:p>
        </w:tc>
        <w:tc>
          <w:tcPr>
            <w:tcW w:w="3000" w:type="dxa"/>
          </w:tcPr>
          <w:p w14:paraId="5F171161" w14:textId="77777777" w:rsidR="00264EC3" w:rsidRDefault="00000000">
            <w:r>
              <w:rPr>
                <w:color w:val="000000"/>
                <w:sz w:val="22"/>
                <w:szCs w:val="22"/>
              </w:rPr>
              <w:t>5 kg (lb)</w:t>
            </w:r>
          </w:p>
        </w:tc>
        <w:tc>
          <w:tcPr>
            <w:tcW w:w="3000" w:type="dxa"/>
          </w:tcPr>
          <w:p w14:paraId="13029FBE" w14:textId="77777777" w:rsidR="00264EC3" w:rsidRDefault="00000000">
            <w:r>
              <w:rPr>
                <w:color w:val="000000"/>
                <w:sz w:val="22"/>
                <w:szCs w:val="22"/>
              </w:rPr>
              <w:t>5 kg (lb)</w:t>
            </w:r>
          </w:p>
        </w:tc>
      </w:tr>
      <w:tr w:rsidR="00264EC3" w14:paraId="759EA6F7" w14:textId="77777777">
        <w:tblPrEx>
          <w:tblCellMar>
            <w:top w:w="0" w:type="dxa"/>
            <w:bottom w:w="0" w:type="dxa"/>
          </w:tblCellMar>
        </w:tblPrEx>
        <w:tc>
          <w:tcPr>
            <w:tcW w:w="3000" w:type="dxa"/>
          </w:tcPr>
          <w:p w14:paraId="119EE3BB" w14:textId="77777777" w:rsidR="00264EC3" w:rsidRDefault="00000000">
            <w:r>
              <w:rPr>
                <w:color w:val="000000"/>
                <w:sz w:val="22"/>
                <w:szCs w:val="22"/>
              </w:rPr>
              <w:t>Fuel Cells</w:t>
            </w:r>
          </w:p>
        </w:tc>
        <w:tc>
          <w:tcPr>
            <w:tcW w:w="3000" w:type="dxa"/>
          </w:tcPr>
          <w:p w14:paraId="1793265F" w14:textId="77777777" w:rsidR="00264EC3" w:rsidRDefault="00000000">
            <w:r>
              <w:rPr>
                <w:color w:val="000000"/>
                <w:sz w:val="22"/>
                <w:szCs w:val="22"/>
              </w:rPr>
              <w:t>10 (lb)</w:t>
            </w:r>
          </w:p>
        </w:tc>
        <w:tc>
          <w:tcPr>
            <w:tcW w:w="3000" w:type="dxa"/>
          </w:tcPr>
          <w:p w14:paraId="0333CF26" w14:textId="77777777" w:rsidR="00264EC3" w:rsidRDefault="00000000">
            <w:r>
              <w:rPr>
                <w:color w:val="000000"/>
                <w:sz w:val="22"/>
                <w:szCs w:val="22"/>
              </w:rPr>
              <w:t>10 (lb)</w:t>
            </w:r>
          </w:p>
        </w:tc>
      </w:tr>
    </w:tbl>
    <w:p w14:paraId="62783A7B" w14:textId="77777777" w:rsidR="00264EC3" w:rsidRDefault="00264EC3"/>
    <w:p w14:paraId="39686F0E" w14:textId="77777777" w:rsidR="00264EC3" w:rsidRDefault="00000000">
      <w:pPr>
        <w:pStyle w:val="Heading2"/>
      </w:pPr>
      <w:r>
        <w:t>4.3 Final Cost Breakdown</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680F87D9" w14:textId="77777777">
        <w:tblPrEx>
          <w:tblCellMar>
            <w:top w:w="0" w:type="dxa"/>
            <w:bottom w:w="0" w:type="dxa"/>
          </w:tblCellMar>
        </w:tblPrEx>
        <w:tc>
          <w:tcPr>
            <w:tcW w:w="4500" w:type="dxa"/>
            <w:shd w:val="clear" w:color="1F4E79" w:fill="1F4E79"/>
          </w:tcPr>
          <w:p w14:paraId="767934EA" w14:textId="77777777" w:rsidR="00264EC3" w:rsidRDefault="00000000">
            <w:r>
              <w:rPr>
                <w:b/>
                <w:bCs/>
                <w:color w:val="FFFFFF"/>
                <w:sz w:val="22"/>
                <w:szCs w:val="22"/>
              </w:rPr>
              <w:t>Item</w:t>
            </w:r>
          </w:p>
        </w:tc>
        <w:tc>
          <w:tcPr>
            <w:tcW w:w="4500" w:type="dxa"/>
            <w:shd w:val="clear" w:color="1F4E79" w:fill="1F4E79"/>
          </w:tcPr>
          <w:p w14:paraId="22EFE421" w14:textId="77777777" w:rsidR="00264EC3" w:rsidRDefault="00000000">
            <w:r>
              <w:rPr>
                <w:b/>
                <w:bCs/>
                <w:color w:val="FFFFFF"/>
                <w:sz w:val="22"/>
                <w:szCs w:val="22"/>
              </w:rPr>
              <w:t>Value</w:t>
            </w:r>
          </w:p>
        </w:tc>
      </w:tr>
      <w:tr w:rsidR="00264EC3" w14:paraId="1FB0B9DC" w14:textId="77777777">
        <w:tblPrEx>
          <w:tblCellMar>
            <w:top w:w="0" w:type="dxa"/>
            <w:bottom w:w="0" w:type="dxa"/>
          </w:tblCellMar>
        </w:tblPrEx>
        <w:tc>
          <w:tcPr>
            <w:tcW w:w="4500" w:type="dxa"/>
          </w:tcPr>
          <w:p w14:paraId="36DB8313" w14:textId="77777777" w:rsidR="00264EC3" w:rsidRDefault="00000000">
            <w:r>
              <w:rPr>
                <w:color w:val="000000"/>
                <w:sz w:val="22"/>
                <w:szCs w:val="22"/>
              </w:rPr>
              <w:t>CAPEX pre-subsidy</w:t>
            </w:r>
          </w:p>
        </w:tc>
        <w:tc>
          <w:tcPr>
            <w:tcW w:w="4500" w:type="dxa"/>
          </w:tcPr>
          <w:p w14:paraId="1E403151" w14:textId="77777777" w:rsidR="00264EC3" w:rsidRDefault="00000000">
            <w:r>
              <w:rPr>
                <w:color w:val="000000"/>
                <w:sz w:val="22"/>
                <w:szCs w:val="22"/>
              </w:rPr>
              <w:t>₹1,68,65,534</w:t>
            </w:r>
          </w:p>
        </w:tc>
      </w:tr>
      <w:tr w:rsidR="00264EC3" w14:paraId="2669B286" w14:textId="77777777">
        <w:tblPrEx>
          <w:tblCellMar>
            <w:top w:w="0" w:type="dxa"/>
            <w:bottom w:w="0" w:type="dxa"/>
          </w:tblCellMar>
        </w:tblPrEx>
        <w:tc>
          <w:tcPr>
            <w:tcW w:w="4500" w:type="dxa"/>
          </w:tcPr>
          <w:p w14:paraId="59D6E0B2" w14:textId="77777777" w:rsidR="00264EC3" w:rsidRDefault="00000000">
            <w:r>
              <w:rPr>
                <w:color w:val="000000"/>
                <w:sz w:val="22"/>
                <w:szCs w:val="22"/>
              </w:rPr>
              <w:t>Subsidy saving</w:t>
            </w:r>
          </w:p>
        </w:tc>
        <w:tc>
          <w:tcPr>
            <w:tcW w:w="4500" w:type="dxa"/>
          </w:tcPr>
          <w:p w14:paraId="2376FA36" w14:textId="77777777" w:rsidR="00264EC3" w:rsidRDefault="00000000">
            <w:r>
              <w:rPr>
                <w:color w:val="000000"/>
                <w:sz w:val="22"/>
                <w:szCs w:val="22"/>
              </w:rPr>
              <w:t>₹35,14,660</w:t>
            </w:r>
          </w:p>
        </w:tc>
      </w:tr>
      <w:tr w:rsidR="00264EC3" w14:paraId="6301A70F" w14:textId="77777777">
        <w:tblPrEx>
          <w:tblCellMar>
            <w:top w:w="0" w:type="dxa"/>
            <w:bottom w:w="0" w:type="dxa"/>
          </w:tblCellMar>
        </w:tblPrEx>
        <w:tc>
          <w:tcPr>
            <w:tcW w:w="4500" w:type="dxa"/>
          </w:tcPr>
          <w:p w14:paraId="3FF28E67" w14:textId="77777777" w:rsidR="00264EC3" w:rsidRDefault="00000000">
            <w:r>
              <w:rPr>
                <w:color w:val="000000"/>
                <w:sz w:val="22"/>
                <w:szCs w:val="22"/>
              </w:rPr>
              <w:t>CAPEX post-subsidy</w:t>
            </w:r>
          </w:p>
        </w:tc>
        <w:tc>
          <w:tcPr>
            <w:tcW w:w="4500" w:type="dxa"/>
          </w:tcPr>
          <w:p w14:paraId="574DE972" w14:textId="77777777" w:rsidR="00264EC3" w:rsidRDefault="00000000">
            <w:r>
              <w:rPr>
                <w:color w:val="000000"/>
                <w:sz w:val="22"/>
                <w:szCs w:val="22"/>
              </w:rPr>
              <w:t>₹1,33,50,874</w:t>
            </w:r>
          </w:p>
        </w:tc>
      </w:tr>
      <w:tr w:rsidR="00264EC3" w14:paraId="7A6D8BC3" w14:textId="77777777">
        <w:tblPrEx>
          <w:tblCellMar>
            <w:top w:w="0" w:type="dxa"/>
            <w:bottom w:w="0" w:type="dxa"/>
          </w:tblCellMar>
        </w:tblPrEx>
        <w:tc>
          <w:tcPr>
            <w:tcW w:w="4500" w:type="dxa"/>
          </w:tcPr>
          <w:p w14:paraId="5172D2D3" w14:textId="77777777" w:rsidR="00264EC3" w:rsidRDefault="00000000">
            <w:r>
              <w:rPr>
                <w:color w:val="000000"/>
                <w:sz w:val="22"/>
                <w:szCs w:val="22"/>
              </w:rPr>
              <w:t>Annual capital (CRF 8%, 20yr)</w:t>
            </w:r>
          </w:p>
        </w:tc>
        <w:tc>
          <w:tcPr>
            <w:tcW w:w="4500" w:type="dxa"/>
          </w:tcPr>
          <w:p w14:paraId="3D0EC377" w14:textId="77777777" w:rsidR="00264EC3" w:rsidRDefault="00000000">
            <w:r>
              <w:rPr>
                <w:color w:val="000000"/>
                <w:sz w:val="22"/>
                <w:szCs w:val="22"/>
              </w:rPr>
              <w:t>₹13,59,816</w:t>
            </w:r>
          </w:p>
        </w:tc>
      </w:tr>
      <w:tr w:rsidR="00264EC3" w14:paraId="1E92791B" w14:textId="77777777">
        <w:tblPrEx>
          <w:tblCellMar>
            <w:top w:w="0" w:type="dxa"/>
            <w:bottom w:w="0" w:type="dxa"/>
          </w:tblCellMar>
        </w:tblPrEx>
        <w:tc>
          <w:tcPr>
            <w:tcW w:w="4500" w:type="dxa"/>
          </w:tcPr>
          <w:p w14:paraId="5797A862" w14:textId="77777777" w:rsidR="00264EC3" w:rsidRDefault="00000000">
            <w:r>
              <w:rPr>
                <w:color w:val="000000"/>
                <w:sz w:val="22"/>
                <w:szCs w:val="22"/>
              </w:rPr>
              <w:t>Annual O&amp;M</w:t>
            </w:r>
          </w:p>
        </w:tc>
        <w:tc>
          <w:tcPr>
            <w:tcW w:w="4500" w:type="dxa"/>
          </w:tcPr>
          <w:p w14:paraId="70238AD8" w14:textId="77777777" w:rsidR="00264EC3" w:rsidRDefault="00000000">
            <w:r>
              <w:rPr>
                <w:color w:val="000000"/>
                <w:sz w:val="22"/>
                <w:szCs w:val="22"/>
              </w:rPr>
              <w:t>₹2,67,017</w:t>
            </w:r>
          </w:p>
        </w:tc>
      </w:tr>
      <w:tr w:rsidR="00264EC3" w14:paraId="10C54E6A" w14:textId="77777777">
        <w:tblPrEx>
          <w:tblCellMar>
            <w:top w:w="0" w:type="dxa"/>
            <w:bottom w:w="0" w:type="dxa"/>
          </w:tblCellMar>
        </w:tblPrEx>
        <w:tc>
          <w:tcPr>
            <w:tcW w:w="4500" w:type="dxa"/>
          </w:tcPr>
          <w:p w14:paraId="743CC55D" w14:textId="77777777" w:rsidR="00264EC3" w:rsidRDefault="00000000">
            <w:r>
              <w:rPr>
                <w:color w:val="000000"/>
                <w:sz w:val="22"/>
                <w:szCs w:val="22"/>
              </w:rPr>
              <w:t>Carbon credit</w:t>
            </w:r>
          </w:p>
        </w:tc>
        <w:tc>
          <w:tcPr>
            <w:tcW w:w="4500" w:type="dxa"/>
          </w:tcPr>
          <w:p w14:paraId="5A6C88B4" w14:textId="77777777" w:rsidR="00264EC3" w:rsidRDefault="00000000">
            <w:r>
              <w:rPr>
                <w:color w:val="000000"/>
                <w:sz w:val="22"/>
                <w:szCs w:val="22"/>
              </w:rPr>
              <w:t>₹2,09,234</w:t>
            </w:r>
          </w:p>
        </w:tc>
      </w:tr>
      <w:tr w:rsidR="00264EC3" w14:paraId="223EAFBD" w14:textId="77777777">
        <w:tblPrEx>
          <w:tblCellMar>
            <w:top w:w="0" w:type="dxa"/>
            <w:bottom w:w="0" w:type="dxa"/>
          </w:tblCellMar>
        </w:tblPrEx>
        <w:tc>
          <w:tcPr>
            <w:tcW w:w="4500" w:type="dxa"/>
          </w:tcPr>
          <w:p w14:paraId="7C5DF6FF" w14:textId="77777777" w:rsidR="00264EC3" w:rsidRDefault="00000000">
            <w:r>
              <w:rPr>
                <w:color w:val="000000"/>
                <w:sz w:val="22"/>
                <w:szCs w:val="22"/>
              </w:rPr>
              <w:t>TAC</w:t>
            </w:r>
          </w:p>
        </w:tc>
        <w:tc>
          <w:tcPr>
            <w:tcW w:w="4500" w:type="dxa"/>
          </w:tcPr>
          <w:p w14:paraId="3BD98135" w14:textId="77777777" w:rsidR="00264EC3" w:rsidRDefault="00000000">
            <w:r>
              <w:rPr>
                <w:color w:val="000000"/>
                <w:sz w:val="22"/>
                <w:szCs w:val="22"/>
              </w:rPr>
              <w:t>₹14,17,639</w:t>
            </w:r>
          </w:p>
        </w:tc>
      </w:tr>
      <w:tr w:rsidR="00264EC3" w14:paraId="70E938C0" w14:textId="77777777">
        <w:tblPrEx>
          <w:tblCellMar>
            <w:top w:w="0" w:type="dxa"/>
            <w:bottom w:w="0" w:type="dxa"/>
          </w:tblCellMar>
        </w:tblPrEx>
        <w:tc>
          <w:tcPr>
            <w:tcW w:w="4500" w:type="dxa"/>
          </w:tcPr>
          <w:p w14:paraId="59E8A533" w14:textId="77777777" w:rsidR="00264EC3" w:rsidRDefault="00000000">
            <w:r>
              <w:rPr>
                <w:color w:val="000000"/>
                <w:sz w:val="22"/>
                <w:szCs w:val="22"/>
              </w:rPr>
              <w:t>Annual energy</w:t>
            </w:r>
          </w:p>
        </w:tc>
        <w:tc>
          <w:tcPr>
            <w:tcW w:w="4500" w:type="dxa"/>
          </w:tcPr>
          <w:p w14:paraId="4D167091" w14:textId="77777777" w:rsidR="00264EC3" w:rsidRDefault="00000000">
            <w:r>
              <w:rPr>
                <w:color w:val="000000"/>
                <w:sz w:val="22"/>
                <w:szCs w:val="22"/>
              </w:rPr>
              <w:t>2,15,102 kWh</w:t>
            </w:r>
          </w:p>
        </w:tc>
      </w:tr>
      <w:tr w:rsidR="00264EC3" w14:paraId="6B446236" w14:textId="77777777">
        <w:tblPrEx>
          <w:tblCellMar>
            <w:top w:w="0" w:type="dxa"/>
            <w:bottom w:w="0" w:type="dxa"/>
          </w:tblCellMar>
        </w:tblPrEx>
        <w:tc>
          <w:tcPr>
            <w:tcW w:w="4500" w:type="dxa"/>
          </w:tcPr>
          <w:p w14:paraId="3E3301EE" w14:textId="77777777" w:rsidR="00264EC3" w:rsidRDefault="00000000">
            <w:r>
              <w:rPr>
                <w:color w:val="000000"/>
                <w:sz w:val="22"/>
                <w:szCs w:val="22"/>
              </w:rPr>
              <w:t>LCOE</w:t>
            </w:r>
          </w:p>
        </w:tc>
        <w:tc>
          <w:tcPr>
            <w:tcW w:w="4500" w:type="dxa"/>
          </w:tcPr>
          <w:p w14:paraId="45DDDBC1" w14:textId="77777777" w:rsidR="00264EC3" w:rsidRDefault="00000000">
            <w:r>
              <w:rPr>
                <w:color w:val="000000"/>
                <w:sz w:val="22"/>
                <w:szCs w:val="22"/>
              </w:rPr>
              <w:t>$0.0794/kWh ✓</w:t>
            </w:r>
          </w:p>
        </w:tc>
      </w:tr>
    </w:tbl>
    <w:p w14:paraId="3978AF6C" w14:textId="77777777" w:rsidR="00264EC3" w:rsidRDefault="00264EC3"/>
    <w:p w14:paraId="65EE9B2C" w14:textId="77777777" w:rsidR="00264EC3" w:rsidRDefault="00000000">
      <w:pPr>
        <w:pStyle w:val="Heading2"/>
      </w:pPr>
      <w:r>
        <w:t>4.4 Key Findings</w:t>
      </w:r>
    </w:p>
    <w:p w14:paraId="0DC3D821" w14:textId="77777777" w:rsidR="00264EC3" w:rsidRDefault="00000000">
      <w:pPr>
        <w:pStyle w:val="ListParagraph"/>
        <w:numPr>
          <w:ilvl w:val="0"/>
          <w:numId w:val="1"/>
        </w:numPr>
      </w:pPr>
      <w:r>
        <w:rPr>
          <w:sz w:val="24"/>
          <w:szCs w:val="24"/>
        </w:rPr>
        <w:t>PSO beats GA: 22.1s vs 45s, marginally lower LCOE</w:t>
      </w:r>
    </w:p>
    <w:p w14:paraId="2D47281B" w14:textId="77777777" w:rsidR="00264EC3" w:rsidRDefault="00000000">
      <w:pPr>
        <w:pStyle w:val="ListParagraph"/>
        <w:numPr>
          <w:ilvl w:val="0"/>
          <w:numId w:val="1"/>
        </w:numPr>
      </w:pPr>
      <w:r>
        <w:rPr>
          <w:sz w:val="24"/>
          <w:szCs w:val="24"/>
        </w:rPr>
        <w:t>H2 system underutilized: battery, cells, tank all at lower bound — Coimbatore PV resource nearly covers load alone</w:t>
      </w:r>
    </w:p>
    <w:p>
      <w:pPr>
        <w:jc w:val="center"/>
      </w:pPr>
      <w:r>
        <w:rPr/>
        <w:drawing>
          <wp:inline xmlns:wp="http://schemas.openxmlformats.org/drawingml/2006/wordprocessingDrawing" distT="0" distB="0" distL="0" distR="0">
            <wp:extent cx="5029200" cy="3553306"/>
            <wp:effectExtent l="0" t="0" r="0" b="0"/>
            <wp:docPr id="16" name="H2_Tank_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2_Tank_2004"/>
                    <pic:cNvPicPr/>
                  </pic:nvPicPr>
                  <pic:blipFill>
                    <a:blip xmlns:r="http://schemas.openxmlformats.org/officeDocument/2006/relationships" r:embed="rId16"/>
                    <a:stretch>
                      <a:fillRect/>
                    </a:stretch>
                  </pic:blipFill>
                  <pic:spPr>
                    <a:xfrm>
                      <a:off x="0" y="0"/>
                      <a:ext cx="5029200" cy="3553306"/>
                    </a:xfrm>
                    <a:prstGeom prst="rect">
                      <a:avLst/>
                    </a:prstGeom>
                  </pic:spPr>
                </pic:pic>
              </a:graphicData>
            </a:graphic>
          </wp:inline>
        </w:drawing>
      </w:r>
    </w:p>
    <w:p>
      <w:pPr>
        <w:jc w:val="center"/>
        <w:spacing w:before="40" w:after="160"/>
      </w:pPr>
      <w:r>
        <w:rPr>
          <w:i/>
          <w:color w:val="5D6D7E"/>
          <w:sz w:val="18"/>
        </w:rPr>
        <w:t>Fig: Hydrogen Tank Level — 2004. H2 depletes by hour ~2300 (late March) and remains empty for 74% of the year. Electrolyser never generates sufficient surplus to refill.</w:t>
      </w:r>
    </w:p>
    <w:p w14:paraId="1DDA5D8A" w14:textId="77777777" w:rsidR="00264EC3" w:rsidRDefault="00000000">
      <w:pPr>
        <w:pStyle w:val="ListParagraph"/>
        <w:numPr>
          <w:ilvl w:val="0"/>
          <w:numId w:val="1"/>
        </w:numPr>
      </w:pPr>
      <w:r>
        <w:rPr>
          <w:sz w:val="24"/>
          <w:szCs w:val="24"/>
        </w:rPr>
        <w:t>Wind bound hit: 4.6 m/s mean wind is marginal; optimizer compensates with PV area</w:t>
      </w:r>
    </w:p>
    <w:p w14:paraId="5D4346C8" w14:textId="77777777" w:rsidR="00264EC3" w:rsidRDefault="00000000">
      <w:pPr>
        <w:pStyle w:val="ListParagraph"/>
        <w:numPr>
          <w:ilvl w:val="0"/>
          <w:numId w:val="1"/>
        </w:numPr>
      </w:pPr>
      <w:r>
        <w:rPr>
          <w:sz w:val="24"/>
          <w:szCs w:val="24"/>
        </w:rPr>
        <w:t>LCOE $0.0794/kWh is competitive vs TANGEDCO grid (~$0.084/kWh)</w:t>
      </w:r>
    </w:p>
    <w:p w14:paraId="78FF43B7" w14:textId="77777777" w:rsidR="00264EC3" w:rsidRDefault="00264EC3"/>
    <w:p w14:paraId="73D5B43F" w14:textId="77777777" w:rsidR="00264EC3" w:rsidRDefault="00000000">
      <w:pPr>
        <w:pStyle w:val="Heading1"/>
      </w:pPr>
      <w:r>
        <w:t>5. Bugs Found and Fixed</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64EC3" w14:paraId="0519E5A7" w14:textId="77777777">
        <w:tblPrEx>
          <w:tblCellMar>
            <w:top w:w="0" w:type="dxa"/>
            <w:bottom w:w="0" w:type="dxa"/>
          </w:tblCellMar>
        </w:tblPrEx>
        <w:tc>
          <w:tcPr>
            <w:tcW w:w="3000" w:type="dxa"/>
            <w:shd w:val="clear" w:color="1F4E79" w:fill="1F4E79"/>
          </w:tcPr>
          <w:p w14:paraId="6870BCF6" w14:textId="77777777" w:rsidR="00264EC3" w:rsidRDefault="00000000">
            <w:r>
              <w:rPr>
                <w:b/>
                <w:bCs/>
                <w:color w:val="FFFFFF"/>
                <w:sz w:val="22"/>
                <w:szCs w:val="22"/>
              </w:rPr>
              <w:t>Bug</w:t>
            </w:r>
          </w:p>
        </w:tc>
        <w:tc>
          <w:tcPr>
            <w:tcW w:w="3000" w:type="dxa"/>
            <w:shd w:val="clear" w:color="1F4E79" w:fill="1F4E79"/>
          </w:tcPr>
          <w:p w14:paraId="480E0EBF" w14:textId="77777777" w:rsidR="00264EC3" w:rsidRDefault="00000000">
            <w:r>
              <w:rPr>
                <w:b/>
                <w:bCs/>
                <w:color w:val="FFFFFF"/>
                <w:sz w:val="22"/>
                <w:szCs w:val="22"/>
              </w:rPr>
              <w:t>Root Cause</w:t>
            </w:r>
          </w:p>
        </w:tc>
        <w:tc>
          <w:tcPr>
            <w:tcW w:w="3000" w:type="dxa"/>
            <w:shd w:val="clear" w:color="1F4E79" w:fill="1F4E79"/>
          </w:tcPr>
          <w:p w14:paraId="5E588602" w14:textId="77777777" w:rsidR="00264EC3" w:rsidRDefault="00000000">
            <w:r>
              <w:rPr>
                <w:b/>
                <w:bCs/>
                <w:color w:val="FFFFFF"/>
                <w:sz w:val="22"/>
                <w:szCs w:val="22"/>
              </w:rPr>
              <w:t>Fix</w:t>
            </w:r>
          </w:p>
        </w:tc>
      </w:tr>
      <w:tr w:rsidR="00264EC3" w14:paraId="08D10036" w14:textId="77777777">
        <w:tblPrEx>
          <w:tblCellMar>
            <w:top w:w="0" w:type="dxa"/>
            <w:bottom w:w="0" w:type="dxa"/>
          </w:tblCellMar>
        </w:tblPrEx>
        <w:tc>
          <w:tcPr>
            <w:tcW w:w="3000" w:type="dxa"/>
          </w:tcPr>
          <w:p w14:paraId="4D8BF2DC" w14:textId="77777777" w:rsidR="00264EC3" w:rsidRDefault="00000000">
            <w:r>
              <w:rPr>
                <w:color w:val="000000"/>
                <w:sz w:val="22"/>
                <w:szCs w:val="22"/>
              </w:rPr>
              <w:t>Bounds too tight</w:t>
            </w:r>
          </w:p>
        </w:tc>
        <w:tc>
          <w:tcPr>
            <w:tcW w:w="3000" w:type="dxa"/>
          </w:tcPr>
          <w:p w14:paraId="0CF0CECC" w14:textId="77777777" w:rsidR="00264EC3" w:rsidRDefault="00000000">
            <w:r>
              <w:rPr>
                <w:color w:val="000000"/>
                <w:sz w:val="22"/>
                <w:szCs w:val="22"/>
              </w:rPr>
              <w:t>All 5 vars hit upper bound — 300m² PV = 43.2kW, can't cover 50kW</w:t>
            </w:r>
          </w:p>
        </w:tc>
        <w:tc>
          <w:tcPr>
            <w:tcW w:w="3000" w:type="dxa"/>
          </w:tcPr>
          <w:p w14:paraId="0D3A18AB" w14:textId="77777777" w:rsidR="00264EC3" w:rsidRDefault="00000000">
            <w:r>
              <w:rPr>
                <w:color w:val="000000"/>
                <w:sz w:val="22"/>
                <w:szCs w:val="22"/>
              </w:rPr>
              <w:t>Widened bounds to physical range</w:t>
            </w:r>
          </w:p>
        </w:tc>
      </w:tr>
      <w:tr w:rsidR="00264EC3" w14:paraId="16C97586" w14:textId="77777777">
        <w:tblPrEx>
          <w:tblCellMar>
            <w:top w:w="0" w:type="dxa"/>
            <w:bottom w:w="0" w:type="dxa"/>
          </w:tblCellMar>
        </w:tblPrEx>
        <w:tc>
          <w:tcPr>
            <w:tcW w:w="3000" w:type="dxa"/>
          </w:tcPr>
          <w:p w14:paraId="5501D1E9" w14:textId="77777777" w:rsidR="00264EC3" w:rsidRDefault="00000000">
            <w:r>
              <w:rPr>
                <w:color w:val="000000"/>
                <w:sz w:val="22"/>
                <w:szCs w:val="22"/>
              </w:rPr>
              <w:t>LCOE = $0.0041/kWh</w:t>
            </w:r>
          </w:p>
        </w:tc>
        <w:tc>
          <w:tcPr>
            <w:tcW w:w="3000" w:type="dxa"/>
          </w:tcPr>
          <w:p w14:paraId="41DEBD9F" w14:textId="77777777" w:rsidR="00264EC3" w:rsidRDefault="00000000">
            <w:r>
              <w:rPr>
                <w:color w:val="000000"/>
                <w:sz w:val="22"/>
                <w:szCs w:val="22"/>
              </w:rPr>
              <w:t>E_total was 20yr total divided by annualized TAC</w:t>
            </w:r>
          </w:p>
        </w:tc>
        <w:tc>
          <w:tcPr>
            <w:tcW w:w="3000" w:type="dxa"/>
          </w:tcPr>
          <w:p w14:paraId="191D5EC5" w14:textId="77777777" w:rsidR="00264EC3" w:rsidRDefault="00000000">
            <w:r>
              <w:rPr>
                <w:color w:val="000000"/>
                <w:sz w:val="22"/>
                <w:szCs w:val="22"/>
              </w:rPr>
              <w:t>LCOE = TAC_INR / (E_total/lifetime)</w:t>
            </w:r>
          </w:p>
        </w:tc>
      </w:tr>
      <w:tr w:rsidR="00264EC3" w14:paraId="7354B660" w14:textId="77777777">
        <w:tblPrEx>
          <w:tblCellMar>
            <w:top w:w="0" w:type="dxa"/>
            <w:bottom w:w="0" w:type="dxa"/>
          </w:tblCellMar>
        </w:tblPrEx>
        <w:tc>
          <w:tcPr>
            <w:tcW w:w="3000" w:type="dxa"/>
          </w:tcPr>
          <w:p w14:paraId="49AE53DF" w14:textId="77777777" w:rsidR="00264EC3" w:rsidRDefault="00000000">
            <w:r>
              <w:rPr>
                <w:color w:val="000000"/>
                <w:sz w:val="22"/>
                <w:szCs w:val="22"/>
              </w:rPr>
              <w:t>LCOE = $1.59/kWh</w:t>
            </w:r>
          </w:p>
        </w:tc>
        <w:tc>
          <w:tcPr>
            <w:tcW w:w="3000" w:type="dxa"/>
          </w:tcPr>
          <w:p w14:paraId="3FD462B6" w14:textId="77777777" w:rsidR="00264EC3" w:rsidRDefault="00000000">
            <w:r>
              <w:rPr>
                <w:color w:val="000000"/>
                <w:sz w:val="22"/>
                <w:szCs w:val="22"/>
              </w:rPr>
              <w:t>Lifetime multiplier double-applied</w:t>
            </w:r>
          </w:p>
        </w:tc>
        <w:tc>
          <w:tcPr>
            <w:tcW w:w="3000" w:type="dxa"/>
          </w:tcPr>
          <w:p w14:paraId="51DBABA5" w14:textId="77777777" w:rsidR="00264EC3" w:rsidRDefault="00000000">
            <w:r>
              <w:rPr>
                <w:color w:val="000000"/>
                <w:sz w:val="22"/>
                <w:szCs w:val="22"/>
              </w:rPr>
              <w:t>TAC_INR/83 / (E_total/20) = $0.0797 ✓</w:t>
            </w:r>
          </w:p>
        </w:tc>
      </w:tr>
    </w:tbl>
    <w:p w14:paraId="13E56E20" w14:textId="77777777" w:rsidR="00264EC3" w:rsidRDefault="00264EC3"/>
    <w:p w14:paraId="63BE6ECE" w14:textId="77777777" w:rsidR="00264EC3" w:rsidRDefault="00000000">
      <w:pPr>
        <w:pStyle w:val="Heading1"/>
      </w:pPr>
      <w:r>
        <w:t>6. ML Pipeline — Path 3</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3BC58413" w14:textId="77777777">
        <w:tblPrEx>
          <w:tblCellMar>
            <w:top w:w="0" w:type="dxa"/>
            <w:bottom w:w="0" w:type="dxa"/>
          </w:tblCellMar>
        </w:tblPrEx>
        <w:tc>
          <w:tcPr>
            <w:tcW w:w="4500" w:type="dxa"/>
            <w:shd w:val="clear" w:color="1F4E79" w:fill="1F4E79"/>
          </w:tcPr>
          <w:p w14:paraId="1BADC2FC" w14:textId="77777777" w:rsidR="00264EC3" w:rsidRDefault="00000000">
            <w:r>
              <w:rPr>
                <w:b/>
                <w:bCs/>
                <w:color w:val="FFFFFF"/>
                <w:sz w:val="22"/>
                <w:szCs w:val="22"/>
              </w:rPr>
              <w:t>File</w:t>
            </w:r>
          </w:p>
        </w:tc>
        <w:tc>
          <w:tcPr>
            <w:tcW w:w="4500" w:type="dxa"/>
            <w:shd w:val="clear" w:color="1F4E79" w:fill="1F4E79"/>
          </w:tcPr>
          <w:p w14:paraId="741DF178" w14:textId="77777777" w:rsidR="00264EC3" w:rsidRDefault="00000000">
            <w:r>
              <w:rPr>
                <w:b/>
                <w:bCs/>
                <w:color w:val="FFFFFF"/>
                <w:sz w:val="22"/>
                <w:szCs w:val="22"/>
              </w:rPr>
              <w:t>Purpose</w:t>
            </w:r>
          </w:p>
        </w:tc>
      </w:tr>
      <w:tr w:rsidR="00264EC3" w14:paraId="54448ACF" w14:textId="77777777">
        <w:tblPrEx>
          <w:tblCellMar>
            <w:top w:w="0" w:type="dxa"/>
            <w:bottom w:w="0" w:type="dxa"/>
          </w:tblCellMar>
        </w:tblPrEx>
        <w:tc>
          <w:tcPr>
            <w:tcW w:w="4500" w:type="dxa"/>
          </w:tcPr>
          <w:p w14:paraId="2368B3EE" w14:textId="77777777" w:rsidR="00264EC3" w:rsidRDefault="00000000">
            <w:r>
              <w:rPr>
                <w:color w:val="000000"/>
                <w:sz w:val="22"/>
                <w:szCs w:val="22"/>
              </w:rPr>
              <w:t>generate_lhs_dataset.m</w:t>
            </w:r>
          </w:p>
        </w:tc>
        <w:tc>
          <w:tcPr>
            <w:tcW w:w="4500" w:type="dxa"/>
          </w:tcPr>
          <w:p w14:paraId="02CB81F0" w14:textId="77777777" w:rsidR="00264EC3" w:rsidRDefault="00000000">
            <w:r>
              <w:rPr>
                <w:color w:val="000000"/>
                <w:sz w:val="22"/>
                <w:szCs w:val="22"/>
              </w:rPr>
              <w:t>5000 LHS samples → ems_surrogate_data.mat</w:t>
            </w:r>
          </w:p>
        </w:tc>
      </w:tr>
      <w:tr w:rsidR="00264EC3" w14:paraId="5C9652BB" w14:textId="77777777">
        <w:tblPrEx>
          <w:tblCellMar>
            <w:top w:w="0" w:type="dxa"/>
            <w:bottom w:w="0" w:type="dxa"/>
          </w:tblCellMar>
        </w:tblPrEx>
        <w:tc>
          <w:tcPr>
            <w:tcW w:w="4500" w:type="dxa"/>
          </w:tcPr>
          <w:p w14:paraId="648E1100" w14:textId="77777777" w:rsidR="00264EC3" w:rsidRDefault="00000000">
            <w:r>
              <w:rPr>
                <w:color w:val="000000"/>
                <w:sz w:val="22"/>
                <w:szCs w:val="22"/>
              </w:rPr>
              <w:t>surrogate_xgboost.py</w:t>
            </w:r>
          </w:p>
        </w:tc>
        <w:tc>
          <w:tcPr>
            <w:tcW w:w="4500" w:type="dxa"/>
          </w:tcPr>
          <w:p w14:paraId="392F09C3" w14:textId="77777777" w:rsidR="00264EC3" w:rsidRDefault="00000000">
            <w:r>
              <w:rPr>
                <w:color w:val="000000"/>
                <w:sz w:val="22"/>
                <w:szCs w:val="22"/>
              </w:rPr>
              <w:t>XGBoost surrogate training + R² evaluation</w:t>
            </w:r>
          </w:p>
        </w:tc>
      </w:tr>
      <w:tr w:rsidR="00264EC3" w14:paraId="2C5A349E" w14:textId="77777777">
        <w:tblPrEx>
          <w:tblCellMar>
            <w:top w:w="0" w:type="dxa"/>
            <w:bottom w:w="0" w:type="dxa"/>
          </w:tblCellMar>
        </w:tblPrEx>
        <w:tc>
          <w:tcPr>
            <w:tcW w:w="4500" w:type="dxa"/>
          </w:tcPr>
          <w:p w14:paraId="0DF0C86C" w14:textId="77777777" w:rsidR="00264EC3" w:rsidRDefault="00000000">
            <w:r>
              <w:rPr>
                <w:color w:val="000000"/>
                <w:sz w:val="22"/>
                <w:szCs w:val="22"/>
              </w:rPr>
              <w:t>forecast_model.py</w:t>
            </w:r>
          </w:p>
        </w:tc>
        <w:tc>
          <w:tcPr>
            <w:tcW w:w="4500" w:type="dxa"/>
          </w:tcPr>
          <w:p w14:paraId="69458DB4" w14:textId="77777777" w:rsidR="00264EC3" w:rsidRDefault="00000000">
            <w:r>
              <w:rPr>
                <w:color w:val="000000"/>
                <w:sz w:val="22"/>
                <w:szCs w:val="22"/>
              </w:rPr>
              <w:t>Next-hour GHI/Wind/Load forecasting</w:t>
            </w:r>
          </w:p>
        </w:tc>
      </w:tr>
      <w:tr w:rsidR="00264EC3" w14:paraId="57CB6E0B" w14:textId="77777777">
        <w:tblPrEx>
          <w:tblCellMar>
            <w:top w:w="0" w:type="dxa"/>
            <w:bottom w:w="0" w:type="dxa"/>
          </w:tblCellMar>
        </w:tblPrEx>
        <w:tc>
          <w:tcPr>
            <w:tcW w:w="4500" w:type="dxa"/>
          </w:tcPr>
          <w:p w14:paraId="1BA15F67" w14:textId="77777777" w:rsidR="00264EC3" w:rsidRDefault="00000000">
            <w:r>
              <w:rPr>
                <w:color w:val="000000"/>
                <w:sz w:val="22"/>
                <w:szCs w:val="22"/>
              </w:rPr>
              <w:t>surrogate_optimizer.py</w:t>
            </w:r>
          </w:p>
        </w:tc>
        <w:tc>
          <w:tcPr>
            <w:tcW w:w="4500" w:type="dxa"/>
          </w:tcPr>
          <w:p w14:paraId="18D5A945" w14:textId="77777777" w:rsidR="00264EC3" w:rsidRDefault="00000000">
            <w:r>
              <w:rPr>
                <w:color w:val="000000"/>
                <w:sz w:val="22"/>
                <w:szCs w:val="22"/>
              </w:rPr>
              <w:t>DE + PSO using surrogate (100x faster)</w:t>
            </w:r>
          </w:p>
        </w:tc>
      </w:tr>
    </w:tbl>
    <w:p w14:paraId="32497BC1" w14:textId="77777777" w:rsidR="00264EC3" w:rsidRDefault="00264EC3"/>
    <w:p w14:paraId="481D7A32" w14:textId="77777777" w:rsidR="00264EC3" w:rsidRDefault="00000000">
      <w:pPr>
        <w:pStyle w:val="Heading2"/>
      </w:pPr>
      <w:r>
        <w:t>Load Forecasting Results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7E19128E" w14:textId="77777777">
        <w:tblPrEx>
          <w:tblCellMar>
            <w:top w:w="0" w:type="dxa"/>
            <w:bottom w:w="0" w:type="dxa"/>
          </w:tblCellMar>
        </w:tblPrEx>
        <w:tc>
          <w:tcPr>
            <w:tcW w:w="4500" w:type="dxa"/>
            <w:shd w:val="clear" w:color="1F4E79" w:fill="1F4E79"/>
          </w:tcPr>
          <w:p w14:paraId="2DE5BD43" w14:textId="77777777" w:rsidR="00264EC3" w:rsidRDefault="00000000">
            <w:r>
              <w:rPr>
                <w:b/>
                <w:bCs/>
                <w:color w:val="FFFFFF"/>
                <w:sz w:val="22"/>
                <w:szCs w:val="22"/>
              </w:rPr>
              <w:t>Metric</w:t>
            </w:r>
          </w:p>
        </w:tc>
        <w:tc>
          <w:tcPr>
            <w:tcW w:w="4500" w:type="dxa"/>
            <w:shd w:val="clear" w:color="1F4E79" w:fill="1F4E79"/>
          </w:tcPr>
          <w:p w14:paraId="619A78CC" w14:textId="77777777" w:rsidR="00264EC3" w:rsidRDefault="00000000">
            <w:r>
              <w:rPr>
                <w:b/>
                <w:bCs/>
                <w:color w:val="FFFFFF"/>
                <w:sz w:val="22"/>
                <w:szCs w:val="22"/>
              </w:rPr>
              <w:t>Value</w:t>
            </w:r>
          </w:p>
        </w:tc>
      </w:tr>
      <w:tr w:rsidR="00264EC3" w14:paraId="002D1EC3" w14:textId="77777777">
        <w:tblPrEx>
          <w:tblCellMar>
            <w:top w:w="0" w:type="dxa"/>
            <w:bottom w:w="0" w:type="dxa"/>
          </w:tblCellMar>
        </w:tblPrEx>
        <w:tc>
          <w:tcPr>
            <w:tcW w:w="4500" w:type="dxa"/>
          </w:tcPr>
          <w:p w14:paraId="22E9D9BC" w14:textId="77777777" w:rsidR="00264EC3" w:rsidRDefault="00000000">
            <w:r>
              <w:rPr>
                <w:color w:val="000000"/>
                <w:sz w:val="22"/>
                <w:szCs w:val="22"/>
              </w:rPr>
              <w:t>RMSE</w:t>
            </w:r>
          </w:p>
        </w:tc>
        <w:tc>
          <w:tcPr>
            <w:tcW w:w="4500" w:type="dxa"/>
          </w:tcPr>
          <w:p w14:paraId="0052B66D" w14:textId="77777777" w:rsidR="00264EC3" w:rsidRDefault="00000000">
            <w:r>
              <w:rPr>
                <w:color w:val="000000"/>
                <w:sz w:val="22"/>
                <w:szCs w:val="22"/>
              </w:rPr>
              <w:t>0.80 kW</w:t>
            </w:r>
          </w:p>
        </w:tc>
      </w:tr>
      <w:tr w:rsidR="00264EC3" w14:paraId="4A4F7EEC" w14:textId="77777777">
        <w:tblPrEx>
          <w:tblCellMar>
            <w:top w:w="0" w:type="dxa"/>
            <w:bottom w:w="0" w:type="dxa"/>
          </w:tblCellMar>
        </w:tblPrEx>
        <w:tc>
          <w:tcPr>
            <w:tcW w:w="4500" w:type="dxa"/>
          </w:tcPr>
          <w:p w14:paraId="5E01C3EE" w14:textId="77777777" w:rsidR="00264EC3" w:rsidRDefault="00000000">
            <w:r>
              <w:rPr>
                <w:color w:val="000000"/>
                <w:sz w:val="22"/>
                <w:szCs w:val="22"/>
              </w:rPr>
              <w:t>MAE</w:t>
            </w:r>
          </w:p>
        </w:tc>
        <w:tc>
          <w:tcPr>
            <w:tcW w:w="4500" w:type="dxa"/>
          </w:tcPr>
          <w:p w14:paraId="04C6664E" w14:textId="77777777" w:rsidR="00264EC3" w:rsidRDefault="00000000">
            <w:r>
              <w:rPr>
                <w:color w:val="000000"/>
                <w:sz w:val="22"/>
                <w:szCs w:val="22"/>
              </w:rPr>
              <w:t>0.63 kW</w:t>
            </w:r>
          </w:p>
        </w:tc>
      </w:tr>
      <w:tr w:rsidR="00264EC3" w14:paraId="2A3FC826" w14:textId="77777777">
        <w:tblPrEx>
          <w:tblCellMar>
            <w:top w:w="0" w:type="dxa"/>
            <w:bottom w:w="0" w:type="dxa"/>
          </w:tblCellMar>
        </w:tblPrEx>
        <w:tc>
          <w:tcPr>
            <w:tcW w:w="4500" w:type="dxa"/>
          </w:tcPr>
          <w:p w14:paraId="66C5139A" w14:textId="77777777" w:rsidR="00264EC3" w:rsidRDefault="00000000">
            <w:r>
              <w:rPr>
                <w:color w:val="000000"/>
                <w:sz w:val="22"/>
                <w:szCs w:val="22"/>
              </w:rPr>
              <w:t>Relative error</w:t>
            </w:r>
          </w:p>
        </w:tc>
        <w:tc>
          <w:tcPr>
            <w:tcW w:w="4500" w:type="dxa"/>
          </w:tcPr>
          <w:p w14:paraId="318DDC0E" w14:textId="77777777" w:rsidR="00264EC3" w:rsidRDefault="00000000">
            <w:r>
              <w:rPr>
                <w:color w:val="000000"/>
                <w:sz w:val="22"/>
                <w:szCs w:val="22"/>
              </w:rPr>
              <w:t>~1.6% on 50kW system</w:t>
            </w:r>
          </w:p>
        </w:tc>
      </w:tr>
    </w:tbl>
    <w:p w14:paraId="6BEE2315" w14:textId="77777777" w:rsidR="00264EC3" w:rsidRDefault="00264EC3"/>
    <w:p w14:paraId="29C4CF32" w14:textId="77777777" w:rsidR="00264EC3" w:rsidRDefault="00000000">
      <w:pPr>
        <w:pStyle w:val="Heading1"/>
      </w:pPr>
      <w:r>
        <w:t>7. Simulink Model Implementation</w:t>
      </w:r>
    </w:p>
    <w:p w14:paraId="7E4D80A9" w14:textId="77777777" w:rsidR="00264EC3" w:rsidRDefault="00000000">
      <w:r>
        <w:rPr>
          <w:sz w:val="24"/>
          <w:szCs w:val="24"/>
        </w:rPr>
        <w:t>A full Simulink block diagram was built programmatically using add_block and add_line commands covering all subsystems.</w:t>
      </w:r>
    </w:p>
    <w:p w14:paraId="7E4DC8E1" w14:textId="77777777" w:rsidR="00264EC3" w:rsidRDefault="00264EC3"/>
    <w:p w14:paraId="092058C0" w14:textId="77777777" w:rsidR="00264EC3" w:rsidRDefault="00000000">
      <w:pPr>
        <w:pStyle w:val="Heading2"/>
      </w:pPr>
      <w:r>
        <w:t>7.1 Model Configuration</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4EC3" w14:paraId="600EB9BB" w14:textId="77777777">
        <w:tblPrEx>
          <w:tblCellMar>
            <w:top w:w="0" w:type="dxa"/>
            <w:bottom w:w="0" w:type="dxa"/>
          </w:tblCellMar>
        </w:tblPrEx>
        <w:tc>
          <w:tcPr>
            <w:tcW w:w="4500" w:type="dxa"/>
            <w:shd w:val="clear" w:color="1F4E79" w:fill="1F4E79"/>
          </w:tcPr>
          <w:p w14:paraId="38F97EB7" w14:textId="77777777" w:rsidR="00264EC3" w:rsidRDefault="00000000">
            <w:r>
              <w:rPr>
                <w:b/>
                <w:bCs/>
                <w:color w:val="FFFFFF"/>
                <w:sz w:val="22"/>
                <w:szCs w:val="22"/>
              </w:rPr>
              <w:t>Parameter</w:t>
            </w:r>
          </w:p>
        </w:tc>
        <w:tc>
          <w:tcPr>
            <w:tcW w:w="4500" w:type="dxa"/>
            <w:shd w:val="clear" w:color="1F4E79" w:fill="1F4E79"/>
          </w:tcPr>
          <w:p w14:paraId="567EF876" w14:textId="77777777" w:rsidR="00264EC3" w:rsidRDefault="00000000">
            <w:r>
              <w:rPr>
                <w:b/>
                <w:bCs/>
                <w:color w:val="FFFFFF"/>
                <w:sz w:val="22"/>
                <w:szCs w:val="22"/>
              </w:rPr>
              <w:t>Value</w:t>
            </w:r>
          </w:p>
        </w:tc>
      </w:tr>
      <w:tr w:rsidR="00264EC3" w14:paraId="62C36ADC" w14:textId="77777777">
        <w:tblPrEx>
          <w:tblCellMar>
            <w:top w:w="0" w:type="dxa"/>
            <w:bottom w:w="0" w:type="dxa"/>
          </w:tblCellMar>
        </w:tblPrEx>
        <w:tc>
          <w:tcPr>
            <w:tcW w:w="4500" w:type="dxa"/>
          </w:tcPr>
          <w:p w14:paraId="2FF8263B" w14:textId="77777777" w:rsidR="00264EC3" w:rsidRDefault="00000000">
            <w:r>
              <w:rPr>
                <w:color w:val="000000"/>
                <w:sz w:val="22"/>
                <w:szCs w:val="22"/>
              </w:rPr>
              <w:t>Stop time</w:t>
            </w:r>
          </w:p>
        </w:tc>
        <w:tc>
          <w:tcPr>
            <w:tcW w:w="4500" w:type="dxa"/>
          </w:tcPr>
          <w:p w14:paraId="5DDF8378" w14:textId="77777777" w:rsidR="00264EC3" w:rsidRDefault="00000000">
            <w:r>
              <w:rPr>
                <w:color w:val="000000"/>
                <w:sz w:val="22"/>
                <w:szCs w:val="22"/>
              </w:rPr>
              <w:t>604800 s (168 hours = 1 week)</w:t>
            </w:r>
          </w:p>
        </w:tc>
      </w:tr>
      <w:tr w:rsidR="00264EC3" w14:paraId="3EEF7D83" w14:textId="77777777">
        <w:tblPrEx>
          <w:tblCellMar>
            <w:top w:w="0" w:type="dxa"/>
            <w:bottom w:w="0" w:type="dxa"/>
          </w:tblCellMar>
        </w:tblPrEx>
        <w:tc>
          <w:tcPr>
            <w:tcW w:w="4500" w:type="dxa"/>
          </w:tcPr>
          <w:p w14:paraId="7DE752B5" w14:textId="77777777" w:rsidR="00264EC3" w:rsidRDefault="00000000">
            <w:r>
              <w:rPr>
                <w:color w:val="000000"/>
                <w:sz w:val="22"/>
                <w:szCs w:val="22"/>
              </w:rPr>
              <w:t>Step size</w:t>
            </w:r>
          </w:p>
        </w:tc>
        <w:tc>
          <w:tcPr>
            <w:tcW w:w="4500" w:type="dxa"/>
          </w:tcPr>
          <w:p w14:paraId="2E5CF353" w14:textId="77777777" w:rsidR="00264EC3" w:rsidRDefault="00000000">
            <w:r>
              <w:rPr>
                <w:color w:val="000000"/>
                <w:sz w:val="22"/>
                <w:szCs w:val="22"/>
              </w:rPr>
              <w:t>3600 s (1 hour)</w:t>
            </w:r>
          </w:p>
        </w:tc>
      </w:tr>
      <w:tr w:rsidR="00264EC3" w14:paraId="49FA0BD7" w14:textId="77777777">
        <w:tblPrEx>
          <w:tblCellMar>
            <w:top w:w="0" w:type="dxa"/>
            <w:bottom w:w="0" w:type="dxa"/>
          </w:tblCellMar>
        </w:tblPrEx>
        <w:tc>
          <w:tcPr>
            <w:tcW w:w="4500" w:type="dxa"/>
          </w:tcPr>
          <w:p w14:paraId="04AED393" w14:textId="77777777" w:rsidR="00264EC3" w:rsidRDefault="00000000">
            <w:r>
              <w:rPr>
                <w:color w:val="000000"/>
                <w:sz w:val="22"/>
                <w:szCs w:val="22"/>
              </w:rPr>
              <w:t>Solver</w:t>
            </w:r>
          </w:p>
        </w:tc>
        <w:tc>
          <w:tcPr>
            <w:tcW w:w="4500" w:type="dxa"/>
          </w:tcPr>
          <w:p w14:paraId="41F75EBB" w14:textId="77777777" w:rsidR="00264EC3" w:rsidRDefault="00000000">
            <w:r>
              <w:rPr>
                <w:color w:val="000000"/>
                <w:sz w:val="22"/>
                <w:szCs w:val="22"/>
              </w:rPr>
              <w:t>ode45 (variable-step)</w:t>
            </w:r>
          </w:p>
        </w:tc>
      </w:tr>
      <w:tr w:rsidR="00264EC3" w14:paraId="31E968E5" w14:textId="77777777">
        <w:tblPrEx>
          <w:tblCellMar>
            <w:top w:w="0" w:type="dxa"/>
            <w:bottom w:w="0" w:type="dxa"/>
          </w:tblCellMar>
        </w:tblPrEx>
        <w:tc>
          <w:tcPr>
            <w:tcW w:w="4500" w:type="dxa"/>
          </w:tcPr>
          <w:p w14:paraId="18A52421" w14:textId="77777777" w:rsidR="00264EC3" w:rsidRDefault="00000000">
            <w:r>
              <w:rPr>
                <w:color w:val="000000"/>
                <w:sz w:val="22"/>
                <w:szCs w:val="22"/>
              </w:rPr>
              <w:t>Data source</w:t>
            </w:r>
          </w:p>
        </w:tc>
        <w:tc>
          <w:tcPr>
            <w:tcW w:w="4500" w:type="dxa"/>
          </w:tcPr>
          <w:p w14:paraId="1267C47B" w14:textId="77777777" w:rsidR="00264EC3" w:rsidRDefault="00000000">
            <w:r>
              <w:rPr>
                <w:color w:val="000000"/>
                <w:sz w:val="22"/>
                <w:szCs w:val="22"/>
              </w:rPr>
              <w:t>NASA POWER timeseries via From Workspace blocks</w:t>
            </w:r>
          </w:p>
        </w:tc>
      </w:tr>
    </w:tbl>
    <w:p w14:paraId="6269D43C" w14:textId="77777777" w:rsidR="00264EC3" w:rsidRDefault="00264EC3"/>
    <w:p w14:paraId="10FFE0BC" w14:textId="77777777" w:rsidR="00264EC3" w:rsidRDefault="00000000">
      <w:pPr>
        <w:pStyle w:val="Heading2"/>
      </w:pPr>
      <w:r>
        <w:t>7.2 Subsystems Built</w:t>
      </w:r>
    </w:p>
    <w:p w14:paraId="435D4518" w14:textId="77777777" w:rsidR="00264EC3" w:rsidRDefault="00000000">
      <w:pPr>
        <w:pStyle w:val="ListParagraph"/>
        <w:numPr>
          <w:ilvl w:val="0"/>
          <w:numId w:val="1"/>
        </w:numPr>
      </w:pPr>
      <w:r>
        <w:rPr>
          <w:sz w:val="24"/>
          <w:szCs w:val="24"/>
        </w:rPr>
        <w:t>GHI_src, WS_src, Load_src — From Workspace timeseries inputs</w:t>
      </w:r>
    </w:p>
    <w:p w14:paraId="6C30776B" w14:textId="77777777" w:rsidR="00264EC3" w:rsidRDefault="00000000">
      <w:pPr>
        <w:pStyle w:val="ListParagraph"/>
        <w:numPr>
          <w:ilvl w:val="0"/>
          <w:numId w:val="1"/>
        </w:numPr>
      </w:pPr>
      <w:r>
        <w:rPr>
          <w:sz w:val="24"/>
          <w:szCs w:val="24"/>
        </w:rPr>
        <w:t>PV_Gen — Gain block (η × A_pv / 1000 = 0.063126)</w:t>
      </w:r>
    </w:p>
    <w:p w14:paraId="1A622B93" w14:textId="77777777" w:rsidR="00264EC3" w:rsidRDefault="00000000">
      <w:pPr>
        <w:pStyle w:val="ListParagraph"/>
        <w:numPr>
          <w:ilvl w:val="0"/>
          <w:numId w:val="1"/>
        </w:numPr>
      </w:pPr>
      <w:r>
        <w:rPr>
          <w:sz w:val="24"/>
          <w:szCs w:val="24"/>
        </w:rPr>
        <w:t>Wind_Gen — Gain block (0.5 × ρ × Cp × A_wind = 98)</w:t>
      </w:r>
    </w:p>
    <w:p w14:paraId="432E68DD" w14:textId="77777777" w:rsidR="00264EC3" w:rsidRDefault="00000000">
      <w:pPr>
        <w:pStyle w:val="ListParagraph"/>
        <w:numPr>
          <w:ilvl w:val="0"/>
          <w:numId w:val="1"/>
        </w:numPr>
      </w:pPr>
      <w:r>
        <w:rPr>
          <w:sz w:val="24"/>
          <w:szCs w:val="24"/>
        </w:rPr>
        <w:t>Load_kW2W — ×1000 unit conversion</w:t>
      </w:r>
    </w:p>
    <w:p w14:paraId="6679C48B" w14:textId="77777777" w:rsidR="00264EC3" w:rsidRDefault="00000000">
      <w:pPr>
        <w:pStyle w:val="ListParagraph"/>
        <w:numPr>
          <w:ilvl w:val="0"/>
          <w:numId w:val="1"/>
        </w:numPr>
      </w:pPr>
      <w:r>
        <w:rPr>
          <w:sz w:val="24"/>
          <w:szCs w:val="24"/>
        </w:rPr>
        <w:t>PowerSum — Sum block (++-) for net power</w:t>
      </w:r>
    </w:p>
    <w:p w14:paraId="6875F5AA" w14:textId="77777777" w:rsidR="00264EC3" w:rsidRDefault="00000000">
      <w:pPr>
        <w:pStyle w:val="ListParagraph"/>
        <w:numPr>
          <w:ilvl w:val="0"/>
          <w:numId w:val="1"/>
        </w:numPr>
      </w:pPr>
      <w:r>
        <w:rPr>
          <w:sz w:val="24"/>
          <w:szCs w:val="24"/>
        </w:rPr>
        <w:t>Batt_SOC — Integrator (IC = 25,000 Wh × 3600)</w:t>
      </w:r>
    </w:p>
    <w:p w14:paraId="105E6D8D" w14:textId="77777777" w:rsidR="00264EC3" w:rsidRDefault="00000000">
      <w:pPr>
        <w:pStyle w:val="ListParagraph"/>
        <w:numPr>
          <w:ilvl w:val="0"/>
          <w:numId w:val="1"/>
        </w:numPr>
      </w:pPr>
      <w:r>
        <w:rPr>
          <w:sz w:val="24"/>
          <w:szCs w:val="24"/>
        </w:rPr>
        <w:t>Ws2Wh — ÷3600 conversion (W·s → Wh)</w:t>
      </w:r>
    </w:p>
    <w:p w14:paraId="119D7831" w14:textId="77777777" w:rsidR="00264EC3" w:rsidRDefault="00000000">
      <w:pPr>
        <w:pStyle w:val="ListParagraph"/>
        <w:numPr>
          <w:ilvl w:val="0"/>
          <w:numId w:val="1"/>
        </w:numPr>
      </w:pPr>
      <w:r>
        <w:rPr>
          <w:sz w:val="24"/>
          <w:szCs w:val="24"/>
        </w:rPr>
        <w:t>SOC_Limit — Saturation (10,000–50,000 Wh)</w:t>
      </w:r>
    </w:p>
    <w:p w14:paraId="6118AB98" w14:textId="77777777" w:rsidR="00264EC3" w:rsidRDefault="00264EC3"/>
    <w:p w14:paraId="0A7BBE1D" w14:textId="77777777" w:rsidR="00264EC3" w:rsidRDefault="00000000">
      <w:pPr>
        <w:pStyle w:val="Heading2"/>
      </w:pPr>
      <w:r>
        <w:t>7.3 Simulink Block Diagram</w:t>
      </w:r>
    </w:p>
    <w:p w14:paraId="4839147C" w14:textId="77777777" w:rsidR="00264EC3" w:rsidRDefault="00000000">
      <w:pPr>
        <w:jc w:val="center"/>
      </w:pPr>
      <w:r>
        <w:rPr>
          <w:noProof/>
        </w:rPr>
        <w:drawing>
          <wp:inline distT="0" distB="0" distL="0" distR="0" wp14:anchorId="0E8E01F2" wp14:editId="78ED5F67">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048000"/>
                    </a:xfrm>
                    <a:prstGeom prst="rect">
                      <a:avLst/>
                    </a:prstGeom>
                  </pic:spPr>
                </pic:pic>
              </a:graphicData>
            </a:graphic>
          </wp:inline>
        </w:drawing>
      </w:r>
    </w:p>
    <w:p w14:paraId="50D3AA7E" w14:textId="77777777" w:rsidR="00264EC3" w:rsidRDefault="00000000">
      <w:pPr>
        <w:jc w:val="center"/>
      </w:pPr>
      <w:r>
        <w:rPr>
          <w:i/>
          <w:iCs/>
          <w:color w:val="555555"/>
        </w:rPr>
        <w:t>Fig 1: Simulink block diagram — hybrid EMS with PV, Wind, Battery subsystems</w:t>
      </w:r>
    </w:p>
    <w:p w14:paraId="63408E9F" w14:textId="77777777" w:rsidR="00264EC3" w:rsidRDefault="00264EC3"/>
    <w:p w14:paraId="3EAC445A" w14:textId="77777777" w:rsidR="00264EC3" w:rsidRDefault="00000000">
      <w:pPr>
        <w:pStyle w:val="Heading2"/>
      </w:pPr>
      <w:r>
        <w:t>7.4 Simulink Bugs Fixed</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1"/>
        <w:gridCol w:w="2703"/>
        <w:gridCol w:w="3686"/>
      </w:tblGrid>
      <w:tr w:rsidR="00264EC3" w14:paraId="0CB5BF10" w14:textId="77777777">
        <w:tblPrEx>
          <w:tblCellMar>
            <w:top w:w="0" w:type="dxa"/>
            <w:bottom w:w="0" w:type="dxa"/>
          </w:tblCellMar>
        </w:tblPrEx>
        <w:tc>
          <w:tcPr>
            <w:tcW w:w="3000" w:type="dxa"/>
            <w:shd w:val="clear" w:color="1F4E79" w:fill="1F4E79"/>
          </w:tcPr>
          <w:p w14:paraId="71C6FB52" w14:textId="77777777" w:rsidR="00264EC3" w:rsidRDefault="00000000">
            <w:r>
              <w:rPr>
                <w:b/>
                <w:bCs/>
                <w:color w:val="FFFFFF"/>
                <w:sz w:val="22"/>
                <w:szCs w:val="22"/>
              </w:rPr>
              <w:t>Issue</w:t>
            </w:r>
          </w:p>
        </w:tc>
        <w:tc>
          <w:tcPr>
            <w:tcW w:w="3000" w:type="dxa"/>
            <w:shd w:val="clear" w:color="1F4E79" w:fill="1F4E79"/>
          </w:tcPr>
          <w:p w14:paraId="79A475B1" w14:textId="77777777" w:rsidR="00264EC3" w:rsidRDefault="00000000">
            <w:r>
              <w:rPr>
                <w:b/>
                <w:bCs/>
                <w:color w:val="FFFFFF"/>
                <w:sz w:val="22"/>
                <w:szCs w:val="22"/>
              </w:rPr>
              <w:t>Cause</w:t>
            </w:r>
          </w:p>
        </w:tc>
        <w:tc>
          <w:tcPr>
            <w:tcW w:w="3000" w:type="dxa"/>
            <w:shd w:val="clear" w:color="1F4E79" w:fill="1F4E79"/>
          </w:tcPr>
          <w:p w14:paraId="3543FFB6" w14:textId="77777777" w:rsidR="00264EC3" w:rsidRDefault="00000000">
            <w:r>
              <w:rPr>
                <w:b/>
                <w:bCs/>
                <w:color w:val="FFFFFF"/>
                <w:sz w:val="22"/>
                <w:szCs w:val="22"/>
              </w:rPr>
              <w:t>Fix</w:t>
            </w:r>
          </w:p>
        </w:tc>
      </w:tr>
      <w:tr w:rsidR="00264EC3" w14:paraId="1A9D4C88" w14:textId="77777777">
        <w:tblPrEx>
          <w:tblCellMar>
            <w:top w:w="0" w:type="dxa"/>
            <w:bottom w:w="0" w:type="dxa"/>
          </w:tblCellMar>
        </w:tblPrEx>
        <w:tc>
          <w:tcPr>
            <w:tcW w:w="3000" w:type="dxa"/>
          </w:tcPr>
          <w:p w14:paraId="336F8967" w14:textId="77777777" w:rsidR="00264EC3" w:rsidRDefault="00000000">
            <w:r>
              <w:rPr>
                <w:color w:val="000000"/>
                <w:sz w:val="22"/>
                <w:szCs w:val="22"/>
              </w:rPr>
              <w:t>Model not found</w:t>
            </w:r>
          </w:p>
        </w:tc>
        <w:tc>
          <w:tcPr>
            <w:tcW w:w="3000" w:type="dxa"/>
          </w:tcPr>
          <w:p w14:paraId="58F6FDEC" w14:textId="77777777" w:rsidR="00264EC3" w:rsidRDefault="00000000">
            <w:r>
              <w:rPr>
                <w:color w:val="000000"/>
                <w:sz w:val="22"/>
                <w:szCs w:val="22"/>
              </w:rPr>
              <w:t>open_system not called before add_block</w:t>
            </w:r>
          </w:p>
        </w:tc>
        <w:tc>
          <w:tcPr>
            <w:tcW w:w="3000" w:type="dxa"/>
          </w:tcPr>
          <w:p w14:paraId="167827D8" w14:textId="77777777" w:rsidR="00264EC3" w:rsidRDefault="00000000">
            <w:r>
              <w:rPr>
                <w:color w:val="000000"/>
                <w:sz w:val="22"/>
                <w:szCs w:val="22"/>
              </w:rPr>
              <w:t>load_system first</w:t>
            </w:r>
          </w:p>
        </w:tc>
      </w:tr>
      <w:tr w:rsidR="00264EC3" w14:paraId="48276B05" w14:textId="77777777">
        <w:tblPrEx>
          <w:tblCellMar>
            <w:top w:w="0" w:type="dxa"/>
            <w:bottom w:w="0" w:type="dxa"/>
          </w:tblCellMar>
        </w:tblPrEx>
        <w:tc>
          <w:tcPr>
            <w:tcW w:w="3000" w:type="dxa"/>
          </w:tcPr>
          <w:p w14:paraId="1F8DC6B0" w14:textId="77777777" w:rsidR="00264EC3" w:rsidRDefault="00000000">
            <w:r>
              <w:rPr>
                <w:color w:val="000000"/>
                <w:sz w:val="22"/>
                <w:szCs w:val="22"/>
              </w:rPr>
              <w:t>Blocks invisible</w:t>
            </w:r>
          </w:p>
        </w:tc>
        <w:tc>
          <w:tcPr>
            <w:tcW w:w="3000" w:type="dxa"/>
          </w:tcPr>
          <w:p w14:paraId="1D0C1A24" w14:textId="77777777" w:rsidR="00264EC3" w:rsidRDefault="00000000">
            <w:r>
              <w:rPr>
                <w:color w:val="000000"/>
                <w:sz w:val="22"/>
                <w:szCs w:val="22"/>
              </w:rPr>
              <w:t>arrangeSystem not called</w:t>
            </w:r>
          </w:p>
        </w:tc>
        <w:tc>
          <w:tcPr>
            <w:tcW w:w="3000" w:type="dxa"/>
          </w:tcPr>
          <w:p w14:paraId="7453A680" w14:textId="77777777" w:rsidR="00264EC3" w:rsidRDefault="00000000">
            <w:r>
              <w:rPr>
                <w:color w:val="000000"/>
                <w:sz w:val="22"/>
                <w:szCs w:val="22"/>
              </w:rPr>
              <w:t>Simulink.BlockDiagram.arrangeSystem()</w:t>
            </w:r>
          </w:p>
        </w:tc>
      </w:tr>
      <w:tr w:rsidR="00264EC3" w14:paraId="23434EC6" w14:textId="77777777">
        <w:tblPrEx>
          <w:tblCellMar>
            <w:top w:w="0" w:type="dxa"/>
            <w:bottom w:w="0" w:type="dxa"/>
          </w:tblCellMar>
        </w:tblPrEx>
        <w:tc>
          <w:tcPr>
            <w:tcW w:w="3000" w:type="dxa"/>
          </w:tcPr>
          <w:p w14:paraId="2B4175A9" w14:textId="77777777" w:rsidR="00264EC3" w:rsidRDefault="00000000">
            <w:r>
              <w:rPr>
                <w:color w:val="000000"/>
                <w:sz w:val="22"/>
                <w:szCs w:val="22"/>
              </w:rPr>
              <w:t>SOC negative (−14×10⁹)</w:t>
            </w:r>
          </w:p>
        </w:tc>
        <w:tc>
          <w:tcPr>
            <w:tcW w:w="3000" w:type="dxa"/>
          </w:tcPr>
          <w:p w14:paraId="094B9BE1" w14:textId="77777777" w:rsidR="00264EC3" w:rsidRDefault="00000000">
            <w:r>
              <w:rPr>
                <w:color w:val="000000"/>
                <w:sz w:val="22"/>
                <w:szCs w:val="22"/>
              </w:rPr>
              <w:t>Integrator in W·s not Wh, no IC</w:t>
            </w:r>
          </w:p>
        </w:tc>
        <w:tc>
          <w:tcPr>
            <w:tcW w:w="3000" w:type="dxa"/>
          </w:tcPr>
          <w:p w14:paraId="34A7C528" w14:textId="77777777" w:rsidR="00264EC3" w:rsidRDefault="00000000">
            <w:r>
              <w:rPr>
                <w:color w:val="000000"/>
                <w:sz w:val="22"/>
                <w:szCs w:val="22"/>
              </w:rPr>
              <w:t>Added Ws2Wh gain, IC = 25000×3600</w:t>
            </w:r>
          </w:p>
        </w:tc>
      </w:tr>
      <w:tr w:rsidR="00264EC3" w14:paraId="1C17E644" w14:textId="77777777">
        <w:tblPrEx>
          <w:tblCellMar>
            <w:top w:w="0" w:type="dxa"/>
            <w:bottom w:w="0" w:type="dxa"/>
          </w:tblCellMar>
        </w:tblPrEx>
        <w:tc>
          <w:tcPr>
            <w:tcW w:w="3000" w:type="dxa"/>
          </w:tcPr>
          <w:p w14:paraId="6831C118" w14:textId="77777777" w:rsidR="00264EC3" w:rsidRDefault="00000000">
            <w:r>
              <w:rPr>
                <w:color w:val="000000"/>
                <w:sz w:val="22"/>
                <w:szCs w:val="22"/>
              </w:rPr>
              <w:t>SOC flatline at 50k</w:t>
            </w:r>
          </w:p>
        </w:tc>
        <w:tc>
          <w:tcPr>
            <w:tcW w:w="3000" w:type="dxa"/>
          </w:tcPr>
          <w:p w14:paraId="57C99447" w14:textId="77777777" w:rsidR="00264EC3" w:rsidRDefault="00000000">
            <w:r>
              <w:rPr>
                <w:color w:val="000000"/>
                <w:sz w:val="22"/>
                <w:szCs w:val="22"/>
              </w:rPr>
              <w:t>Saturation clamping from start</w:t>
            </w:r>
          </w:p>
        </w:tc>
        <w:tc>
          <w:tcPr>
            <w:tcW w:w="3000" w:type="dxa"/>
          </w:tcPr>
          <w:p w14:paraId="6B4A4A79" w14:textId="77777777" w:rsidR="00264EC3" w:rsidRDefault="00000000">
            <w:r>
              <w:rPr>
                <w:color w:val="000000"/>
                <w:sz w:val="22"/>
                <w:szCs w:val="22"/>
              </w:rPr>
              <w:t>Bypassed scope to raw integrator first</w:t>
            </w:r>
          </w:p>
        </w:tc>
      </w:tr>
      <w:tr w:rsidR="00264EC3" w14:paraId="568C86F1" w14:textId="77777777">
        <w:tblPrEx>
          <w:tblCellMar>
            <w:top w:w="0" w:type="dxa"/>
            <w:bottom w:w="0" w:type="dxa"/>
          </w:tblCellMar>
        </w:tblPrEx>
        <w:tc>
          <w:tcPr>
            <w:tcW w:w="3000" w:type="dxa"/>
          </w:tcPr>
          <w:p w14:paraId="5BE97E2A" w14:textId="77777777" w:rsidR="00264EC3" w:rsidRDefault="00000000">
            <w:r>
              <w:rPr>
                <w:color w:val="000000"/>
                <w:sz w:val="22"/>
                <w:szCs w:val="22"/>
              </w:rPr>
              <w:t>Power_Scope empty</w:t>
            </w:r>
          </w:p>
        </w:tc>
        <w:tc>
          <w:tcPr>
            <w:tcW w:w="3000" w:type="dxa"/>
          </w:tcPr>
          <w:p w14:paraId="279A0BB1" w14:textId="77777777" w:rsidR="00264EC3" w:rsidRDefault="00000000">
            <w:r>
              <w:rPr>
                <w:color w:val="000000"/>
                <w:sz w:val="22"/>
                <w:szCs w:val="22"/>
              </w:rPr>
              <w:t>Line disconnect after rewiring</w:t>
            </w:r>
          </w:p>
        </w:tc>
        <w:tc>
          <w:tcPr>
            <w:tcW w:w="3000" w:type="dxa"/>
          </w:tcPr>
          <w:p w14:paraId="5BBF577F" w14:textId="77777777" w:rsidR="00264EC3" w:rsidRDefault="00000000">
            <w:r>
              <w:rPr>
                <w:color w:val="000000"/>
                <w:sz w:val="22"/>
                <w:szCs w:val="22"/>
              </w:rPr>
              <w:t>Logged via To Workspace + manual plot</w:t>
            </w:r>
          </w:p>
        </w:tc>
      </w:tr>
      <w:tr w:rsidR="00264EC3" w14:paraId="4D1ED0F3" w14:textId="77777777">
        <w:tblPrEx>
          <w:tblCellMar>
            <w:top w:w="0" w:type="dxa"/>
            <w:bottom w:w="0" w:type="dxa"/>
          </w:tblCellMar>
        </w:tblPrEx>
        <w:tc>
          <w:tcPr>
            <w:tcW w:w="3000" w:type="dxa"/>
          </w:tcPr>
          <w:p w14:paraId="6821A34A" w14:textId="77777777" w:rsidR="00264EC3" w:rsidRDefault="00000000">
            <w:r>
              <w:rPr>
                <w:color w:val="000000"/>
                <w:sz w:val="22"/>
                <w:szCs w:val="22"/>
              </w:rPr>
              <w:t>Solver error</w:t>
            </w:r>
          </w:p>
        </w:tc>
        <w:tc>
          <w:tcPr>
            <w:tcW w:w="3000" w:type="dxa"/>
          </w:tcPr>
          <w:p w14:paraId="6D82429E" w14:textId="77777777" w:rsidR="00264EC3" w:rsidRDefault="00000000">
            <w:r>
              <w:rPr>
                <w:color w:val="000000"/>
                <w:sz w:val="22"/>
                <w:szCs w:val="22"/>
              </w:rPr>
              <w:t>FixedStepDiscrete + continuous integrator mismatch</w:t>
            </w:r>
          </w:p>
        </w:tc>
        <w:tc>
          <w:tcPr>
            <w:tcW w:w="3000" w:type="dxa"/>
          </w:tcPr>
          <w:p w14:paraId="3942A774" w14:textId="77777777" w:rsidR="00264EC3" w:rsidRDefault="00000000">
            <w:r>
              <w:rPr>
                <w:color w:val="000000"/>
                <w:sz w:val="22"/>
                <w:szCs w:val="22"/>
              </w:rPr>
              <w:t>Switched to ode45</w:t>
            </w:r>
          </w:p>
        </w:tc>
      </w:tr>
      <w:tr w:rsidR="00264EC3" w14:paraId="4DA68821" w14:textId="77777777">
        <w:tblPrEx>
          <w:tblCellMar>
            <w:top w:w="0" w:type="dxa"/>
            <w:bottom w:w="0" w:type="dxa"/>
          </w:tblCellMar>
        </w:tblPrEx>
        <w:tc>
          <w:tcPr>
            <w:tcW w:w="3000" w:type="dxa"/>
          </w:tcPr>
          <w:p w14:paraId="3242E2E1" w14:textId="77777777" w:rsidR="00264EC3" w:rsidRDefault="00000000">
            <w:r>
              <w:rPr>
                <w:color w:val="000000"/>
                <w:sz w:val="22"/>
                <w:szCs w:val="22"/>
              </w:rPr>
              <w:t>Load unit mismatch</w:t>
            </w:r>
          </w:p>
        </w:tc>
        <w:tc>
          <w:tcPr>
            <w:tcW w:w="3000" w:type="dxa"/>
          </w:tcPr>
          <w:p w14:paraId="4B069B18" w14:textId="77777777" w:rsidR="00264EC3" w:rsidRDefault="00000000">
            <w:r>
              <w:rPr>
                <w:color w:val="000000"/>
                <w:sz w:val="22"/>
                <w:szCs w:val="22"/>
              </w:rPr>
              <w:t>Load in kW, generation in W</w:t>
            </w:r>
          </w:p>
        </w:tc>
        <w:tc>
          <w:tcPr>
            <w:tcW w:w="3000" w:type="dxa"/>
          </w:tcPr>
          <w:p w14:paraId="5778BAE3" w14:textId="77777777" w:rsidR="00264EC3" w:rsidRDefault="00000000">
            <w:r>
              <w:rPr>
                <w:color w:val="000000"/>
                <w:sz w:val="22"/>
                <w:szCs w:val="22"/>
              </w:rPr>
              <w:t>Added Load_kW2W ×1000 gain block</w:t>
            </w:r>
          </w:p>
        </w:tc>
      </w:tr>
    </w:tbl>
    <w:p w14:paraId="08C148E3" w14:textId="77777777" w:rsidR="00264EC3" w:rsidRDefault="00264EC3"/>
    <w:p w14:paraId="7A15D958" w14:textId="77777777" w:rsidR="00264EC3" w:rsidRDefault="00000000">
      <w:pPr>
        <w:pStyle w:val="Heading1"/>
      </w:pPr>
      <w:r>
        <w:t>8. Simulation Results</w:t>
      </w:r>
    </w:p>
    <w:p w14:paraId="333FFD9B" w14:textId="77777777" w:rsidR="00264EC3" w:rsidRDefault="00000000">
      <w:pPr>
        <w:pStyle w:val="Heading2"/>
      </w:pPr>
      <w:r>
        <w:t>8.1 SOC Scope — Battery State of Charge</w:t>
      </w:r>
    </w:p>
    <w:p w14:paraId="38F0E7DE" w14:textId="1BA73123" w:rsidR="00264EC3" w:rsidRDefault="00000000">
      <w:pPr>
        <w:jc w:val="center"/>
      </w:pPr>
      <w:r>
        <w:rPr>
          <w:noProof/>
        </w:rPr>
        <w:drawing>
          <wp:inline distT="0" distB="0" distL="0" distR="0" wp14:anchorId="4571DEFD" wp14:editId="3C847164">
            <wp:extent cx="3238500" cy="2667000"/>
            <wp:effectExtent l="0" t="0" r="0" b="0"/>
            <wp:docPr id="1494113230" name="Picture 149411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667000"/>
                    </a:xfrm>
                    <a:prstGeom prst="rect">
                      <a:avLst/>
                    </a:prstGeom>
                  </pic:spPr>
                </pic:pic>
              </a:graphicData>
            </a:graphic>
          </wp:inline>
        </w:drawing>
      </w:r>
      <w:r>
        <w:t xml:space="preserve">   </w:t>
      </w:r>
    </w:p>
    <w:p w14:paraId="0CFC1135" w14:textId="77777777" w:rsidR="00264EC3" w:rsidRDefault="00000000">
      <w:pPr>
        <w:jc w:val="center"/>
      </w:pPr>
      <w:r>
        <w:rPr>
          <w:i/>
          <w:iCs/>
          <w:color w:val="555555"/>
        </w:rPr>
        <w:t>Fig 2: SOC scope — starts 25,000 Wh, drains to 10,000 Wh lower limit (left: corrected, right: earlier run)</w:t>
      </w:r>
    </w:p>
    <w:p w14:paraId="3D2CE4C3" w14:textId="77777777" w:rsidR="00264EC3" w:rsidRDefault="00264EC3"/>
    <w:p w14:paraId="7E50E3C1" w14:textId="77777777" w:rsidR="00264EC3" w:rsidRDefault="00000000">
      <w:r>
        <w:rPr>
          <w:sz w:val="24"/>
          <w:szCs w:val="24"/>
        </w:rPr>
        <w:t>The SOC drains rapidly to the lower saturation limit (10,000 Wh = 20% of 50 kWh capacity) confirming that PV+Wind generation is insufficient to cover the 50 kW village load continuously. This validates the MATLAB optimizer result where H2 storage components were at lower bounds and grid import was required.</w:t>
      </w:r>
    </w:p>
    <w:p>
      <w:pPr>
        <w:jc w:val="center"/>
      </w:pPr>
      <w:r>
        <w:rPr/>
        <w:drawing>
          <wp:inline xmlns:wp="http://schemas.openxmlformats.org/drawingml/2006/wordprocessingDrawing" distT="0" distB="0" distL="0" distR="0">
            <wp:extent cx="5029200" cy="2334877"/>
            <wp:effectExtent l="0" t="0" r="0" b="0"/>
            <wp:docPr id="14" name="Battery_SOC_Simulink_P8_168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ttery_SOC_Simulink_P8_168hr"/>
                    <pic:cNvPicPr/>
                  </pic:nvPicPr>
                  <pic:blipFill>
                    <a:blip xmlns:r="http://schemas.openxmlformats.org/officeDocument/2006/relationships" r:embed="rId14"/>
                    <a:stretch>
                      <a:fillRect/>
                    </a:stretch>
                  </pic:blipFill>
                  <pic:spPr>
                    <a:xfrm>
                      <a:off x="0" y="0"/>
                      <a:ext cx="5029200" cy="2334877"/>
                    </a:xfrm>
                    <a:prstGeom prst="rect">
                      <a:avLst/>
                    </a:prstGeom>
                  </pic:spPr>
                </pic:pic>
              </a:graphicData>
            </a:graphic>
          </wp:inline>
        </w:drawing>
      </w:r>
    </w:p>
    <w:p>
      <w:pPr>
        <w:jc w:val="center"/>
        <w:spacing w:before="40" w:after="160"/>
      </w:pPr>
      <w:r>
        <w:rPr>
          <w:i/>
          <w:color w:val="5D6D7E"/>
          <w:sz w:val="18"/>
        </w:rPr>
        <w:t>Fig 8a: Battery SOC — Simulink P8 (168 hr, GWO Design). SOC oscillates correctly between SOC_min=12.4 kWh and SOC_max=61.95 kWh over 7 weekly cycles. Peak charge amplitude degrades toward end of week, consistent with seasonal resource reduction.</w:t>
      </w:r>
    </w:p>
    <w:p>
      <w:pPr>
        <w:jc w:val="center"/>
      </w:pPr>
      <w:r>
        <w:rPr/>
        <w:drawing>
          <wp:inline xmlns:wp="http://schemas.openxmlformats.org/drawingml/2006/wordprocessingDrawing" distT="0" distB="0" distL="0" distR="0">
            <wp:extent cx="5029200" cy="2375155"/>
            <wp:effectExtent l="0" t="0" r="0" b="0"/>
            <wp:docPr id="18" name="SOC_Validation_MATLAB_vs_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OC_Validation_MATLAB_vs_Simulink"/>
                    <pic:cNvPicPr/>
                  </pic:nvPicPr>
                  <pic:blipFill>
                    <a:blip xmlns:r="http://schemas.openxmlformats.org/officeDocument/2006/relationships" r:embed="rId18"/>
                    <a:stretch>
                      <a:fillRect/>
                    </a:stretch>
                  </pic:blipFill>
                  <pic:spPr>
                    <a:xfrm>
                      <a:off x="0" y="0"/>
                      <a:ext cx="5029200" cy="2375155"/>
                    </a:xfrm>
                    <a:prstGeom prst="rect">
                      <a:avLst/>
                    </a:prstGeom>
                  </pic:spPr>
                </pic:pic>
              </a:graphicData>
            </a:graphic>
          </wp:inline>
        </w:drawing>
      </w:r>
    </w:p>
    <w:p>
      <w:pPr>
        <w:jc w:val="center"/>
        <w:spacing w:before="40" w:after="160"/>
      </w:pPr>
      <w:r>
        <w:rPr>
          <w:i/>
          <w:color w:val="5D6D7E"/>
          <w:sz w:val="18"/>
        </w:rPr>
        <w:t>Fig 8b: SOC Validation — MATLAB Loop vs Simulink (168 hr). Blue solid = MATLAB rule-based dispatch; red dashed = Simulink block model. Max SOC diff = 0.00 Wh, confirming identical dispatch logic across both implementations.</w:t>
      </w:r>
    </w:p>
    <w:p w14:paraId="003E57EE" w14:textId="77777777" w:rsidR="00264EC3" w:rsidRDefault="00264EC3"/>
    <w:p w14:paraId="72BFFFD4" w14:textId="77777777" w:rsidR="00264EC3" w:rsidRDefault="00000000">
      <w:pPr>
        <w:pStyle w:val="Heading2"/>
      </w:pPr>
      <w:r>
        <w:t>8.2 Net Power Plot — PV + Wind − Load (168 hours)</w:t>
      </w:r>
    </w:p>
    <w:p w14:paraId="4AC654F6" w14:textId="77777777" w:rsidR="00264EC3" w:rsidRDefault="00000000">
      <w:pPr>
        <w:jc w:val="center"/>
      </w:pPr>
      <w:r>
        <w:rPr>
          <w:noProof/>
        </w:rPr>
        <w:drawing>
          <wp:inline distT="0" distB="0" distL="0" distR="0" wp14:anchorId="71094108" wp14:editId="0B10B417">
            <wp:extent cx="5334000" cy="3048000"/>
            <wp:effectExtent l="0" t="0" r="0" b="0"/>
            <wp:docPr id="987099426" name="Picture 98709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35B64DA4" w14:textId="77777777" w:rsidR="00264EC3" w:rsidRDefault="00000000">
      <w:pPr>
        <w:jc w:val="center"/>
      </w:pPr>
      <w:r>
        <w:rPr>
          <w:i/>
          <w:iCs/>
          <w:color w:val="555555"/>
        </w:rPr>
        <w:t>Fig 3: Net power (kW) over 168 hours — 7 clear diurnal cycles, always negative confirming grid/storage dependency</w:t>
      </w:r>
    </w:p>
    <w:p w14:paraId="2DCD521D" w14:textId="77777777" w:rsidR="00264EC3" w:rsidRDefault="00264EC3"/>
    <w:p w14:paraId="38D3EB97" w14:textId="77777777" w:rsidR="00264EC3" w:rsidRDefault="00000000">
      <w:r>
        <w:rPr>
          <w:sz w:val="24"/>
          <w:szCs w:val="24"/>
        </w:rPr>
        <w:t>Key observations from the net power plot:</w:t>
      </w:r>
    </w:p>
    <w:p w14:paraId="3501DD84" w14:textId="77777777" w:rsidR="00264EC3" w:rsidRDefault="00000000">
      <w:pPr>
        <w:pStyle w:val="ListParagraph"/>
        <w:numPr>
          <w:ilvl w:val="0"/>
          <w:numId w:val="1"/>
        </w:numPr>
      </w:pPr>
      <w:r>
        <w:rPr>
          <w:sz w:val="24"/>
          <w:szCs w:val="24"/>
        </w:rPr>
        <w:t>7 complete diurnal cycles visible over 168-hour (1-week) simulation</w:t>
      </w:r>
    </w:p>
    <w:p>
      <w:pPr>
        <w:jc w:val="center"/>
      </w:pPr>
      <w:r>
        <w:rPr/>
        <w:drawing>
          <wp:inline xmlns:wp="http://schemas.openxmlformats.org/drawingml/2006/wordprocessingDrawing" distT="0" distB="0" distL="0" distR="0">
            <wp:extent cx="5029200" cy="3577281"/>
            <wp:effectExtent l="0" t="0" r="0" b="0"/>
            <wp:docPr id="17" name="Power_Dispatch_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ower_Dispatch_2004"/>
                    <pic:cNvPicPr/>
                  </pic:nvPicPr>
                  <pic:blipFill>
                    <a:blip xmlns:r="http://schemas.openxmlformats.org/officeDocument/2006/relationships" r:embed="rId17"/>
                    <a:stretch>
                      <a:fillRect/>
                    </a:stretch>
                  </pic:blipFill>
                  <pic:spPr>
                    <a:xfrm>
                      <a:off x="0" y="0"/>
                      <a:ext cx="5029200" cy="3577281"/>
                    </a:xfrm>
                    <a:prstGeom prst="rect">
                      <a:avLst/>
                    </a:prstGeom>
                  </pic:spPr>
                </pic:pic>
              </a:graphicData>
            </a:graphic>
          </wp:inline>
        </w:drawing>
      </w:r>
    </w:p>
    <w:p>
      <w:pPr>
        <w:jc w:val="center"/>
        <w:spacing w:before="40" w:after="160"/>
      </w:pPr>
      <w:r>
        <w:rPr>
          <w:i/>
          <w:color w:val="5D6D7E"/>
          <w:sz w:val="18"/>
        </w:rPr>
        <w:t>Fig: Power Dispatch — First Week (2004). PV dominates daytime; wind provides 5–17 kW baseline; fuel cell flatlines (H2 exhausted).</w:t>
      </w:r>
    </w:p>
    <w:p>
      <w:pPr>
        <w:jc w:val="center"/>
      </w:pPr>
      <w:r>
        <w:rPr/>
        <w:drawing>
          <wp:inline xmlns:wp="http://schemas.openxmlformats.org/drawingml/2006/wordprocessingDrawing" distT="0" distB="0" distL="0" distR="0">
            <wp:extent cx="5029200" cy="3577281"/>
            <wp:effectExtent l="0" t="0" r="0" b="0"/>
            <wp:docPr id="19" name="P10_30day_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10_30day_dispatch"/>
                    <pic:cNvPicPr/>
                  </pic:nvPicPr>
                  <pic:blipFill>
                    <a:blip xmlns:r="http://schemas.openxmlformats.org/officeDocument/2006/relationships" r:embed="rId19"/>
                    <a:stretch>
                      <a:fillRect/>
                    </a:stretch>
                  </pic:blipFill>
                  <pic:spPr>
                    <a:xfrm>
                      <a:off x="0" y="0"/>
                      <a:ext cx="5029200" cy="3577281"/>
                    </a:xfrm>
                    <a:prstGeom prst="rect">
                      <a:avLst/>
                    </a:prstGeom>
                  </pic:spPr>
                </pic:pic>
              </a:graphicData>
            </a:graphic>
          </wp:inline>
        </w:drawing>
      </w:r>
    </w:p>
    <w:p>
      <w:pPr>
        <w:jc w:val="center"/>
        <w:spacing w:before="40" w:after="160"/>
      </w:pPr>
      <w:r>
        <w:rPr>
          <w:i/>
          <w:color w:val="5D6D7E"/>
          <w:sz w:val="18"/>
        </w:rPr>
        <w:t>Fig P10: 30-Day EMS Dispatch (Jan, 720 hr). Top: PV/Wind generation vs load. Middle: Battery SOC (20–100%) and H2 tank depletion. Bottom: Unmet load — LPSP=38.81%, SSR=61.19%. Winter is reliability-critical season.</w:t>
      </w:r>
    </w:p>
    <w:p w14:paraId="239BECBE" w14:textId="77777777" w:rsidR="00264EC3" w:rsidRDefault="00000000">
      <w:pPr>
        <w:pStyle w:val="ListParagraph"/>
        <w:numPr>
          <w:ilvl w:val="0"/>
          <w:numId w:val="1"/>
        </w:numPr>
      </w:pPr>
      <w:r>
        <w:rPr>
          <w:sz w:val="24"/>
          <w:szCs w:val="24"/>
        </w:rPr>
        <w:t>Peaks at −9 kW = daytime (PV contributing ~0–22 kW, load moderate)</w:t>
      </w:r>
    </w:p>
    <w:p w14:paraId="2FD5FC0F" w14:textId="77777777" w:rsidR="00264EC3" w:rsidRDefault="00000000">
      <w:pPr>
        <w:pStyle w:val="ListParagraph"/>
        <w:numPr>
          <w:ilvl w:val="0"/>
          <w:numId w:val="1"/>
        </w:numPr>
      </w:pPr>
      <w:r>
        <w:rPr>
          <w:sz w:val="24"/>
          <w:szCs w:val="24"/>
        </w:rPr>
        <w:t>Troughs at −45 kW = evening peak load (18–22h), zero PV contribution</w:t>
      </w:r>
    </w:p>
    <w:p w14:paraId="3F33866B" w14:textId="77777777" w:rsidR="00264EC3" w:rsidRDefault="00000000">
      <w:pPr>
        <w:pStyle w:val="ListParagraph"/>
        <w:numPr>
          <w:ilvl w:val="0"/>
          <w:numId w:val="1"/>
        </w:numPr>
      </w:pPr>
      <w:r>
        <w:rPr>
          <w:sz w:val="24"/>
          <w:szCs w:val="24"/>
        </w:rPr>
        <w:t>Net power always negative — generation never self-sufficient, grid/battery always needed</w:t>
      </w:r>
    </w:p>
    <w:p w14:paraId="36B88ED6" w14:textId="77777777" w:rsidR="00264EC3" w:rsidRDefault="00000000">
      <w:pPr>
        <w:pStyle w:val="ListParagraph"/>
        <w:numPr>
          <w:ilvl w:val="0"/>
          <w:numId w:val="1"/>
        </w:numPr>
      </w:pPr>
      <w:r>
        <w:rPr>
          <w:sz w:val="24"/>
          <w:szCs w:val="24"/>
        </w:rPr>
        <w:t>Validates MATLAB result: H2 subsystem at lower bound is physically justified</w:t>
      </w:r>
    </w:p>
    <w:p w14:paraId="614C8B05" w14:textId="77777777" w:rsidR="00264EC3" w:rsidRDefault="00264EC3"/>
    <w:p w14:paraId="507E3281" w14:textId="77777777" w:rsidR="00264EC3" w:rsidRDefault="00000000">
      <w:pPr>
        <w:pStyle w:val="Heading1"/>
      </w:pPr>
      <w:r>
        <w:t>9. Paper Contribution Statement</w:t>
      </w:r>
    </w:p>
    <w:p w14:paraId="14646A17" w14:textId="77777777" w:rsidR="00264EC3" w:rsidRDefault="00000000">
      <w:r>
        <w:rPr>
          <w:i/>
          <w:iCs/>
          <w:color w:val="1F4E79"/>
          <w:sz w:val="24"/>
          <w:szCs w:val="24"/>
        </w:rPr>
        <w:t>"We present a techno-economic optimization of a hybrid PV-wind-battery-hydrogen energy management system for a 50kW village load in Coimbatore, India, using 20 years of real NASA POWER meteorological data. GA and PSO optimizers are compared on LCOE minimization incorporating MNRE subsidies and carbon credit scenarios. An XGBoost surrogate model accelerates the optimization search, and separate forecasting models predict next-hour solar, wind, and load with &lt;2% error."</w:t>
      </w:r>
    </w:p>
    <w:p w14:paraId="6B46A50E" w14:textId="77777777" w:rsidR="00264EC3" w:rsidRDefault="00264EC3"/>
    <w:p>
      <w:pPr>
        <w:pStyle w:val="Heading1"/>
      </w:pPr>
      <w:r>
        <w:t>10. Sensitivity Analysis</w:t>
      </w:r>
    </w:p>
    <w:p>
      <w:r>
        <w:rPr>
          <w:color w:val="000000"/>
          <w:sz w:val="22"/>
          <w:szCs w:val="22"/>
        </w:rPr>
        <w:t>Parametric sensitivity was performed on two key policy variables: MNRE PV subsidy rate and carbon credit price. Both analyses used the PSO-optimal configuration (A_pv=350.7 m², A_wind=400 m², Battery=50 kWh) as the fixed baseline.</w:t>
      </w:r>
    </w:p>
    <w:p/>
    <w:p>
      <w:pPr>
        <w:pStyle w:val="Heading2"/>
      </w:pPr>
      <w:r>
        <w:t>10.1 LCOE vs PV Subsidy Rate</w:t>
      </w:r>
    </w:p>
    <w:p>
      <w:r>
        <w:rPr>
          <w:color w:val="000000"/>
          <w:sz w:val="22"/>
          <w:szCs w:val="22"/>
        </w:rPr>
        <w:t>PV subsidy rate swept from 0% to 40% (MNRE baseline = 30%). LCOE reduces from ~9.5 ¢/kWh at 0% subsidy to ~7.4 ¢/kWh at 40%, a 22% reduction. Slope approximately linear at −0.053 ¢/kWh per 1% subsidy increase.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shd w:val="clear" w:color="1F4E79" w:fill="1F4E79"/>
          </w:tcPr>
          <w:p>
            <w:r>
              <w:rPr>
                <w:b/>
                <w:bCs/>
                <w:color w:val="FFFFFF"/>
                <w:sz w:val="22"/>
                <w:szCs w:val="22"/>
              </w:rPr>
              <w:t>PV Subsidy Rate</w:t>
            </w:r>
          </w:p>
        </w:tc>
        <w:tc>
          <w:tcPr>
            <w:tcW w:w="4500" w:type="dxa"/>
            <w:shd w:val="clear" w:color="1F4E79" w:fill="1F4E79"/>
          </w:tcPr>
          <w:p>
            <w:r>
              <w:rPr>
                <w:b/>
                <w:bCs/>
                <w:color w:val="FFFFFF"/>
                <w:sz w:val="22"/>
                <w:szCs w:val="22"/>
              </w:rPr>
              <w:t>LCOE (¢/kWh)</w:t>
            </w:r>
          </w:p>
        </w:tc>
      </w:tr>
      <w:tr>
        <w:tc>
          <w:tcPr>
            <w:tcW w:w="4500" w:type="dxa"/>
          </w:tcPr>
          <w:p>
            <w:r>
              <w:rPr>
                <w:color w:val="000000"/>
                <w:sz w:val="22"/>
                <w:szCs w:val="22"/>
              </w:rPr>
              <w:t>0%</w:t>
            </w:r>
          </w:p>
        </w:tc>
        <w:tc>
          <w:tcPr>
            <w:tcW w:w="4500" w:type="dxa"/>
          </w:tcPr>
          <w:p>
            <w:r>
              <w:rPr>
                <w:color w:val="000000"/>
                <w:sz w:val="22"/>
                <w:szCs w:val="22"/>
              </w:rPr>
              <w:t>~95.0</w:t>
            </w:r>
          </w:p>
        </w:tc>
      </w:tr>
      <w:tr>
        <w:tc>
          <w:tcPr>
            <w:tcW w:w="4500" w:type="dxa"/>
          </w:tcPr>
          <w:p>
            <w:r>
              <w:rPr>
                <w:color w:val="000000"/>
                <w:sz w:val="22"/>
                <w:szCs w:val="22"/>
              </w:rPr>
              <w:t>10%</w:t>
            </w:r>
          </w:p>
        </w:tc>
        <w:tc>
          <w:tcPr>
            <w:tcW w:w="4500" w:type="dxa"/>
          </w:tcPr>
          <w:p>
            <w:r>
              <w:rPr>
                <w:color w:val="000000"/>
                <w:sz w:val="22"/>
                <w:szCs w:val="22"/>
              </w:rPr>
              <w:t>~90.0</w:t>
            </w:r>
          </w:p>
        </w:tc>
      </w:tr>
      <w:tr>
        <w:tc>
          <w:tcPr>
            <w:tcW w:w="4500" w:type="dxa"/>
          </w:tcPr>
          <w:p>
            <w:r>
              <w:rPr>
                <w:color w:val="000000"/>
                <w:sz w:val="22"/>
                <w:szCs w:val="22"/>
              </w:rPr>
              <w:t>20%</w:t>
            </w:r>
          </w:p>
        </w:tc>
        <w:tc>
          <w:tcPr>
            <w:tcW w:w="4500" w:type="dxa"/>
          </w:tcPr>
          <w:p>
            <w:r>
              <w:rPr>
                <w:color w:val="000000"/>
                <w:sz w:val="22"/>
                <w:szCs w:val="22"/>
              </w:rPr>
              <w:t>~84.5</w:t>
            </w:r>
          </w:p>
        </w:tc>
      </w:tr>
      <w:tr>
        <w:tc>
          <w:tcPr>
            <w:tcW w:w="4500" w:type="dxa"/>
          </w:tcPr>
          <w:p>
            <w:r>
              <w:rPr>
                <w:color w:val="000000"/>
                <w:sz w:val="22"/>
                <w:szCs w:val="22"/>
              </w:rPr>
              <w:t>30% (MNRE baseline)</w:t>
            </w:r>
          </w:p>
        </w:tc>
        <w:tc>
          <w:tcPr>
            <w:tcW w:w="4500" w:type="dxa"/>
          </w:tcPr>
          <w:p>
            <w:r>
              <w:rPr>
                <w:color w:val="000000"/>
                <w:sz w:val="22"/>
                <w:szCs w:val="22"/>
              </w:rPr>
              <w:t>~79.4</w:t>
            </w:r>
          </w:p>
        </w:tc>
      </w:tr>
      <w:tr>
        <w:tc>
          <w:tcPr>
            <w:tcW w:w="4500" w:type="dxa"/>
          </w:tcPr>
          <w:p>
            <w:r>
              <w:rPr>
                <w:color w:val="000000"/>
                <w:sz w:val="22"/>
                <w:szCs w:val="22"/>
              </w:rPr>
              <w:t>40%</w:t>
            </w:r>
          </w:p>
        </w:tc>
        <w:tc>
          <w:tcPr>
            <w:tcW w:w="4500" w:type="dxa"/>
          </w:tcPr>
          <w:p>
            <w:r>
              <w:rPr>
                <w:color w:val="000000"/>
                <w:sz w:val="22"/>
                <w:szCs w:val="22"/>
              </w:rPr>
              <w:t>~74.0</w:t>
            </w:r>
          </w:p>
        </w:tc>
      </w:tr>
    </w:tbl>
    <w:p/>
    <w:p>
      <w:r>
        <w:rPr>
          <w:i/>
          <w:color w:val="595959"/>
          <w:sz w:val="20"/>
          <w:szCs w:val="20"/>
        </w:rPr>
        <w:t>Fig 4: LCOE vs PV Subsidy Rate — linear decrease, slope −0.053 ¢/kWh per 1% subsidy. Plot generated by ems_sensitivity.m.</w:t>
      </w:r>
    </w:p>
    <w:p/>
    <w:p>
      <w:pPr>
        <w:pStyle w:val="Heading2"/>
      </w:pPr>
      <w:r>
        <w:t>10.2 LCOE vs Carbon Credit Price</w:t>
      </w:r>
    </w:p>
    <w:p>
      <w:r>
        <w:rPr>
          <w:color w:val="000000"/>
          <w:sz w:val="22"/>
          <w:szCs w:val="22"/>
        </w:rPr>
        <w:t>Carbon credit price swept from ₹0 to ₹100/tCO₂ (baseline = ₹50/tCO₂, 0.82 kg/kWh avoided emission factor). LCOE reduces from ~9.1 ¢/kWh at ₹0 to ~6.8 ¢/kWh at ₹100/tCO₂. Each ₹10/tCO₂ increment reduces LCOE by ~0.23 ¢/kWh.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shd w:val="clear" w:color="1F4E79" w:fill="1F4E79"/>
          </w:tcPr>
          <w:p>
            <w:r>
              <w:rPr>
                <w:b/>
                <w:bCs/>
                <w:color w:val="FFFFFF"/>
                <w:sz w:val="22"/>
                <w:szCs w:val="22"/>
              </w:rPr>
              <w:t>Carbon Credit Price (₹/tCO₂)</w:t>
            </w:r>
          </w:p>
        </w:tc>
        <w:tc>
          <w:tcPr>
            <w:tcW w:w="4500" w:type="dxa"/>
            <w:shd w:val="clear" w:color="1F4E79" w:fill="1F4E79"/>
          </w:tcPr>
          <w:p>
            <w:r>
              <w:rPr>
                <w:b/>
                <w:bCs/>
                <w:color w:val="FFFFFF"/>
                <w:sz w:val="22"/>
                <w:szCs w:val="22"/>
              </w:rPr>
              <w:t>LCOE (¢/kWh)</w:t>
            </w:r>
          </w:p>
        </w:tc>
      </w:tr>
      <w:tr>
        <w:tc>
          <w:tcPr>
            <w:tcW w:w="4500" w:type="dxa"/>
          </w:tcPr>
          <w:p>
            <w:r>
              <w:rPr>
                <w:color w:val="000000"/>
                <w:sz w:val="22"/>
                <w:szCs w:val="22"/>
              </w:rPr>
              <w:t>0</w:t>
            </w:r>
          </w:p>
        </w:tc>
        <w:tc>
          <w:tcPr>
            <w:tcW w:w="4500" w:type="dxa"/>
          </w:tcPr>
          <w:p>
            <w:r>
              <w:rPr>
                <w:color w:val="000000"/>
                <w:sz w:val="22"/>
                <w:szCs w:val="22"/>
              </w:rPr>
              <w:t>~91.0</w:t>
            </w:r>
          </w:p>
        </w:tc>
      </w:tr>
      <w:tr>
        <w:tc>
          <w:tcPr>
            <w:tcW w:w="4500" w:type="dxa"/>
          </w:tcPr>
          <w:p>
            <w:r>
              <w:rPr>
                <w:color w:val="000000"/>
                <w:sz w:val="22"/>
                <w:szCs w:val="22"/>
              </w:rPr>
              <w:t>25</w:t>
            </w:r>
          </w:p>
        </w:tc>
        <w:tc>
          <w:tcPr>
            <w:tcW w:w="4500" w:type="dxa"/>
          </w:tcPr>
          <w:p>
            <w:r>
              <w:rPr>
                <w:color w:val="000000"/>
                <w:sz w:val="22"/>
                <w:szCs w:val="22"/>
              </w:rPr>
              <w:t>~84.9</w:t>
            </w:r>
          </w:p>
        </w:tc>
      </w:tr>
      <w:tr>
        <w:tc>
          <w:tcPr>
            <w:tcW w:w="4500" w:type="dxa"/>
          </w:tcPr>
          <w:p>
            <w:r>
              <w:rPr>
                <w:color w:val="000000"/>
                <w:sz w:val="22"/>
                <w:szCs w:val="22"/>
              </w:rPr>
              <w:t>50 (baseline)</w:t>
            </w:r>
          </w:p>
        </w:tc>
        <w:tc>
          <w:tcPr>
            <w:tcW w:w="4500" w:type="dxa"/>
          </w:tcPr>
          <w:p>
            <w:r>
              <w:rPr>
                <w:color w:val="000000"/>
                <w:sz w:val="22"/>
                <w:szCs w:val="22"/>
              </w:rPr>
              <w:t>~79.4</w:t>
            </w:r>
          </w:p>
        </w:tc>
      </w:tr>
      <w:tr>
        <w:tc>
          <w:tcPr>
            <w:tcW w:w="4500" w:type="dxa"/>
          </w:tcPr>
          <w:p>
            <w:r>
              <w:rPr>
                <w:color w:val="000000"/>
                <w:sz w:val="22"/>
                <w:szCs w:val="22"/>
              </w:rPr>
              <w:t>75</w:t>
            </w:r>
          </w:p>
        </w:tc>
        <w:tc>
          <w:tcPr>
            <w:tcW w:w="4500" w:type="dxa"/>
          </w:tcPr>
          <w:p>
            <w:r>
              <w:rPr>
                <w:color w:val="000000"/>
                <w:sz w:val="22"/>
                <w:szCs w:val="22"/>
              </w:rPr>
              <w:t>~73.5</w:t>
            </w:r>
          </w:p>
        </w:tc>
      </w:tr>
      <w:tr>
        <w:tc>
          <w:tcPr>
            <w:tcW w:w="4500" w:type="dxa"/>
          </w:tcPr>
          <w:p>
            <w:r>
              <w:rPr>
                <w:color w:val="000000"/>
                <w:sz w:val="22"/>
                <w:szCs w:val="22"/>
              </w:rPr>
              <w:t>100</w:t>
            </w:r>
          </w:p>
        </w:tc>
        <w:tc>
          <w:tcPr>
            <w:tcW w:w="4500" w:type="dxa"/>
          </w:tcPr>
          <w:p>
            <w:r>
              <w:rPr>
                <w:color w:val="000000"/>
                <w:sz w:val="22"/>
                <w:szCs w:val="22"/>
              </w:rPr>
              <w:t>~67.8</w:t>
            </w:r>
          </w:p>
        </w:tc>
      </w:tr>
    </w:tbl>
    <w:p/>
    <w:p>
      <w:r>
        <w:rPr>
          <w:i/>
          <w:color w:val="595959"/>
          <w:sz w:val="20"/>
          <w:szCs w:val="20"/>
        </w:rPr>
        <w:t>Fig 5: LCOE vs Carbon Credit Price — linear decrease, slope −0.23 ¢/kWh per ₹10/tCO₂. Plot generated by ems_sensitivity.m.</w:t>
      </w:r>
    </w:p>
    <w:p/>
    <w:p>
      <w:pPr>
        <w:pStyle w:val="Heading2"/>
      </w:pPr>
      <w:r>
        <w:t>10.3 Sensitivity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shd w:val="clear" w:color="1F4E79" w:fill="1F4E79"/>
          </w:tcPr>
          <w:p>
            <w:r>
              <w:rPr>
                <w:b/>
                <w:bCs/>
                <w:color w:val="FFFFFF"/>
                <w:sz w:val="22"/>
                <w:szCs w:val="22"/>
              </w:rPr>
              <w:t>Parameter</w:t>
            </w:r>
          </w:p>
        </w:tc>
        <w:tc>
          <w:tcPr>
            <w:tcW w:w="2250" w:type="dxa"/>
            <w:shd w:val="clear" w:color="1F4E79" w:fill="1F4E79"/>
          </w:tcPr>
          <w:p>
            <w:r>
              <w:rPr>
                <w:b/>
                <w:bCs/>
                <w:color w:val="FFFFFF"/>
                <w:sz w:val="22"/>
                <w:szCs w:val="22"/>
              </w:rPr>
              <w:t>Range</w:t>
            </w:r>
          </w:p>
        </w:tc>
        <w:tc>
          <w:tcPr>
            <w:tcW w:w="2250" w:type="dxa"/>
            <w:shd w:val="clear" w:color="1F4E79" w:fill="1F4E79"/>
          </w:tcPr>
          <w:p>
            <w:r>
              <w:rPr>
                <w:b/>
                <w:bCs/>
                <w:color w:val="FFFFFF"/>
                <w:sz w:val="22"/>
                <w:szCs w:val="22"/>
              </w:rPr>
              <w:t>LCOE Range</w:t>
            </w:r>
          </w:p>
        </w:tc>
        <w:tc>
          <w:tcPr>
            <w:tcW w:w="2250" w:type="dxa"/>
            <w:shd w:val="clear" w:color="1F4E79" w:fill="1F4E79"/>
          </w:tcPr>
          <w:p>
            <w:r>
              <w:rPr>
                <w:b/>
                <w:bCs/>
                <w:color w:val="FFFFFF"/>
                <w:sz w:val="22"/>
                <w:szCs w:val="22"/>
              </w:rPr>
              <w:t>Slope</w:t>
            </w:r>
          </w:p>
        </w:tc>
      </w:tr>
      <w:tr>
        <w:tc>
          <w:tcPr>
            <w:tcW w:w="2250" w:type="dxa"/>
          </w:tcPr>
          <w:p>
            <w:r>
              <w:rPr>
                <w:color w:val="000000"/>
                <w:sz w:val="22"/>
                <w:szCs w:val="22"/>
              </w:rPr>
              <w:t>PV Subsidy Rate</w:t>
            </w:r>
          </w:p>
        </w:tc>
        <w:tc>
          <w:tcPr>
            <w:tcW w:w="2250" w:type="dxa"/>
          </w:tcPr>
          <w:p>
            <w:r>
              <w:rPr>
                <w:color w:val="000000"/>
                <w:sz w:val="22"/>
                <w:szCs w:val="22"/>
              </w:rPr>
              <w:t>0–40%</w:t>
            </w:r>
          </w:p>
        </w:tc>
        <w:tc>
          <w:tcPr>
            <w:tcW w:w="2250" w:type="dxa"/>
          </w:tcPr>
          <w:p>
            <w:r>
              <w:rPr>
                <w:color w:val="000000"/>
                <w:sz w:val="22"/>
                <w:szCs w:val="22"/>
              </w:rPr>
              <w:t>95.0 → 74.0 ¢/kWh</w:t>
            </w:r>
          </w:p>
        </w:tc>
        <w:tc>
          <w:tcPr>
            <w:tcW w:w="2250" w:type="dxa"/>
          </w:tcPr>
          <w:p>
            <w:r>
              <w:rPr>
                <w:color w:val="000000"/>
                <w:sz w:val="22"/>
                <w:szCs w:val="22"/>
              </w:rPr>
              <w:t>−0.053 ¢/% point</w:t>
            </w:r>
          </w:p>
        </w:tc>
      </w:tr>
      <w:tr>
        <w:tc>
          <w:tcPr>
            <w:tcW w:w="2250" w:type="dxa"/>
          </w:tcPr>
          <w:p>
            <w:r>
              <w:rPr>
                <w:color w:val="000000"/>
                <w:sz w:val="22"/>
                <w:szCs w:val="22"/>
              </w:rPr>
              <w:t>Carbon Credit Price</w:t>
            </w:r>
          </w:p>
        </w:tc>
        <w:tc>
          <w:tcPr>
            <w:tcW w:w="2250" w:type="dxa"/>
          </w:tcPr>
          <w:p>
            <w:r>
              <w:rPr>
                <w:color w:val="000000"/>
                <w:sz w:val="22"/>
                <w:szCs w:val="22"/>
              </w:rPr>
              <w:t>₹0–100/tCO₂</w:t>
            </w:r>
          </w:p>
        </w:tc>
        <w:tc>
          <w:tcPr>
            <w:tcW w:w="2250" w:type="dxa"/>
          </w:tcPr>
          <w:p>
            <w:r>
              <w:rPr>
                <w:color w:val="000000"/>
                <w:sz w:val="22"/>
                <w:szCs w:val="22"/>
              </w:rPr>
              <w:t>91.0 → 67.8 ¢/kWh</w:t>
            </w:r>
          </w:p>
        </w:tc>
        <w:tc>
          <w:tcPr>
            <w:tcW w:w="2250" w:type="dxa"/>
          </w:tcPr>
          <w:p>
            <w:r>
              <w:rPr>
                <w:color w:val="000000"/>
                <w:sz w:val="22"/>
                <w:szCs w:val="22"/>
              </w:rPr>
              <w:t>−0.23 ¢/₹10</w:t>
            </w:r>
          </w:p>
        </w:tc>
      </w:tr>
      <w:tr>
        <w:tc>
          <w:tcPr>
            <w:tcW w:w="2250" w:type="dxa"/>
          </w:tcPr>
          <w:p>
            <w:r>
              <w:rPr>
                <w:color w:val="000000"/>
                <w:sz w:val="22"/>
                <w:szCs w:val="22"/>
              </w:rPr>
              <w:t>Combined optimistic (40%+₹100)</w:t>
            </w:r>
          </w:p>
        </w:tc>
        <w:tc>
          <w:tcPr>
            <w:tcW w:w="2250" w:type="dxa"/>
          </w:tcPr>
          <w:p>
            <w:r>
              <w:rPr>
                <w:color w:val="000000"/>
                <w:sz w:val="22"/>
                <w:szCs w:val="22"/>
              </w:rPr>
              <w:t>—</w:t>
            </w:r>
          </w:p>
        </w:tc>
        <w:tc>
          <w:tcPr>
            <w:tcW w:w="2250" w:type="dxa"/>
          </w:tcPr>
          <w:p>
            <w:r>
              <w:rPr>
                <w:color w:val="000000"/>
                <w:sz w:val="22"/>
                <w:szCs w:val="22"/>
              </w:rPr>
              <w:t>~63 ¢/kWh (est.)</w:t>
            </w:r>
          </w:p>
        </w:tc>
        <w:tc>
          <w:tcPr>
            <w:tcW w:w="2250" w:type="dxa"/>
          </w:tcPr>
          <w:p>
            <w:r>
              <w:rPr>
                <w:color w:val="000000"/>
                <w:sz w:val="22"/>
                <w:szCs w:val="22"/>
              </w:rPr>
              <w:t>−20.7% vs baseline</w:t>
            </w:r>
          </w:p>
        </w:tc>
      </w:tr>
    </w:tbl>
    <w:p/>
    <w:p>
      <w:pPr>
        <w:pStyle w:val="Heading1"/>
      </w:pPr>
      <w:r>
        <w:t>11. XGBoost Surrogate Model (Path 3)</w:t>
      </w:r>
    </w:p>
    <w:p>
      <w:r>
        <w:rPr>
          <w:color w:val="000000"/>
          <w:sz w:val="22"/>
          <w:szCs w:val="22"/>
        </w:rPr>
        <w:t>5000 Latin Hypercube Sampling (LHS) samples were generated across the design space using real NASA POWER data. XGBoost was trained on these samples to create a surrogate of the MATLAB objective function, enabling ~100× faster optimization without repeated MATLAB calls.</w:t>
      </w:r>
    </w:p>
    <w:p/>
    <w:p>
      <w:pPr>
        <w:pStyle w:val="Heading2"/>
      </w:pPr>
      <w:r>
        <w:t>11.1 Surrogate Training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shd w:val="clear" w:color="1F4E79" w:fill="1F4E79"/>
          </w:tcPr>
          <w:p>
            <w:r>
              <w:rPr>
                <w:b/>
                <w:bCs/>
                <w:color w:val="FFFFFF"/>
                <w:sz w:val="22"/>
                <w:szCs w:val="22"/>
              </w:rPr>
              <w:t>Metric</w:t>
            </w:r>
          </w:p>
        </w:tc>
        <w:tc>
          <w:tcPr>
            <w:tcW w:w="4500" w:type="dxa"/>
            <w:shd w:val="clear" w:color="1F4E79" w:fill="1F4E79"/>
          </w:tcPr>
          <w:p>
            <w:r>
              <w:rPr>
                <w:b/>
                <w:bCs/>
                <w:color w:val="FFFFFF"/>
                <w:sz w:val="22"/>
                <w:szCs w:val="22"/>
              </w:rPr>
              <w:t>Value</w:t>
            </w:r>
          </w:p>
        </w:tc>
      </w:tr>
      <w:tr>
        <w:tc>
          <w:tcPr>
            <w:tcW w:w="4500" w:type="dxa"/>
          </w:tcPr>
          <w:p>
            <w:r>
              <w:rPr>
                <w:color w:val="000000"/>
                <w:sz w:val="22"/>
                <w:szCs w:val="22"/>
              </w:rPr>
              <w:t>Training samples (LHS)</w:t>
            </w:r>
          </w:p>
        </w:tc>
        <w:tc>
          <w:tcPr>
            <w:tcW w:w="4500" w:type="dxa"/>
          </w:tcPr>
          <w:p>
            <w:r>
              <w:rPr>
                <w:color w:val="000000"/>
                <w:sz w:val="22"/>
                <w:szCs w:val="22"/>
              </w:rPr>
              <w:t>5000</w:t>
            </w:r>
          </w:p>
        </w:tc>
      </w:tr>
      <w:tr>
        <w:tc>
          <w:tcPr>
            <w:tcW w:w="4500" w:type="dxa"/>
          </w:tcPr>
          <w:p>
            <w:r>
              <w:rPr>
                <w:color w:val="000000"/>
                <w:sz w:val="22"/>
                <w:szCs w:val="22"/>
              </w:rPr>
              <w:t>Features</w:t>
            </w:r>
          </w:p>
        </w:tc>
        <w:tc>
          <w:tcPr>
            <w:tcW w:w="4500" w:type="dxa"/>
          </w:tcPr>
          <w:p>
            <w:r>
              <w:rPr>
                <w:color w:val="000000"/>
                <w:sz w:val="22"/>
                <w:szCs w:val="22"/>
              </w:rPr>
              <w:t>A_pv, A_wind, Battery_kWh, H2_Tank_kg, Fuel_Cells</w:t>
            </w:r>
          </w:p>
        </w:tc>
      </w:tr>
      <w:tr>
        <w:tc>
          <w:tcPr>
            <w:tcW w:w="4500" w:type="dxa"/>
          </w:tcPr>
          <w:p>
            <w:r>
              <w:rPr>
                <w:color w:val="000000"/>
                <w:sz w:val="22"/>
                <w:szCs w:val="22"/>
              </w:rPr>
              <w:t>Target variable</w:t>
            </w:r>
          </w:p>
        </w:tc>
        <w:tc>
          <w:tcPr>
            <w:tcW w:w="4500" w:type="dxa"/>
          </w:tcPr>
          <w:p>
            <w:r>
              <w:rPr>
                <w:color w:val="000000"/>
                <w:sz w:val="22"/>
                <w:szCs w:val="22"/>
              </w:rPr>
              <w:t>LCOE ($/kWh)</w:t>
            </w:r>
          </w:p>
        </w:tc>
      </w:tr>
      <w:tr>
        <w:tc>
          <w:tcPr>
            <w:tcW w:w="4500" w:type="dxa"/>
          </w:tcPr>
          <w:p>
            <w:r>
              <w:rPr>
                <w:color w:val="000000"/>
                <w:sz w:val="22"/>
                <w:szCs w:val="22"/>
              </w:rPr>
              <w:t>Algorithm</w:t>
            </w:r>
          </w:p>
        </w:tc>
        <w:tc>
          <w:tcPr>
            <w:tcW w:w="4500" w:type="dxa"/>
          </w:tcPr>
          <w:p>
            <w:r>
              <w:rPr>
                <w:color w:val="000000"/>
                <w:sz w:val="22"/>
                <w:szCs w:val="22"/>
              </w:rPr>
              <w:t>XGBoost Regressor</w:t>
            </w:r>
          </w:p>
        </w:tc>
      </w:tr>
      <w:tr>
        <w:tc>
          <w:tcPr>
            <w:tcW w:w="4500" w:type="dxa"/>
          </w:tcPr>
          <w:p>
            <w:r>
              <w:rPr>
                <w:color w:val="000000"/>
                <w:sz w:val="22"/>
                <w:szCs w:val="22"/>
              </w:rPr>
              <w:t>R² (test set)</w:t>
            </w:r>
          </w:p>
        </w:tc>
        <w:tc>
          <w:tcPr>
            <w:tcW w:w="4500" w:type="dxa"/>
          </w:tcPr>
          <w:p>
            <w:r>
              <w:rPr>
                <w:color w:val="000000"/>
                <w:sz w:val="22"/>
                <w:szCs w:val="22"/>
              </w:rPr>
              <w:t>0.9984</w:t>
            </w:r>
          </w:p>
        </w:tc>
      </w:tr>
      <w:tr>
        <w:tc>
          <w:tcPr>
            <w:tcW w:w="4500" w:type="dxa"/>
          </w:tcPr>
          <w:p>
            <w:r>
              <w:rPr>
                <w:color w:val="000000"/>
                <w:sz w:val="22"/>
                <w:szCs w:val="22"/>
              </w:rPr>
              <w:t>5-Fold CV RMSE</w:t>
            </w:r>
          </w:p>
        </w:tc>
        <w:tc>
          <w:tcPr>
            <w:tcW w:w="4500" w:type="dxa"/>
          </w:tcPr>
          <w:p>
            <w:r>
              <w:rPr>
                <w:color w:val="000000"/>
                <w:sz w:val="22"/>
                <w:szCs w:val="22"/>
              </w:rPr>
              <w:t>0.0147 ± 0.0008 $/kWh</w:t>
            </w:r>
          </w:p>
        </w:tc>
      </w:tr>
      <w:tr>
        <w:tc>
          <w:tcPr>
            <w:tcW w:w="4500" w:type="dxa"/>
          </w:tcPr>
          <w:p>
            <w:r>
              <w:rPr>
                <w:color w:val="000000"/>
                <w:sz w:val="22"/>
                <w:szCs w:val="22"/>
              </w:rPr>
              <w:t>Speed vs MATLAB objective</w:t>
            </w:r>
          </w:p>
        </w:tc>
        <w:tc>
          <w:tcPr>
            <w:tcW w:w="4500" w:type="dxa"/>
          </w:tcPr>
          <w:p>
            <w:r>
              <w:rPr>
                <w:color w:val="000000"/>
                <w:sz w:val="22"/>
                <w:szCs w:val="22"/>
              </w:rPr>
              <w:t>~100× faster per evaluation</w:t>
            </w:r>
          </w:p>
        </w:tc>
      </w:tr>
    </w:tbl>
    <w:p/>
    <w:p>
      <w:pPr>
        <w:pStyle w:val="Heading2"/>
      </w:pPr>
      <w:r>
        <w:t>11.2 Surrogate-Based Optimizer Results</w:t>
      </w:r>
    </w:p>
    <w:p>
      <w:r>
        <w:rPr>
          <w:color w:val="000000"/>
          <w:sz w:val="22"/>
          <w:szCs w:val="22"/>
        </w:rPr>
        <w:t>Differential Evolution (DE) + PSO were run on the surrogate model. The surrogate optimizer achieved LCOE $0.0687/kWh — a 13.6% improvement over direct PSO ($0.0795/kWh). This reflects the surrogate's ability to explore the full design space more thoroughly in identical wall-clock time.</w:t>
      </w:r>
    </w:p>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shd w:val="clear" w:color="1F4E79" w:fill="1F4E79"/>
          </w:tcPr>
          <w:p>
            <w:r>
              <w:rPr>
                <w:b/>
                <w:bCs/>
                <w:color w:val="FFFFFF"/>
                <w:sz w:val="22"/>
                <w:szCs w:val="22"/>
              </w:rPr>
              <w:t>Metric</w:t>
            </w:r>
          </w:p>
        </w:tc>
        <w:tc>
          <w:tcPr>
            <w:tcW w:w="3000" w:type="dxa"/>
            <w:shd w:val="clear" w:color="1F4E79" w:fill="1F4E79"/>
          </w:tcPr>
          <w:p>
            <w:r>
              <w:rPr>
                <w:b/>
                <w:bCs/>
                <w:color w:val="FFFFFF"/>
                <w:sz w:val="22"/>
                <w:szCs w:val="22"/>
              </w:rPr>
              <w:t>Direct PSO (MATLAB)</w:t>
            </w:r>
          </w:p>
        </w:tc>
        <w:tc>
          <w:tcPr>
            <w:tcW w:w="3000" w:type="dxa"/>
            <w:shd w:val="clear" w:color="1F4E79" w:fill="1F4E79"/>
          </w:tcPr>
          <w:p>
            <w:r>
              <w:rPr>
                <w:b/>
                <w:bCs/>
                <w:color w:val="FFFFFF"/>
                <w:sz w:val="22"/>
                <w:szCs w:val="22"/>
              </w:rPr>
              <w:t>Surrogate DE+PSO (Python)</w:t>
            </w:r>
          </w:p>
        </w:tc>
      </w:tr>
      <w:tr>
        <w:tc>
          <w:tcPr>
            <w:tcW w:w="3000" w:type="dxa"/>
          </w:tcPr>
          <w:p>
            <w:r>
              <w:rPr>
                <w:color w:val="000000"/>
                <w:sz w:val="22"/>
                <w:szCs w:val="22"/>
              </w:rPr>
              <w:t>LCOE</w:t>
            </w:r>
          </w:p>
        </w:tc>
        <w:tc>
          <w:tcPr>
            <w:tcW w:w="3000" w:type="dxa"/>
          </w:tcPr>
          <w:p>
            <w:r>
              <w:rPr>
                <w:color w:val="000000"/>
                <w:sz w:val="22"/>
                <w:szCs w:val="22"/>
              </w:rPr>
              <w:t>$0.0795/kWh</w:t>
            </w:r>
          </w:p>
        </w:tc>
        <w:tc>
          <w:tcPr>
            <w:tcW w:w="3000" w:type="dxa"/>
          </w:tcPr>
          <w:p>
            <w:r>
              <w:rPr>
                <w:color w:val="000000"/>
                <w:sz w:val="22"/>
                <w:szCs w:val="22"/>
              </w:rPr>
              <w:t>$0.0687/kWh</w:t>
            </w:r>
          </w:p>
        </w:tc>
      </w:tr>
      <w:tr>
        <w:tc>
          <w:tcPr>
            <w:tcW w:w="3000" w:type="dxa"/>
          </w:tcPr>
          <w:p>
            <w:r>
              <w:rPr>
                <w:color w:val="000000"/>
                <w:sz w:val="22"/>
                <w:szCs w:val="22"/>
              </w:rPr>
              <w:t>Runtime</w:t>
            </w:r>
          </w:p>
        </w:tc>
        <w:tc>
          <w:tcPr>
            <w:tcW w:w="3000" w:type="dxa"/>
          </w:tcPr>
          <w:p>
            <w:r>
              <w:rPr>
                <w:color w:val="000000"/>
                <w:sz w:val="22"/>
                <w:szCs w:val="22"/>
              </w:rPr>
              <w:t>22.1 s</w:t>
            </w:r>
          </w:p>
        </w:tc>
        <w:tc>
          <w:tcPr>
            <w:tcW w:w="3000" w:type="dxa"/>
          </w:tcPr>
          <w:p>
            <w:r>
              <w:rPr>
                <w:color w:val="000000"/>
                <w:sz w:val="22"/>
                <w:szCs w:val="22"/>
              </w:rPr>
              <w:t>&lt;1 s</w:t>
            </w:r>
          </w:p>
        </w:tc>
      </w:tr>
      <w:tr>
        <w:tc>
          <w:tcPr>
            <w:tcW w:w="3000" w:type="dxa"/>
          </w:tcPr>
          <w:p>
            <w:r>
              <w:rPr>
                <w:color w:val="000000"/>
                <w:sz w:val="22"/>
                <w:szCs w:val="22"/>
              </w:rPr>
              <w:t>Improvement</w:t>
            </w:r>
          </w:p>
        </w:tc>
        <w:tc>
          <w:tcPr>
            <w:tcW w:w="3000" w:type="dxa"/>
          </w:tcPr>
          <w:p>
            <w:r>
              <w:rPr>
                <w:color w:val="000000"/>
                <w:sz w:val="22"/>
                <w:szCs w:val="22"/>
              </w:rPr>
              <w:t>—</w:t>
            </w:r>
          </w:p>
        </w:tc>
        <w:tc>
          <w:tcPr>
            <w:tcW w:w="3000" w:type="dxa"/>
          </w:tcPr>
          <w:p>
            <w:r>
              <w:rPr>
                <w:color w:val="000000"/>
                <w:sz w:val="22"/>
                <w:szCs w:val="22"/>
              </w:rPr>
              <w:t>−13.6% LCOE reduction</w:t>
            </w:r>
          </w:p>
        </w:tc>
      </w:tr>
      <w:tr>
        <w:tc>
          <w:tcPr>
            <w:tcW w:w="3000" w:type="dxa"/>
          </w:tcPr>
          <w:p>
            <w:r>
              <w:rPr>
                <w:color w:val="000000"/>
                <w:sz w:val="22"/>
                <w:szCs w:val="22"/>
              </w:rPr>
              <w:t>Function evaluations</w:t>
            </w:r>
          </w:p>
        </w:tc>
        <w:tc>
          <w:tcPr>
            <w:tcW w:w="3000" w:type="dxa"/>
          </w:tcPr>
          <w:p>
            <w:r>
              <w:rPr>
                <w:color w:val="000000"/>
                <w:sz w:val="22"/>
                <w:szCs w:val="22"/>
              </w:rPr>
              <w:t>~2000 (limited)</w:t>
            </w:r>
          </w:p>
        </w:tc>
        <w:tc>
          <w:tcPr>
            <w:tcW w:w="3000" w:type="dxa"/>
          </w:tcPr>
          <w:p>
            <w:r>
              <w:rPr>
                <w:color w:val="000000"/>
                <w:sz w:val="22"/>
                <w:szCs w:val="22"/>
              </w:rPr>
              <w:t>10,000+ (feasible)</w:t>
            </w:r>
          </w:p>
        </w:tc>
      </w:tr>
    </w:tbl>
    <w:p/>
    <w:p>
      <w:pPr>
        <w:pStyle w:val="Heading1"/>
      </w:pPr>
      <w:r>
        <w:t>12. Forecasting Models (Path 3)</w:t>
      </w:r>
    </w:p>
    <w:p>
      <w:r>
        <w:rPr>
          <w:color w:val="000000"/>
          <w:sz w:val="22"/>
          <w:szCs w:val="22"/>
        </w:rPr>
        <w:t>Three next-hour forecasting models were trained on the NASA POWER + village load dataset using XGBoost with lagged features. All three exceed R²&gt;0.98 and &lt;2% relative error — meeting the paper contribution threshold.</w:t>
      </w:r>
    </w:p>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160"/>
        <w:gridCol w:w="2160"/>
        <w:gridCol w:w="2160"/>
      </w:tblGrid>
      <w:tr>
        <w:tc>
          <w:tcPr>
            <w:tcW w:w="2160" w:type="dxa"/>
            <w:shd w:val="clear" w:color="1F4E79" w:fill="1F4E79"/>
          </w:tcPr>
          <w:p>
            <w:r>
              <w:rPr>
                <w:b/>
                <w:bCs/>
                <w:color w:val="FFFFFF"/>
                <w:sz w:val="22"/>
                <w:szCs w:val="22"/>
              </w:rPr>
              <w:t>Model</w:t>
            </w:r>
          </w:p>
        </w:tc>
        <w:tc>
          <w:tcPr>
            <w:tcW w:w="2160" w:type="dxa"/>
            <w:shd w:val="clear" w:color="1F4E79" w:fill="1F4E79"/>
          </w:tcPr>
          <w:p>
            <w:r>
              <w:rPr>
                <w:b/>
                <w:bCs/>
                <w:color w:val="FFFFFF"/>
                <w:sz w:val="22"/>
                <w:szCs w:val="22"/>
              </w:rPr>
              <w:t>Target</w:t>
            </w:r>
          </w:p>
        </w:tc>
        <w:tc>
          <w:tcPr>
            <w:tcW w:w="2160" w:type="dxa"/>
            <w:shd w:val="clear" w:color="1F4E79" w:fill="1F4E79"/>
          </w:tcPr>
          <w:p>
            <w:r>
              <w:rPr>
                <w:b/>
                <w:bCs/>
                <w:color w:val="FFFFFF"/>
                <w:sz w:val="22"/>
                <w:szCs w:val="22"/>
              </w:rPr>
              <w:t>R²</w:t>
            </w:r>
          </w:p>
        </w:tc>
        <w:tc>
          <w:tcPr>
            <w:tcW w:w="2160" w:type="dxa"/>
            <w:shd w:val="clear" w:color="1F4E79" w:fill="1F4E79"/>
          </w:tcPr>
          <w:p>
            <w:r>
              <w:rPr>
                <w:b/>
                <w:bCs/>
                <w:color w:val="FFFFFF"/>
                <w:sz w:val="22"/>
                <w:szCs w:val="22"/>
              </w:rPr>
              <w:t>MAE</w:t>
            </w:r>
          </w:p>
        </w:tc>
        <w:tc>
          <w:tcPr>
            <w:tcW w:w="2160" w:type="dxa"/>
            <w:shd w:val="clear" w:color="1F4E79" w:fill="1F4E79"/>
          </w:tcPr>
          <w:p>
            <w:r>
              <w:rPr>
                <w:b/>
                <w:bCs/>
                <w:color w:val="FFFFFF"/>
                <w:sz w:val="22"/>
                <w:szCs w:val="22"/>
              </w:rPr>
              <w:t>Relative Error</w:t>
            </w:r>
          </w:p>
        </w:tc>
      </w:tr>
      <w:tr>
        <w:tc>
          <w:tcPr>
            <w:tcW w:w="2160" w:type="dxa"/>
          </w:tcPr>
          <w:p>
            <w:r>
              <w:rPr>
                <w:color w:val="000000"/>
                <w:sz w:val="22"/>
                <w:szCs w:val="22"/>
              </w:rPr>
              <w:t>Load Forecast (MATLAB)</w:t>
            </w:r>
          </w:p>
        </w:tc>
        <w:tc>
          <w:tcPr>
            <w:tcW w:w="2160" w:type="dxa"/>
          </w:tcPr>
          <w:p>
            <w:r>
              <w:rPr>
                <w:color w:val="000000"/>
                <w:sz w:val="22"/>
                <w:szCs w:val="22"/>
              </w:rPr>
              <w:t>Load (kW)</w:t>
            </w:r>
          </w:p>
        </w:tc>
        <w:tc>
          <w:tcPr>
            <w:tcW w:w="2160" w:type="dxa"/>
          </w:tcPr>
          <w:p>
            <w:r>
              <w:rPr>
                <w:color w:val="000000"/>
                <w:sz w:val="22"/>
                <w:szCs w:val="22"/>
              </w:rPr>
              <w:t>~0.9943</w:t>
            </w:r>
          </w:p>
        </w:tc>
        <w:tc>
          <w:tcPr>
            <w:tcW w:w="2160" w:type="dxa"/>
          </w:tcPr>
          <w:p>
            <w:r>
              <w:rPr>
                <w:color w:val="000000"/>
                <w:sz w:val="22"/>
                <w:szCs w:val="22"/>
              </w:rPr>
              <w:t>0.63 kW</w:t>
            </w:r>
          </w:p>
        </w:tc>
        <w:tc>
          <w:tcPr>
            <w:tcW w:w="2160" w:type="dxa"/>
          </w:tcPr>
          <w:p>
            <w:r>
              <w:rPr>
                <w:color w:val="000000"/>
                <w:sz w:val="22"/>
                <w:szCs w:val="22"/>
              </w:rPr>
              <w:t>~1.6%</w:t>
            </w:r>
          </w:p>
        </w:tc>
      </w:tr>
      <w:tr>
        <w:tc>
          <w:tcPr>
            <w:tcW w:w="2160" w:type="dxa"/>
          </w:tcPr>
          <w:p>
            <w:r>
              <w:rPr>
                <w:color w:val="000000"/>
                <w:sz w:val="22"/>
                <w:szCs w:val="22"/>
              </w:rPr>
              <w:t>GHI Forecast (Python)</w:t>
            </w:r>
          </w:p>
        </w:tc>
        <w:tc>
          <w:tcPr>
            <w:tcW w:w="2160" w:type="dxa"/>
          </w:tcPr>
          <w:p>
            <w:r>
              <w:rPr>
                <w:color w:val="000000"/>
                <w:sz w:val="22"/>
                <w:szCs w:val="22"/>
              </w:rPr>
              <w:t>Solar irradiance (W/m²)</w:t>
            </w:r>
          </w:p>
        </w:tc>
        <w:tc>
          <w:tcPr>
            <w:tcW w:w="2160" w:type="dxa"/>
          </w:tcPr>
          <w:p>
            <w:r>
              <w:rPr>
                <w:color w:val="000000"/>
                <w:sz w:val="22"/>
                <w:szCs w:val="22"/>
              </w:rPr>
              <w:t>0.9910</w:t>
            </w:r>
          </w:p>
        </w:tc>
        <w:tc>
          <w:tcPr>
            <w:tcW w:w="2160" w:type="dxa"/>
          </w:tcPr>
          <w:p>
            <w:r>
              <w:rPr>
                <w:color w:val="000000"/>
                <w:sz w:val="22"/>
                <w:szCs w:val="22"/>
              </w:rPr>
              <w:t>12.86 W/m²</w:t>
            </w:r>
          </w:p>
        </w:tc>
        <w:tc>
          <w:tcPr>
            <w:tcW w:w="2160" w:type="dxa"/>
          </w:tcPr>
          <w:p>
            <w:r>
              <w:rPr>
                <w:color w:val="000000"/>
                <w:sz w:val="22"/>
                <w:szCs w:val="22"/>
              </w:rPr>
              <w:t>&lt;2%</w:t>
            </w:r>
          </w:p>
        </w:tc>
      </w:tr>
      <w:tr>
        <w:tc>
          <w:tcPr>
            <w:tcW w:w="2160" w:type="dxa"/>
          </w:tcPr>
          <w:p>
            <w:r>
              <w:rPr>
                <w:color w:val="000000"/>
                <w:sz w:val="22"/>
                <w:szCs w:val="22"/>
              </w:rPr>
              <w:t>Wind Forecast (Python)</w:t>
            </w:r>
          </w:p>
        </w:tc>
        <w:tc>
          <w:tcPr>
            <w:tcW w:w="2160" w:type="dxa"/>
          </w:tcPr>
          <w:p>
            <w:r>
              <w:rPr>
                <w:color w:val="000000"/>
                <w:sz w:val="22"/>
                <w:szCs w:val="22"/>
              </w:rPr>
              <w:t>Wind speed (m/s)</w:t>
            </w:r>
          </w:p>
        </w:tc>
        <w:tc>
          <w:tcPr>
            <w:tcW w:w="2160" w:type="dxa"/>
          </w:tcPr>
          <w:p>
            <w:r>
              <w:rPr>
                <w:color w:val="000000"/>
                <w:sz w:val="22"/>
                <w:szCs w:val="22"/>
              </w:rPr>
              <w:t>0.9827</w:t>
            </w:r>
          </w:p>
        </w:tc>
        <w:tc>
          <w:tcPr>
            <w:tcW w:w="2160" w:type="dxa"/>
          </w:tcPr>
          <w:p>
            <w:r>
              <w:rPr>
                <w:color w:val="000000"/>
                <w:sz w:val="22"/>
                <w:szCs w:val="22"/>
              </w:rPr>
              <w:t>0.187 m/s</w:t>
            </w:r>
          </w:p>
        </w:tc>
        <w:tc>
          <w:tcPr>
            <w:tcW w:w="2160" w:type="dxa"/>
          </w:tcPr>
          <w:p>
            <w:r>
              <w:rPr>
                <w:color w:val="000000"/>
                <w:sz w:val="22"/>
                <w:szCs w:val="22"/>
              </w:rPr>
              <w:t>&lt;2%</w:t>
            </w:r>
          </w:p>
        </w:tc>
      </w:tr>
    </w:tbl>
    <w:p/>
    <w:p>
      <w:r>
        <w:rPr>
          <w:color w:val="000000"/>
          <w:sz w:val="22"/>
          <w:szCs w:val="22"/>
        </w:rPr>
        <w:t>Load forecast RMSE 0.80 kW = 1.6% relative error on 50 kW system. GHI and wind models support predictive dispatch in real-time EMS operation. Fig 6: 1-week actual vs predicted load — near-perfect tracking across diurnal cycles.</w:t>
      </w:r>
    </w:p>
    <w:p/>
    <w:p>
      <w:pPr>
        <w:pStyle w:val="Heading1"/>
      </w:pPr>
      <w:r>
        <w:t>13. Project Completion Summary</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00"/>
        <w:gridCol w:w="2700"/>
        <w:gridCol w:w="2700"/>
      </w:tblGrid>
      <w:tr>
        <w:tc>
          <w:tcPr>
            <w:tcW w:w="2700" w:type="dxa"/>
            <w:shd w:val="clear" w:color="1F4E79" w:fill="1F4E79"/>
          </w:tcPr>
          <w:p>
            <w:r>
              <w:rPr>
                <w:b/>
                <w:bCs/>
                <w:color w:val="FFFFFF"/>
                <w:sz w:val="22"/>
                <w:szCs w:val="22"/>
              </w:rPr>
              <w:t>Component</w:t>
            </w:r>
          </w:p>
        </w:tc>
        <w:tc>
          <w:tcPr>
            <w:tcW w:w="2700" w:type="dxa"/>
            <w:shd w:val="clear" w:color="1F4E79" w:fill="1F4E79"/>
          </w:tcPr>
          <w:p>
            <w:r>
              <w:rPr>
                <w:b/>
                <w:bCs/>
                <w:color w:val="FFFFFF"/>
                <w:sz w:val="22"/>
                <w:szCs w:val="22"/>
              </w:rPr>
              <w:t>Status</w:t>
            </w:r>
          </w:p>
        </w:tc>
        <w:tc>
          <w:tcPr>
            <w:tcW w:w="2700" w:type="dxa"/>
            <w:shd w:val="clear" w:color="1F4E79" w:fill="1F4E79"/>
          </w:tcPr>
          <w:p>
            <w:r>
              <w:rPr>
                <w:b/>
                <w:bCs/>
                <w:color w:val="FFFFFF"/>
                <w:sz w:val="22"/>
                <w:szCs w:val="22"/>
              </w:rPr>
              <w:t>Key Output</w:t>
            </w:r>
          </w:p>
        </w:tc>
      </w:tr>
      <w:tr>
        <w:tc>
          <w:tcPr>
            <w:tcW w:w="2700" w:type="dxa"/>
          </w:tcPr>
          <w:p>
            <w:r>
              <w:rPr>
                <w:color w:val="000000"/>
                <w:sz w:val="22"/>
                <w:szCs w:val="22"/>
              </w:rPr>
              <w:t>NASA POWER data (20yr, 175,320 rows)</w:t>
            </w:r>
          </w:p>
        </w:tc>
        <w:tc>
          <w:tcPr>
            <w:tcW w:w="2700" w:type="dxa"/>
          </w:tcPr>
          <w:p>
            <w:r>
              <w:rPr>
                <w:color w:val="000000"/>
                <w:sz w:val="22"/>
                <w:szCs w:val="22"/>
              </w:rPr>
              <w:t>✓ Complete</w:t>
            </w:r>
          </w:p>
        </w:tc>
        <w:tc>
          <w:tcPr>
            <w:tcW w:w="2700" w:type="dxa"/>
          </w:tcPr>
          <w:p>
            <w:r>
              <w:rPr>
                <w:color w:val="000000"/>
                <w:sz w:val="22"/>
                <w:szCs w:val="22"/>
              </w:rPr>
              <w:t>0 nulls, validated</w:t>
            </w:r>
          </w:p>
        </w:tc>
      </w:tr>
      <w:tr>
        <w:tc>
          <w:tcPr>
            <w:tcW w:w="2700" w:type="dxa"/>
          </w:tcPr>
          <w:p>
            <w:r>
              <w:rPr>
                <w:color w:val="000000"/>
                <w:sz w:val="22"/>
                <w:szCs w:val="22"/>
              </w:rPr>
              <w:t>Village load profile (50 kW)</w:t>
            </w:r>
          </w:p>
        </w:tc>
        <w:tc>
          <w:tcPr>
            <w:tcW w:w="2700" w:type="dxa"/>
          </w:tcPr>
          <w:p>
            <w:r>
              <w:rPr>
                <w:color w:val="000000"/>
                <w:sz w:val="22"/>
                <w:szCs w:val="22"/>
              </w:rPr>
              <w:t>✓ Complete</w:t>
            </w:r>
          </w:p>
        </w:tc>
        <w:tc>
          <w:tcPr>
            <w:tcW w:w="2700" w:type="dxa"/>
          </w:tcPr>
          <w:p>
            <w:r>
              <w:rPr>
                <w:color w:val="000000"/>
                <w:sz w:val="22"/>
                <w:szCs w:val="22"/>
              </w:rPr>
              <w:t>215,000 kWh/yr, CEA-aligned</w:t>
            </w:r>
          </w:p>
        </w:tc>
      </w:tr>
      <w:tr>
        <w:tc>
          <w:tcPr>
            <w:tcW w:w="2700" w:type="dxa"/>
          </w:tcPr>
          <w:p>
            <w:r>
              <w:rPr>
                <w:color w:val="000000"/>
                <w:sz w:val="22"/>
                <w:szCs w:val="22"/>
              </w:rPr>
              <w:t>GA optimization</w:t>
            </w:r>
          </w:p>
        </w:tc>
        <w:tc>
          <w:tcPr>
            <w:tcW w:w="2700" w:type="dxa"/>
          </w:tcPr>
          <w:p>
            <w:r>
              <w:rPr>
                <w:color w:val="000000"/>
                <w:sz w:val="22"/>
                <w:szCs w:val="22"/>
              </w:rPr>
              <w:t>✓ Complete</w:t>
            </w:r>
          </w:p>
        </w:tc>
        <w:tc>
          <w:tcPr>
            <w:tcW w:w="2700" w:type="dxa"/>
          </w:tcPr>
          <w:p>
            <w:r>
              <w:rPr>
                <w:color w:val="000000"/>
                <w:sz w:val="22"/>
                <w:szCs w:val="22"/>
              </w:rPr>
              <w:t>LCOE $0.0798/kWh, 45.0 s</w:t>
            </w:r>
          </w:p>
        </w:tc>
      </w:tr>
      <w:tr>
        <w:tc>
          <w:tcPr>
            <w:tcW w:w="2700" w:type="dxa"/>
          </w:tcPr>
          <w:p>
            <w:r>
              <w:rPr>
                <w:color w:val="000000"/>
                <w:sz w:val="22"/>
                <w:szCs w:val="22"/>
              </w:rPr>
              <w:t>PSO optimization</w:t>
            </w:r>
          </w:p>
        </w:tc>
        <w:tc>
          <w:tcPr>
            <w:tcW w:w="2700" w:type="dxa"/>
          </w:tcPr>
          <w:p>
            <w:r>
              <w:rPr>
                <w:color w:val="000000"/>
                <w:sz w:val="22"/>
                <w:szCs w:val="22"/>
              </w:rPr>
              <w:t>✓ Complete</w:t>
            </w:r>
          </w:p>
        </w:tc>
        <w:tc>
          <w:tcPr>
            <w:tcW w:w="2700" w:type="dxa"/>
          </w:tcPr>
          <w:p>
            <w:r>
              <w:rPr>
                <w:color w:val="000000"/>
                <w:sz w:val="22"/>
                <w:szCs w:val="22"/>
              </w:rPr>
              <w:t>LCOE $0.0795/kWh, 22.1 s</w:t>
            </w:r>
          </w:p>
        </w:tc>
      </w:tr>
      <w:tr>
        <w:tc>
          <w:tcPr>
            <w:tcW w:w="2700" w:type="dxa"/>
          </w:tcPr>
          <w:p>
            <w:r>
              <w:rPr>
                <w:color w:val="000000"/>
                <w:sz w:val="22"/>
                <w:szCs w:val="22"/>
              </w:rPr>
              <w:t>3 critical LCOE bug fixes</w:t>
            </w:r>
          </w:p>
        </w:tc>
        <w:tc>
          <w:tcPr>
            <w:tcW w:w="2700" w:type="dxa"/>
          </w:tcPr>
          <w:p>
            <w:r>
              <w:rPr>
                <w:color w:val="000000"/>
                <w:sz w:val="22"/>
                <w:szCs w:val="22"/>
              </w:rPr>
              <w:t>✓ Complete</w:t>
            </w:r>
          </w:p>
        </w:tc>
        <w:tc>
          <w:tcPr>
            <w:tcW w:w="2700" w:type="dxa"/>
          </w:tcPr>
          <w:p>
            <w:r>
              <w:rPr>
                <w:color w:val="000000"/>
                <w:sz w:val="22"/>
                <w:szCs w:val="22"/>
              </w:rPr>
              <w:t>Corrected to $0.0794/kWh</w:t>
            </w:r>
          </w:p>
        </w:tc>
      </w:tr>
      <w:tr>
        <w:tc>
          <w:tcPr>
            <w:tcW w:w="2700" w:type="dxa"/>
          </w:tcPr>
          <w:p>
            <w:r>
              <w:rPr>
                <w:color w:val="000000"/>
                <w:sz w:val="22"/>
                <w:szCs w:val="22"/>
              </w:rPr>
              <w:t>Sensitivity — PV subsidy (0–40%)</w:t>
            </w:r>
          </w:p>
        </w:tc>
        <w:tc>
          <w:tcPr>
            <w:tcW w:w="2700" w:type="dxa"/>
          </w:tcPr>
          <w:p>
            <w:r>
              <w:rPr>
                <w:color w:val="000000"/>
                <w:sz w:val="22"/>
                <w:szCs w:val="22"/>
              </w:rPr>
              <w:t>✓ Complete</w:t>
            </w:r>
          </w:p>
        </w:tc>
        <w:tc>
          <w:tcPr>
            <w:tcW w:w="2700" w:type="dxa"/>
          </w:tcPr>
          <w:p>
            <w:r>
              <w:rPr>
                <w:color w:val="000000"/>
                <w:sz w:val="22"/>
                <w:szCs w:val="22"/>
              </w:rPr>
              <w:t>Slope −0.053 ¢/%</w:t>
            </w:r>
          </w:p>
        </w:tc>
      </w:tr>
      <w:tr>
        <w:tc>
          <w:tcPr>
            <w:tcW w:w="2700" w:type="dxa"/>
          </w:tcPr>
          <w:p>
            <w:r>
              <w:rPr>
                <w:color w:val="000000"/>
                <w:sz w:val="22"/>
                <w:szCs w:val="22"/>
              </w:rPr>
              <w:t>Sensitivity — carbon credit (₹0–100)</w:t>
            </w:r>
          </w:p>
        </w:tc>
        <w:tc>
          <w:tcPr>
            <w:tcW w:w="2700" w:type="dxa"/>
          </w:tcPr>
          <w:p>
            <w:r>
              <w:rPr>
                <w:color w:val="000000"/>
                <w:sz w:val="22"/>
                <w:szCs w:val="22"/>
              </w:rPr>
              <w:t>✓ Complete</w:t>
            </w:r>
          </w:p>
        </w:tc>
        <w:tc>
          <w:tcPr>
            <w:tcW w:w="2700" w:type="dxa"/>
          </w:tcPr>
          <w:p>
            <w:r>
              <w:rPr>
                <w:color w:val="000000"/>
                <w:sz w:val="22"/>
                <w:szCs w:val="22"/>
              </w:rPr>
              <w:t>Slope −0.23 ¢/₹10</w:t>
            </w:r>
          </w:p>
        </w:tc>
      </w:tr>
      <w:tr>
        <w:tc>
          <w:tcPr>
            <w:tcW w:w="2700" w:type="dxa"/>
          </w:tcPr>
          <w:p>
            <w:r>
              <w:rPr>
                <w:color w:val="000000"/>
                <w:sz w:val="22"/>
                <w:szCs w:val="22"/>
              </w:rPr>
              <w:t>Simulink block diagram (168hr)</w:t>
            </w:r>
          </w:p>
        </w:tc>
        <w:tc>
          <w:tcPr>
            <w:tcW w:w="2700" w:type="dxa"/>
          </w:tcPr>
          <w:p>
            <w:r>
              <w:rPr>
                <w:color w:val="000000"/>
                <w:sz w:val="22"/>
                <w:szCs w:val="22"/>
              </w:rPr>
              <w:t>✓ Complete</w:t>
            </w:r>
          </w:p>
        </w:tc>
        <w:tc>
          <w:tcPr>
            <w:tcW w:w="2700" w:type="dxa"/>
          </w:tcPr>
          <w:p>
            <w:r>
              <w:rPr>
                <w:color w:val="000000"/>
                <w:sz w:val="22"/>
                <w:szCs w:val="22"/>
              </w:rPr>
              <w:t>hybrid_ems.slx, ode45</w:t>
            </w:r>
          </w:p>
        </w:tc>
      </w:tr>
      <w:tr>
        <w:tc>
          <w:tcPr>
            <w:tcW w:w="2700" w:type="dxa"/>
          </w:tcPr>
          <w:p>
            <w:r>
              <w:rPr>
                <w:color w:val="000000"/>
                <w:sz w:val="22"/>
                <w:szCs w:val="22"/>
              </w:rPr>
              <w:t>LHS dataset (5000 samples)</w:t>
            </w:r>
          </w:p>
        </w:tc>
        <w:tc>
          <w:tcPr>
            <w:tcW w:w="2700" w:type="dxa"/>
          </w:tcPr>
          <w:p>
            <w:r>
              <w:rPr>
                <w:color w:val="000000"/>
                <w:sz w:val="22"/>
                <w:szCs w:val="22"/>
              </w:rPr>
              <w:t>✓ Complete</w:t>
            </w:r>
          </w:p>
        </w:tc>
        <w:tc>
          <w:tcPr>
            <w:tcW w:w="2700" w:type="dxa"/>
          </w:tcPr>
          <w:p>
            <w:r>
              <w:rPr>
                <w:color w:val="000000"/>
                <w:sz w:val="22"/>
                <w:szCs w:val="22"/>
              </w:rPr>
              <w:t>ems_surrogate_data.mat</w:t>
            </w:r>
          </w:p>
        </w:tc>
      </w:tr>
      <w:tr>
        <w:tc>
          <w:tcPr>
            <w:tcW w:w="2700" w:type="dxa"/>
          </w:tcPr>
          <w:p>
            <w:r>
              <w:rPr>
                <w:color w:val="000000"/>
                <w:sz w:val="22"/>
                <w:szCs w:val="22"/>
              </w:rPr>
              <w:t>XGBoost surrogate</w:t>
            </w:r>
          </w:p>
        </w:tc>
        <w:tc>
          <w:tcPr>
            <w:tcW w:w="2700" w:type="dxa"/>
          </w:tcPr>
          <w:p>
            <w:r>
              <w:rPr>
                <w:color w:val="000000"/>
                <w:sz w:val="22"/>
                <w:szCs w:val="22"/>
              </w:rPr>
              <w:t>✓ Complete</w:t>
            </w:r>
          </w:p>
        </w:tc>
        <w:tc>
          <w:tcPr>
            <w:tcW w:w="2700" w:type="dxa"/>
          </w:tcPr>
          <w:p>
            <w:r>
              <w:rPr>
                <w:color w:val="000000"/>
                <w:sz w:val="22"/>
                <w:szCs w:val="22"/>
              </w:rPr>
              <w:t>R²=0.9953, MAE=0.0156 $/kWh</w:t>
            </w:r>
          </w:p>
        </w:tc>
      </w:tr>
      <w:tr>
        <w:tc>
          <w:tcPr>
            <w:tcW w:w="2700" w:type="dxa"/>
          </w:tcPr>
          <w:p>
            <w:r>
              <w:rPr>
                <w:color w:val="000000"/>
                <w:sz w:val="22"/>
                <w:szCs w:val="22"/>
              </w:rPr>
              <w:t>Surrogate optimizer (DE+PSO)</w:t>
            </w:r>
          </w:p>
        </w:tc>
        <w:tc>
          <w:tcPr>
            <w:tcW w:w="2700" w:type="dxa"/>
          </w:tcPr>
          <w:p>
            <w:r>
              <w:rPr>
                <w:color w:val="000000"/>
                <w:sz w:val="22"/>
                <w:szCs w:val="22"/>
              </w:rPr>
              <w:t>✓ Complete</w:t>
            </w:r>
          </w:p>
        </w:tc>
        <w:tc>
          <w:tcPr>
            <w:tcW w:w="2700" w:type="dxa"/>
          </w:tcPr>
          <w:p>
            <w:r>
              <w:rPr>
                <w:color w:val="000000"/>
                <w:sz w:val="22"/>
                <w:szCs w:val="22"/>
              </w:rPr>
              <w:t>LCOE $0.0687/kWh (−13.6%)</w:t>
            </w:r>
          </w:p>
        </w:tc>
      </w:tr>
      <w:tr>
        <w:tc>
          <w:tcPr>
            <w:tcW w:w="2700" w:type="dxa"/>
          </w:tcPr>
          <w:p>
            <w:r>
              <w:rPr>
                <w:color w:val="000000"/>
                <w:sz w:val="22"/>
                <w:szCs w:val="22"/>
              </w:rPr>
              <w:t>GHI forecasting</w:t>
            </w:r>
          </w:p>
        </w:tc>
        <w:tc>
          <w:tcPr>
            <w:tcW w:w="2700" w:type="dxa"/>
          </w:tcPr>
          <w:p>
            <w:r>
              <w:rPr>
                <w:color w:val="000000"/>
                <w:sz w:val="22"/>
                <w:szCs w:val="22"/>
              </w:rPr>
              <w:t>✓ Complete</w:t>
            </w:r>
          </w:p>
        </w:tc>
        <w:tc>
          <w:tcPr>
            <w:tcW w:w="2700" w:type="dxa"/>
          </w:tcPr>
          <w:p>
            <w:r>
              <w:rPr>
                <w:color w:val="000000"/>
                <w:sz w:val="22"/>
                <w:szCs w:val="22"/>
              </w:rPr>
              <w:t>R²=0.9910, MAE=12.86 W/m²</w:t>
            </w:r>
          </w:p>
        </w:tc>
      </w:tr>
      <w:tr>
        <w:tc>
          <w:tcPr>
            <w:tcW w:w="2700" w:type="dxa"/>
          </w:tcPr>
          <w:p>
            <w:r>
              <w:rPr>
                <w:color w:val="000000"/>
                <w:sz w:val="22"/>
                <w:szCs w:val="22"/>
              </w:rPr>
              <w:t>Wind forecasting</w:t>
            </w:r>
          </w:p>
        </w:tc>
        <w:tc>
          <w:tcPr>
            <w:tcW w:w="2700" w:type="dxa"/>
          </w:tcPr>
          <w:p>
            <w:r>
              <w:rPr>
                <w:color w:val="000000"/>
                <w:sz w:val="22"/>
                <w:szCs w:val="22"/>
              </w:rPr>
              <w:t>✓ Complete</w:t>
            </w:r>
          </w:p>
        </w:tc>
        <w:tc>
          <w:tcPr>
            <w:tcW w:w="2700" w:type="dxa"/>
          </w:tcPr>
          <w:p>
            <w:r>
              <w:rPr>
                <w:color w:val="000000"/>
                <w:sz w:val="22"/>
                <w:szCs w:val="22"/>
              </w:rPr>
              <w:t>R²=0.9827, MAE=0.187 m/s</w:t>
            </w:r>
          </w:p>
        </w:tc>
      </w:tr>
      <w:tr>
        <w:tc>
          <w:tcPr>
            <w:tcW w:w="2700" w:type="dxa"/>
          </w:tcPr>
          <w:p>
            <w:r>
              <w:rPr>
                <w:color w:val="000000"/>
                <w:sz w:val="22"/>
                <w:szCs w:val="22"/>
              </w:rPr>
              <w:t>Load forecasting</w:t>
            </w:r>
          </w:p>
        </w:tc>
        <w:tc>
          <w:tcPr>
            <w:tcW w:w="2700" w:type="dxa"/>
          </w:tcPr>
          <w:p>
            <w:r>
              <w:rPr>
                <w:color w:val="000000"/>
                <w:sz w:val="22"/>
                <w:szCs w:val="22"/>
              </w:rPr>
              <w:t>✓ Complete</w:t>
            </w:r>
          </w:p>
        </w:tc>
        <w:tc>
          <w:tcPr>
            <w:tcW w:w="2700" w:type="dxa"/>
          </w:tcPr>
          <w:p>
            <w:r>
              <w:rPr>
                <w:color w:val="000000"/>
                <w:sz w:val="22"/>
                <w:szCs w:val="22"/>
              </w:rPr>
              <w:t>R²=0.9943, MAE=0.63 kW</w:t>
            </w:r>
          </w:p>
        </w:tc>
      </w:tr>
      <w:tr>
        <w:tc>
          <w:tcPr>
            <w:tcW w:w="2700" w:type="dxa"/>
          </w:tcPr>
          <w:p>
            <w:r>
              <w:rPr>
                <w:color w:val="000000"/>
                <w:sz w:val="22"/>
                <w:szCs w:val="22"/>
              </w:rPr>
              <w:t>GitHub upload</w:t>
            </w:r>
          </w:p>
        </w:tc>
        <w:tc>
          <w:tcPr>
            <w:tcW w:w="2700" w:type="dxa"/>
          </w:tcPr>
          <w:p>
            <w:r>
              <w:rPr>
                <w:color w:val="000000"/>
                <w:sz w:val="22"/>
                <w:szCs w:val="22"/>
              </w:rPr>
              <w:t>✓ Complete</w:t>
            </w:r>
          </w:p>
        </w:tc>
        <w:tc>
          <w:tcPr>
            <w:tcW w:w="2700" w:type="dxa"/>
          </w:tcPr>
          <w:p>
            <w:r>
              <w:rPr>
                <w:color w:val="000000"/>
                <w:sz w:val="22"/>
                <w:szCs w:val="22"/>
              </w:rPr>
              <w:t>github.com/mohansankarm90-ops/hybrid-ems-coimbatore</w:t>
            </w:r>
          </w:p>
        </w:tc>
      </w:tr>
      <w:tr>
        <w:tc>
          <w:tcPr>
            <w:tcW w:w="2700" w:type="dxa"/>
          </w:tcPr>
          <w:p>
            <w:r>
              <w:rPr>
                <w:color w:val="000000"/>
                <w:sz w:val="22"/>
                <w:szCs w:val="22"/>
              </w:rPr>
              <w:t>Journal paper</w:t>
            </w:r>
          </w:p>
        </w:tc>
        <w:tc>
          <w:tcPr>
            <w:tcW w:w="2700" w:type="dxa"/>
          </w:tcPr>
          <w:p>
            <w:r>
              <w:rPr>
                <w:color w:val="000000"/>
                <w:sz w:val="22"/>
                <w:szCs w:val="22"/>
              </w:rPr>
              <w:t>⏳ In Progress</w:t>
            </w:r>
          </w:p>
        </w:tc>
        <w:tc>
          <w:tcPr>
            <w:tcW w:w="2700" w:type="dxa"/>
          </w:tcPr>
          <w:p>
            <w:r>
              <w:rPr>
                <w:color w:val="000000"/>
                <w:sz w:val="22"/>
                <w:szCs w:val="22"/>
              </w:rPr>
              <w:t>Sections drafted</w:t>
            </w:r>
          </w:p>
        </w:tc>
      </w:tr>
    </w:tbl>
    <w:p/>
    <w:sectPr w:rsidR="00264EC3">
      <w:pgSz w:w="11906" w:h="16838"/>
      <w:pgMar w:top="1440" w:right="1440" w:bottom="1440" w:left="1440" w:header="708" w:footer="708" w:gutter="0"/>
      <w:cols w:space="720"/>
      <w:docGrid w:linePitch="360"/>
    </w:sectPr>
    <w:p>
      <w:r>
        <w:br w:type="page"/>
      </w:r>
    </w:p>
    <w:p>
      <w:pPr>
        <w:pStyle w:val="Heading1"/>
      </w:pPr>
      <w:r>
        <w:t xml:space="preserve">14. Seasonal Performance Analysis</w:t>
      </w:r>
    </w:p>
    <w:p>
      <w:pPr>
        <w:spacing w:after="80" w:before="40"/>
      </w:pPr>
      <w:r>
        <w:rPr>
          <w:sz w:val="19"/>
          <w:szCs w:val="19"/>
        </w:rPr>
        <w:t xml:space="preserve">The GWO annual-optimal design was evaluated against four Coimbatore climate seasons using masked 20-year NASA data. No per-season re-optimization was performed — the annual design is fixed. This correctly models a single deployed system evaluated across seasonal conditions.</w:t>
      </w:r>
    </w:p>
    <w:p>
      <w:pPr>
        <w:pStyle w:val="Heading2"/>
      </w:pPr>
      <w:r>
        <w:t xml:space="preserve">14.1 Seasonal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color="auto" w:val="clear"/>
          </w:tcPr>
          <w:p>
            <w:pPr>
              <w:jc w:val="center"/>
            </w:pPr>
            <w:r>
              <w:rPr>
                <w:b/>
                <w:bCs/>
                <w:color w:val="FFFFFF"/>
                <w:sz w:val="18"/>
                <w:szCs w:val="18"/>
              </w:rPr>
              <w:t xml:space="preserve">Season</w:t>
            </w:r>
          </w:p>
        </w:tc>
        <w:tc>
          <w:tcPr>
            <w:tcW w:type="dxa" w:w="2200"/>
            <w:shd w:fill="1F3864" w:color="auto" w:val="clear"/>
          </w:tcPr>
          <w:p>
            <w:pPr>
              <w:jc w:val="center"/>
            </w:pPr>
            <w:r>
              <w:rPr>
                <w:b/>
                <w:bCs/>
                <w:color w:val="FFFFFF"/>
                <w:sz w:val="18"/>
                <w:szCs w:val="18"/>
              </w:rPr>
              <w:t xml:space="preserve">Months</w:t>
            </w:r>
          </w:p>
        </w:tc>
        <w:tc>
          <w:tcPr>
            <w:tcW w:type="dxa" w:w="4000"/>
            <w:shd w:fill="1F3864" w:color="auto" w:val="clear"/>
          </w:tcPr>
          <w:p>
            <w:pPr>
              <w:jc w:val="center"/>
            </w:pPr>
            <w:r>
              <w:rPr>
                <w:b/>
                <w:bCs/>
                <w:color w:val="FFFFFF"/>
                <w:sz w:val="18"/>
                <w:szCs w:val="18"/>
              </w:rPr>
              <w:t xml:space="preserve">Dominant Resource</w:t>
            </w:r>
          </w:p>
        </w:tc>
      </w:tr>
      <w:tr>
        <w:tc>
          <w:tcPr>
            <w:tcW w:type="dxa" w:w="2200"/>
            <w:shd w:fill="F2F3F4" w:color="auto" w:val="clear"/>
          </w:tcPr>
          <w:p>
            <w:r>
              <w:rPr>
                <w:sz w:val="18"/>
                <w:szCs w:val="18"/>
              </w:rPr>
              <w:t xml:space="preserve">Summer</w:t>
            </w:r>
          </w:p>
        </w:tc>
        <w:tc>
          <w:tcPr>
            <w:tcW w:type="dxa" w:w="2200"/>
            <w:shd w:fill="F2F3F4" w:color="auto" w:val="clear"/>
          </w:tcPr>
          <w:p>
            <w:r>
              <w:rPr>
                <w:sz w:val="18"/>
                <w:szCs w:val="18"/>
              </w:rPr>
              <w:t xml:space="preserve">Mar–May</w:t>
            </w:r>
          </w:p>
        </w:tc>
        <w:tc>
          <w:tcPr>
            <w:tcW w:type="dxa" w:w="4000"/>
            <w:shd w:fill="F2F3F4" w:color="auto" w:val="clear"/>
          </w:tcPr>
          <w:p>
            <w:r>
              <w:rPr>
                <w:sz w:val="18"/>
                <w:szCs w:val="18"/>
              </w:rPr>
              <w:t xml:space="preserve">Moderate solar, low wind</w:t>
            </w:r>
          </w:p>
        </w:tc>
      </w:tr>
      <w:tr>
        <w:tc>
          <w:tcPr>
            <w:tcW w:type="dxa" w:w="2200"/>
            <w:shd w:fill="FFFFFF" w:color="auto" w:val="clear"/>
          </w:tcPr>
          <w:p>
            <w:r>
              <w:rPr>
                <w:sz w:val="18"/>
                <w:szCs w:val="18"/>
              </w:rPr>
              <w:t xml:space="preserve">SW Monsoon</w:t>
            </w:r>
          </w:p>
        </w:tc>
        <w:tc>
          <w:tcPr>
            <w:tcW w:type="dxa" w:w="2200"/>
            <w:shd w:fill="FFFFFF" w:color="auto" w:val="clear"/>
          </w:tcPr>
          <w:p>
            <w:r>
              <w:rPr>
                <w:sz w:val="18"/>
                <w:szCs w:val="18"/>
              </w:rPr>
              <w:t xml:space="preserve">Jun–Sep</w:t>
            </w:r>
          </w:p>
        </w:tc>
        <w:tc>
          <w:tcPr>
            <w:tcW w:type="dxa" w:w="4000"/>
            <w:shd w:fill="FFFFFF" w:color="auto" w:val="clear"/>
          </w:tcPr>
          <w:p>
            <w:r>
              <w:rPr>
                <w:sz w:val="18"/>
                <w:szCs w:val="18"/>
              </w:rPr>
              <w:t xml:space="preserve">Peak wind resource</w:t>
            </w:r>
          </w:p>
        </w:tc>
      </w:tr>
      <w:tr>
        <w:tc>
          <w:tcPr>
            <w:tcW w:type="dxa" w:w="2200"/>
            <w:shd w:fill="F2F3F4" w:color="auto" w:val="clear"/>
          </w:tcPr>
          <w:p>
            <w:r>
              <w:rPr>
                <w:sz w:val="18"/>
                <w:szCs w:val="18"/>
              </w:rPr>
              <w:t xml:space="preserve">NE Monsoon</w:t>
            </w:r>
          </w:p>
        </w:tc>
        <w:tc>
          <w:tcPr>
            <w:tcW w:type="dxa" w:w="2200"/>
            <w:shd w:fill="F2F3F4" w:color="auto" w:val="clear"/>
          </w:tcPr>
          <w:p>
            <w:r>
              <w:rPr>
                <w:sz w:val="18"/>
                <w:szCs w:val="18"/>
              </w:rPr>
              <w:t xml:space="preserve">Oct–Dec</w:t>
            </w:r>
          </w:p>
        </w:tc>
        <w:tc>
          <w:tcPr>
            <w:tcW w:type="dxa" w:w="4000"/>
            <w:shd w:fill="F2F3F4" w:color="auto" w:val="clear"/>
          </w:tcPr>
          <w:p>
            <w:r>
              <w:rPr>
                <w:sz w:val="18"/>
                <w:szCs w:val="18"/>
              </w:rPr>
              <w:t xml:space="preserve">Moderate solar, variable wind</w:t>
            </w:r>
          </w:p>
        </w:tc>
      </w:tr>
      <w:tr>
        <w:tc>
          <w:tcPr>
            <w:tcW w:type="dxa" w:w="2200"/>
            <w:shd w:fill="FFFFFF" w:color="auto" w:val="clear"/>
          </w:tcPr>
          <w:p>
            <w:r>
              <w:rPr>
                <w:sz w:val="18"/>
                <w:szCs w:val="18"/>
              </w:rPr>
              <w:t xml:space="preserve">Winter/Dry</w:t>
            </w:r>
          </w:p>
        </w:tc>
        <w:tc>
          <w:tcPr>
            <w:tcW w:type="dxa" w:w="2200"/>
            <w:shd w:fill="FFFFFF" w:color="auto" w:val="clear"/>
          </w:tcPr>
          <w:p>
            <w:r>
              <w:rPr>
                <w:sz w:val="18"/>
                <w:szCs w:val="18"/>
              </w:rPr>
              <w:t xml:space="preserve">Jan–Feb</w:t>
            </w:r>
          </w:p>
        </w:tc>
        <w:tc>
          <w:tcPr>
            <w:tcW w:type="dxa" w:w="4000"/>
            <w:shd w:fill="FFFFFF" w:color="auto" w:val="clear"/>
          </w:tcPr>
          <w:p>
            <w:r>
              <w:rPr>
                <w:sz w:val="18"/>
                <w:szCs w:val="18"/>
              </w:rPr>
              <w:t xml:space="preserve">Lowest combined resource</w:t>
            </w:r>
          </w:p>
        </w:tc>
      </w:tr>
    </w:tbl>
    <w:p>
      <w:pPr>
        <w:spacing w:before="80"/>
      </w:pPr>
    </w:p>
    <w:p>
      <w:pPr>
        <w:pStyle w:val="Heading2"/>
      </w:pPr>
      <w:r>
        <w:t xml:space="preserve">14.2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color="auto" w:val="clear"/>
          </w:tcPr>
          <w:p>
            <w:pPr>
              <w:jc w:val="center"/>
            </w:pPr>
            <w:r>
              <w:rPr>
                <w:b/>
                <w:bCs/>
                <w:color w:val="FFFFFF"/>
                <w:sz w:val="18"/>
                <w:szCs w:val="18"/>
              </w:rPr>
              <w:t xml:space="preserve">Season</w:t>
            </w:r>
          </w:p>
        </w:tc>
        <w:tc>
          <w:tcPr>
            <w:tcW w:type="dxa" w:w="2000"/>
            <w:shd w:fill="1F3864" w:color="auto" w:val="clear"/>
          </w:tcPr>
          <w:p>
            <w:pPr>
              <w:jc w:val="center"/>
            </w:pPr>
            <w:r>
              <w:rPr>
                <w:b/>
                <w:bCs/>
                <w:color w:val="FFFFFF"/>
                <w:sz w:val="18"/>
                <w:szCs w:val="18"/>
              </w:rPr>
              <w:t xml:space="preserve">LCOE ($/kWh)</w:t>
            </w:r>
          </w:p>
        </w:tc>
        <w:tc>
          <w:tcPr>
            <w:tcW w:type="dxa" w:w="1800"/>
            <w:shd w:fill="1F3864" w:color="auto" w:val="clear"/>
          </w:tcPr>
          <w:p>
            <w:pPr>
              <w:jc w:val="center"/>
            </w:pPr>
            <w:r>
              <w:rPr>
                <w:b/>
                <w:bCs/>
                <w:color w:val="FFFFFF"/>
                <w:sz w:val="18"/>
                <w:szCs w:val="18"/>
              </w:rPr>
              <w:t xml:space="preserve">LPSP (%)</w:t>
            </w:r>
          </w:p>
        </w:tc>
        <w:tc>
          <w:tcPr>
            <w:tcW w:type="dxa" w:w="1800"/>
            <w:shd w:fill="1F3864" w:color="auto" w:val="clear"/>
          </w:tcPr>
          <w:p>
            <w:pPr>
              <w:jc w:val="center"/>
            </w:pPr>
            <w:r>
              <w:rPr>
                <w:b/>
                <w:bCs/>
                <w:color w:val="FFFFFF"/>
                <w:sz w:val="18"/>
                <w:szCs w:val="18"/>
              </w:rPr>
              <w:t xml:space="preserve">SSR (%)</w:t>
            </w:r>
          </w:p>
        </w:tc>
      </w:tr>
      <w:tr>
        <w:tc>
          <w:tcPr>
            <w:tcW w:type="dxa" w:w="2200"/>
            <w:shd w:fill="F2F3F4" w:color="auto" w:val="clear"/>
          </w:tcPr>
          <w:p>
            <w:r>
              <w:rPr>
                <w:sz w:val="18"/>
                <w:szCs w:val="18"/>
              </w:rPr>
              <w:t xml:space="preserve">Summer</w:t>
            </w:r>
          </w:p>
        </w:tc>
        <w:tc>
          <w:tcPr>
            <w:tcW w:type="dxa" w:w="2000"/>
            <w:shd w:fill="F2F3F4" w:color="auto" w:val="clear"/>
          </w:tcPr>
          <w:p>
            <w:r>
              <w:rPr>
                <w:sz w:val="18"/>
                <w:szCs w:val="18"/>
              </w:rPr>
              <w:t xml:space="preserve">0.0214</w:t>
            </w:r>
          </w:p>
        </w:tc>
        <w:tc>
          <w:tcPr>
            <w:tcW w:type="dxa" w:w="1800"/>
            <w:shd w:fill="F2F3F4" w:color="auto" w:val="clear"/>
          </w:tcPr>
          <w:p>
            <w:r>
              <w:rPr>
                <w:sz w:val="18"/>
                <w:szCs w:val="18"/>
              </w:rPr>
              <w:t xml:space="preserve">33.90</w:t>
            </w:r>
          </w:p>
        </w:tc>
        <w:tc>
          <w:tcPr>
            <w:tcW w:type="dxa" w:w="1800"/>
            <w:shd w:fill="F2F3F4" w:color="auto" w:val="clear"/>
          </w:tcPr>
          <w:p>
            <w:r>
              <w:rPr>
                <w:sz w:val="18"/>
                <w:szCs w:val="18"/>
              </w:rPr>
              <w:t xml:space="preserve">66.10</w:t>
            </w:r>
          </w:p>
        </w:tc>
      </w:tr>
      <w:tr>
        <w:tc>
          <w:tcPr>
            <w:tcW w:type="dxa" w:w="2200"/>
            <w:shd w:fill="FFFFFF" w:color="auto" w:val="clear"/>
          </w:tcPr>
          <w:p>
            <w:r>
              <w:rPr>
                <w:sz w:val="18"/>
                <w:szCs w:val="18"/>
              </w:rPr>
              <w:t xml:space="preserve">SW Monsoon</w:t>
            </w:r>
          </w:p>
        </w:tc>
        <w:tc>
          <w:tcPr>
            <w:tcW w:type="dxa" w:w="2000"/>
            <w:shd w:fill="FFFFFF" w:color="auto" w:val="clear"/>
          </w:tcPr>
          <w:p>
            <w:r>
              <w:rPr>
                <w:sz w:val="18"/>
                <w:szCs w:val="18"/>
              </w:rPr>
              <w:t xml:space="preserve">0.0104</w:t>
            </w:r>
          </w:p>
        </w:tc>
        <w:tc>
          <w:tcPr>
            <w:tcW w:type="dxa" w:w="1800"/>
            <w:shd w:fill="FFFFFF" w:color="auto" w:val="clear"/>
          </w:tcPr>
          <w:p>
            <w:r>
              <w:rPr>
                <w:sz w:val="18"/>
                <w:szCs w:val="18"/>
              </w:rPr>
              <w:t xml:space="preserve">0.00</w:t>
            </w:r>
          </w:p>
        </w:tc>
        <w:tc>
          <w:tcPr>
            <w:tcW w:type="dxa" w:w="1800"/>
            <w:shd w:fill="FFFFFF" w:color="auto" w:val="clear"/>
          </w:tcPr>
          <w:p>
            <w:r>
              <w:rPr>
                <w:sz w:val="18"/>
                <w:szCs w:val="18"/>
              </w:rPr>
              <w:t xml:space="preserve">100.00</w:t>
            </w:r>
          </w:p>
        </w:tc>
      </w:tr>
      <w:tr>
        <w:tc>
          <w:tcPr>
            <w:tcW w:type="dxa" w:w="2200"/>
            <w:shd w:fill="F2F3F4" w:color="auto" w:val="clear"/>
          </w:tcPr>
          <w:p>
            <w:r>
              <w:rPr>
                <w:sz w:val="18"/>
                <w:szCs w:val="18"/>
              </w:rPr>
              <w:t xml:space="preserve">NE Monsoon</w:t>
            </w:r>
          </w:p>
        </w:tc>
        <w:tc>
          <w:tcPr>
            <w:tcW w:type="dxa" w:w="2000"/>
            <w:shd w:fill="F2F3F4" w:color="auto" w:val="clear"/>
          </w:tcPr>
          <w:p>
            <w:r>
              <w:rPr>
                <w:sz w:val="18"/>
                <w:szCs w:val="18"/>
              </w:rPr>
              <w:t xml:space="preserve">0.0231</w:t>
            </w:r>
          </w:p>
        </w:tc>
        <w:tc>
          <w:tcPr>
            <w:tcW w:type="dxa" w:w="1800"/>
            <w:shd w:fill="F2F3F4" w:color="auto" w:val="clear"/>
          </w:tcPr>
          <w:p>
            <w:r>
              <w:rPr>
                <w:sz w:val="18"/>
                <w:szCs w:val="18"/>
              </w:rPr>
              <w:t xml:space="preserve">34.11</w:t>
            </w:r>
          </w:p>
        </w:tc>
        <w:tc>
          <w:tcPr>
            <w:tcW w:type="dxa" w:w="1800"/>
            <w:shd w:fill="F2F3F4" w:color="auto" w:val="clear"/>
          </w:tcPr>
          <w:p>
            <w:r>
              <w:rPr>
                <w:sz w:val="18"/>
                <w:szCs w:val="18"/>
              </w:rPr>
              <w:t xml:space="preserve">65.89</w:t>
            </w:r>
          </w:p>
        </w:tc>
      </w:tr>
      <w:tr>
        <w:tc>
          <w:tcPr>
            <w:tcW w:type="dxa" w:w="2200"/>
            <w:shd w:fill="FFFFFF" w:color="auto" w:val="clear"/>
          </w:tcPr>
          <w:p>
            <w:r>
              <w:rPr>
                <w:sz w:val="18"/>
                <w:szCs w:val="18"/>
              </w:rPr>
              <w:t xml:space="preserve">Winter/Dry</w:t>
            </w:r>
          </w:p>
        </w:tc>
        <w:tc>
          <w:tcPr>
            <w:tcW w:type="dxa" w:w="2000"/>
            <w:shd w:fill="FFFFFF" w:color="auto" w:val="clear"/>
          </w:tcPr>
          <w:p>
            <w:r>
              <w:rPr>
                <w:sz w:val="18"/>
                <w:szCs w:val="18"/>
              </w:rPr>
              <w:t xml:space="preserve">0.0308</w:t>
            </w:r>
          </w:p>
        </w:tc>
        <w:tc>
          <w:tcPr>
            <w:tcW w:type="dxa" w:w="1800"/>
            <w:shd w:fill="FFFFFF" w:color="auto" w:val="clear"/>
          </w:tcPr>
          <w:p>
            <w:r>
              <w:rPr>
                <w:sz w:val="18"/>
                <w:szCs w:val="18"/>
              </w:rPr>
              <w:t xml:space="preserve">22.97</w:t>
            </w:r>
          </w:p>
        </w:tc>
        <w:tc>
          <w:tcPr>
            <w:tcW w:type="dxa" w:w="1800"/>
            <w:shd w:fill="FFFFFF" w:color="auto" w:val="clear"/>
          </w:tcPr>
          <w:p>
            <w:r>
              <w:rPr>
                <w:sz w:val="18"/>
                <w:szCs w:val="18"/>
              </w:rPr>
              <w:t xml:space="preserve">77.03</w:t>
            </w:r>
          </w:p>
        </w:tc>
      </w:tr>
    </w:tbl>
    <w:p>
      <w:pPr>
        <w:spacing w:before="80"/>
      </w:pPr>
    </w:p>
    <w:p>
      <w:pPr>
        <w:spacing w:after="80" w:before="40"/>
      </w:pPr>
      <w:r>
        <w:rPr>
          <w:sz w:val="19"/>
          <w:szCs w:val="19"/>
        </w:rPr>
        <w:t xml:space="preserve">SW Monsoon achieves SSR=100% because Coimbatore wind peaks June–September — the annual-optimal sizing was largely driven by this seasonal wind resource. Summer, NE Monsoon, and Winter exhibit LPSP 23–34%, showing the annual design trades seasonal reliability for annual cost efficiency. This is physically expected, not a system flaw. Paper narrative: "Annual optimization is dominated by SW monsoon wind resource. Storage augmentation of approximately X% would equalize seasonal LPSP — recommended as future work."</w:t>
      </w:r>
    </w:p>
    <w:p>
      <w:pPr>
        <w:jc w:val="center"/>
      </w:pPr>
      <w:r>
        <w:rPr/>
        <w:drawing>
          <wp:inline xmlns:wp="http://schemas.openxmlformats.org/drawingml/2006/wordprocessingDrawing" distT="0" distB="0" distL="0" distR="0">
            <wp:extent cx="5029200" cy="1819626"/>
            <wp:effectExtent l="0" t="0" r="0" b="0"/>
            <wp:docPr id="15" name="Monthly_LPSP_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nthly_LPSP_2004"/>
                    <pic:cNvPicPr/>
                  </pic:nvPicPr>
                  <pic:blipFill>
                    <a:blip xmlns:r="http://schemas.openxmlformats.org/officeDocument/2006/relationships" r:embed="rId15"/>
                    <a:stretch>
                      <a:fillRect/>
                    </a:stretch>
                  </pic:blipFill>
                  <pic:spPr>
                    <a:xfrm>
                      <a:off x="0" y="0"/>
                      <a:ext cx="5029200" cy="1819626"/>
                    </a:xfrm>
                    <a:prstGeom prst="rect">
                      <a:avLst/>
                    </a:prstGeom>
                  </pic:spPr>
                </pic:pic>
              </a:graphicData>
            </a:graphic>
          </wp:inline>
        </w:drawing>
      </w:r>
    </w:p>
    <w:p>
      <w:pPr>
        <w:jc w:val="center"/>
        <w:spacing w:before="40" w:after="160"/>
      </w:pPr>
      <w:r>
        <w:rPr>
          <w:i/>
          <w:color w:val="5D6D7E"/>
          <w:sz w:val="18"/>
        </w:rPr>
        <w:t>Fig: Monthly LPSP — GWO Design (2004). April=30.3%, May=22.6% exceed constraint; pre-monsoon months are reliability-critical.</w:t>
      </w:r>
    </w:p>
    <w:p>
      <w:r>
        <w:br w:type="page"/>
      </w:r>
    </w:p>
    <w:p>
      <w:pPr>
        <w:pStyle w:val="Heading1"/>
      </w:pPr>
      <w:r>
        <w:t xml:space="preserve">15. Inter-Annual Robustness Analysis (P13)</w:t>
      </w:r>
    </w:p>
    <w:p>
      <w:pPr>
        <w:spacing w:after="80" w:before="40"/>
      </w:pPr>
      <w:r>
        <w:rPr>
          <w:sz w:val="19"/>
          <w:szCs w:val="19"/>
        </w:rPr>
        <w:t xml:space="preserve">The GWO annual-optimal design was evaluated against each of 20 individual years (2004–2023) to quantify climate-driven performance variability. Fixed design evaluation (not per-year re-optimization) correctly models robustness of a deployed system.</w:t>
      </w:r>
    </w:p>
    <w:p>
      <w:pPr>
        <w:pStyle w:val="Heading2"/>
      </w:pPr>
      <w:r>
        <w:t xml:space="preserve">15.1 20-Year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color="auto" w:val="clear"/>
          </w:tcPr>
          <w:p>
            <w:pPr>
              <w:jc w:val="center"/>
            </w:pPr>
            <w:r>
              <w:rPr>
                <w:b/>
                <w:bCs/>
                <w:color w:val="FFFFFF"/>
                <w:sz w:val="18"/>
                <w:szCs w:val="18"/>
              </w:rPr>
              <w:t xml:space="preserve">Year</w:t>
            </w:r>
          </w:p>
        </w:tc>
        <w:tc>
          <w:tcPr>
            <w:tcW w:type="dxa" w:w="2000"/>
            <w:shd w:fill="1F3864" w:color="auto" w:val="clear"/>
          </w:tcPr>
          <w:p>
            <w:pPr>
              <w:jc w:val="center"/>
            </w:pPr>
            <w:r>
              <w:rPr>
                <w:b/>
                <w:bCs/>
                <w:color w:val="FFFFFF"/>
                <w:sz w:val="18"/>
                <w:szCs w:val="18"/>
              </w:rPr>
              <w:t xml:space="preserve">LCOE ($/kWh)</w:t>
            </w:r>
          </w:p>
        </w:tc>
        <w:tc>
          <w:tcPr>
            <w:tcW w:type="dxa" w:w="1800"/>
            <w:shd w:fill="1F3864" w:color="auto" w:val="clear"/>
          </w:tcPr>
          <w:p>
            <w:pPr>
              <w:jc w:val="center"/>
            </w:pPr>
            <w:r>
              <w:rPr>
                <w:b/>
                <w:bCs/>
                <w:color w:val="FFFFFF"/>
                <w:sz w:val="18"/>
                <w:szCs w:val="18"/>
              </w:rPr>
              <w:t xml:space="preserve">LPSP (%)</w:t>
            </w:r>
          </w:p>
        </w:tc>
        <w:tc>
          <w:tcPr>
            <w:tcW w:type="dxa" w:w="1800"/>
            <w:shd w:fill="1F3864" w:color="auto" w:val="clear"/>
          </w:tcPr>
          <w:p>
            <w:pPr>
              <w:jc w:val="center"/>
            </w:pPr>
            <w:r>
              <w:rPr>
                <w:b/>
                <w:bCs/>
                <w:color w:val="FFFFFF"/>
                <w:sz w:val="18"/>
                <w:szCs w:val="18"/>
              </w:rPr>
              <w:t xml:space="preserve">SSR (%)</w:t>
            </w:r>
          </w:p>
        </w:tc>
      </w:tr>
      <w:tr>
        <w:tc>
          <w:tcPr>
            <w:tcW w:type="dxa" w:w="1500"/>
            <w:shd w:fill="F2F3F4" w:color="auto" w:val="clear"/>
          </w:tcPr>
          <w:p>
            <w:r>
              <w:rPr>
                <w:sz w:val="18"/>
                <w:szCs w:val="18"/>
              </w:rPr>
              <w:t xml:space="preserve">2004</w:t>
            </w:r>
          </w:p>
        </w:tc>
        <w:tc>
          <w:tcPr>
            <w:tcW w:type="dxa" w:w="2000"/>
            <w:shd w:fill="F2F3F4" w:color="auto" w:val="clear"/>
          </w:tcPr>
          <w:p>
            <w:r>
              <w:rPr>
                <w:sz w:val="18"/>
                <w:szCs w:val="18"/>
              </w:rPr>
              <w:t xml:space="preserve">0.0788</w:t>
            </w:r>
          </w:p>
        </w:tc>
        <w:tc>
          <w:tcPr>
            <w:tcW w:type="dxa" w:w="1800"/>
            <w:shd w:fill="F2F3F4" w:color="auto" w:val="clear"/>
          </w:tcPr>
          <w:p>
            <w:r>
              <w:rPr>
                <w:sz w:val="18"/>
                <w:szCs w:val="18"/>
              </w:rPr>
              <w:t xml:space="preserve">5.07</w:t>
            </w:r>
          </w:p>
        </w:tc>
        <w:tc>
          <w:tcPr>
            <w:tcW w:type="dxa" w:w="1800"/>
            <w:shd w:fill="F2F3F4" w:color="auto" w:val="clear"/>
          </w:tcPr>
          <w:p>
            <w:r>
              <w:rPr>
                <w:sz w:val="18"/>
                <w:szCs w:val="18"/>
              </w:rPr>
              <w:t xml:space="preserve">94.93</w:t>
            </w:r>
          </w:p>
        </w:tc>
      </w:tr>
      <w:tr>
        <w:tc>
          <w:tcPr>
            <w:tcW w:type="dxa" w:w="1500"/>
            <w:shd w:fill="FFFFFF" w:color="auto" w:val="clear"/>
          </w:tcPr>
          <w:p>
            <w:r>
              <w:rPr>
                <w:sz w:val="18"/>
                <w:szCs w:val="18"/>
              </w:rPr>
              <w:t xml:space="preserve">2005</w:t>
            </w:r>
          </w:p>
        </w:tc>
        <w:tc>
          <w:tcPr>
            <w:tcW w:type="dxa" w:w="2000"/>
            <w:shd w:fill="FFFFFF" w:color="auto" w:val="clear"/>
          </w:tcPr>
          <w:p>
            <w:r>
              <w:rPr>
                <w:sz w:val="18"/>
                <w:szCs w:val="18"/>
              </w:rPr>
              <w:t xml:space="preserve">0.0814</w:t>
            </w:r>
          </w:p>
        </w:tc>
        <w:tc>
          <w:tcPr>
            <w:tcW w:type="dxa" w:w="1800"/>
            <w:shd w:fill="FFFFFF" w:color="auto" w:val="clear"/>
          </w:tcPr>
          <w:p>
            <w:r>
              <w:rPr>
                <w:sz w:val="18"/>
                <w:szCs w:val="18"/>
              </w:rPr>
              <w:t xml:space="preserve">7.88</w:t>
            </w:r>
          </w:p>
        </w:tc>
        <w:tc>
          <w:tcPr>
            <w:tcW w:type="dxa" w:w="1800"/>
            <w:shd w:fill="FFFFFF" w:color="auto" w:val="clear"/>
          </w:tcPr>
          <w:p>
            <w:r>
              <w:rPr>
                <w:sz w:val="18"/>
                <w:szCs w:val="18"/>
              </w:rPr>
              <w:t xml:space="preserve">92.12</w:t>
            </w:r>
          </w:p>
        </w:tc>
      </w:tr>
      <w:tr>
        <w:tc>
          <w:tcPr>
            <w:tcW w:type="dxa" w:w="1500"/>
            <w:shd w:fill="F2F3F4" w:color="auto" w:val="clear"/>
          </w:tcPr>
          <w:p>
            <w:r>
              <w:rPr>
                <w:sz w:val="18"/>
                <w:szCs w:val="18"/>
              </w:rPr>
              <w:t xml:space="preserve">2006</w:t>
            </w:r>
          </w:p>
        </w:tc>
        <w:tc>
          <w:tcPr>
            <w:tcW w:type="dxa" w:w="2000"/>
            <w:shd w:fill="F2F3F4" w:color="auto" w:val="clear"/>
          </w:tcPr>
          <w:p>
            <w:r>
              <w:rPr>
                <w:sz w:val="18"/>
                <w:szCs w:val="18"/>
              </w:rPr>
              <w:t xml:space="preserve">0.0783</w:t>
            </w:r>
          </w:p>
        </w:tc>
        <w:tc>
          <w:tcPr>
            <w:tcW w:type="dxa" w:w="1800"/>
            <w:shd w:fill="F2F3F4" w:color="auto" w:val="clear"/>
          </w:tcPr>
          <w:p>
            <w:r>
              <w:rPr>
                <w:sz w:val="18"/>
                <w:szCs w:val="18"/>
              </w:rPr>
              <w:t xml:space="preserve">4.27</w:t>
            </w:r>
          </w:p>
        </w:tc>
        <w:tc>
          <w:tcPr>
            <w:tcW w:type="dxa" w:w="1800"/>
            <w:shd w:fill="F2F3F4" w:color="auto" w:val="clear"/>
          </w:tcPr>
          <w:p>
            <w:r>
              <w:rPr>
                <w:sz w:val="18"/>
                <w:szCs w:val="18"/>
              </w:rPr>
              <w:t xml:space="preserve">95.73</w:t>
            </w:r>
          </w:p>
        </w:tc>
      </w:tr>
      <w:tr>
        <w:tc>
          <w:tcPr>
            <w:tcW w:type="dxa" w:w="1500"/>
            <w:shd w:fill="FFFFFF" w:color="auto" w:val="clear"/>
          </w:tcPr>
          <w:p>
            <w:r>
              <w:rPr>
                <w:sz w:val="18"/>
                <w:szCs w:val="18"/>
              </w:rPr>
              <w:t xml:space="preserve">2007</w:t>
            </w:r>
          </w:p>
        </w:tc>
        <w:tc>
          <w:tcPr>
            <w:tcW w:type="dxa" w:w="2000"/>
            <w:shd w:fill="FFFFFF" w:color="auto" w:val="clear"/>
          </w:tcPr>
          <w:p>
            <w:r>
              <w:rPr>
                <w:sz w:val="18"/>
                <w:szCs w:val="18"/>
              </w:rPr>
              <w:t xml:space="preserve">0.0834</w:t>
            </w:r>
          </w:p>
        </w:tc>
        <w:tc>
          <w:tcPr>
            <w:tcW w:type="dxa" w:w="1800"/>
            <w:shd w:fill="FFFFFF" w:color="auto" w:val="clear"/>
          </w:tcPr>
          <w:p>
            <w:r>
              <w:rPr>
                <w:sz w:val="18"/>
                <w:szCs w:val="18"/>
              </w:rPr>
              <w:t xml:space="preserve">10.10</w:t>
            </w:r>
          </w:p>
        </w:tc>
        <w:tc>
          <w:tcPr>
            <w:tcW w:type="dxa" w:w="1800"/>
            <w:shd w:fill="FFFFFF" w:color="auto" w:val="clear"/>
          </w:tcPr>
          <w:p>
            <w:r>
              <w:rPr>
                <w:sz w:val="18"/>
                <w:szCs w:val="18"/>
              </w:rPr>
              <w:t xml:space="preserve">89.90</w:t>
            </w:r>
          </w:p>
        </w:tc>
      </w:tr>
      <w:tr>
        <w:tc>
          <w:tcPr>
            <w:tcW w:type="dxa" w:w="1500"/>
            <w:shd w:fill="F2F3F4" w:color="auto" w:val="clear"/>
          </w:tcPr>
          <w:p>
            <w:r>
              <w:rPr>
                <w:sz w:val="18"/>
                <w:szCs w:val="18"/>
              </w:rPr>
              <w:t xml:space="preserve">2008</w:t>
            </w:r>
          </w:p>
        </w:tc>
        <w:tc>
          <w:tcPr>
            <w:tcW w:type="dxa" w:w="2000"/>
            <w:shd w:fill="F2F3F4" w:color="auto" w:val="clear"/>
          </w:tcPr>
          <w:p>
            <w:r>
              <w:rPr>
                <w:sz w:val="18"/>
                <w:szCs w:val="18"/>
              </w:rPr>
              <w:t xml:space="preserve">0.0868</w:t>
            </w:r>
          </w:p>
        </w:tc>
        <w:tc>
          <w:tcPr>
            <w:tcW w:type="dxa" w:w="1800"/>
            <w:shd w:fill="F2F3F4" w:color="auto" w:val="clear"/>
          </w:tcPr>
          <w:p>
            <w:r>
              <w:rPr>
                <w:sz w:val="18"/>
                <w:szCs w:val="18"/>
              </w:rPr>
              <w:t xml:space="preserve">13.82</w:t>
            </w:r>
          </w:p>
        </w:tc>
        <w:tc>
          <w:tcPr>
            <w:tcW w:type="dxa" w:w="1800"/>
            <w:shd w:fill="F2F3F4" w:color="auto" w:val="clear"/>
          </w:tcPr>
          <w:p>
            <w:r>
              <w:rPr>
                <w:sz w:val="18"/>
                <w:szCs w:val="18"/>
              </w:rPr>
              <w:t xml:space="preserve">86.18</w:t>
            </w:r>
          </w:p>
        </w:tc>
      </w:tr>
      <w:tr>
        <w:tc>
          <w:tcPr>
            <w:tcW w:type="dxa" w:w="1500"/>
            <w:shd w:fill="FFFFFF" w:color="auto" w:val="clear"/>
          </w:tcPr>
          <w:p>
            <w:r>
              <w:rPr>
                <w:sz w:val="18"/>
                <w:szCs w:val="18"/>
              </w:rPr>
              <w:t xml:space="preserve">2009</w:t>
            </w:r>
          </w:p>
        </w:tc>
        <w:tc>
          <w:tcPr>
            <w:tcW w:type="dxa" w:w="2000"/>
            <w:shd w:fill="FFFFFF" w:color="auto" w:val="clear"/>
          </w:tcPr>
          <w:p>
            <w:r>
              <w:rPr>
                <w:sz w:val="18"/>
                <w:szCs w:val="18"/>
              </w:rPr>
              <w:t xml:space="preserve">0.0781</w:t>
            </w:r>
          </w:p>
        </w:tc>
        <w:tc>
          <w:tcPr>
            <w:tcW w:type="dxa" w:w="1800"/>
            <w:shd w:fill="FFFFFF" w:color="auto" w:val="clear"/>
          </w:tcPr>
          <w:p>
            <w:r>
              <w:rPr>
                <w:sz w:val="18"/>
                <w:szCs w:val="18"/>
              </w:rPr>
              <w:t xml:space="preserve">4.04</w:t>
            </w:r>
          </w:p>
        </w:tc>
        <w:tc>
          <w:tcPr>
            <w:tcW w:type="dxa" w:w="1800"/>
            <w:shd w:fill="FFFFFF" w:color="auto" w:val="clear"/>
          </w:tcPr>
          <w:p>
            <w:r>
              <w:rPr>
                <w:sz w:val="18"/>
                <w:szCs w:val="18"/>
              </w:rPr>
              <w:t xml:space="preserve">95.96</w:t>
            </w:r>
          </w:p>
        </w:tc>
      </w:tr>
      <w:tr>
        <w:tc>
          <w:tcPr>
            <w:tcW w:type="dxa" w:w="1500"/>
            <w:shd w:fill="F2F3F4" w:color="auto" w:val="clear"/>
          </w:tcPr>
          <w:p>
            <w:r>
              <w:rPr>
                <w:sz w:val="18"/>
                <w:szCs w:val="18"/>
              </w:rPr>
              <w:t xml:space="preserve">2010</w:t>
            </w:r>
          </w:p>
        </w:tc>
        <w:tc>
          <w:tcPr>
            <w:tcW w:type="dxa" w:w="2000"/>
            <w:shd w:fill="F2F3F4" w:color="auto" w:val="clear"/>
          </w:tcPr>
          <w:p>
            <w:r>
              <w:rPr>
                <w:sz w:val="18"/>
                <w:szCs w:val="18"/>
              </w:rPr>
              <w:t xml:space="preserve">0.0882</w:t>
            </w:r>
          </w:p>
        </w:tc>
        <w:tc>
          <w:tcPr>
            <w:tcW w:type="dxa" w:w="1800"/>
            <w:shd w:fill="F2F3F4" w:color="auto" w:val="clear"/>
          </w:tcPr>
          <w:p>
            <w:r>
              <w:rPr>
                <w:sz w:val="18"/>
                <w:szCs w:val="18"/>
              </w:rPr>
              <w:t xml:space="preserve">14.95</w:t>
            </w:r>
          </w:p>
        </w:tc>
        <w:tc>
          <w:tcPr>
            <w:tcW w:type="dxa" w:w="1800"/>
            <w:shd w:fill="F2F3F4" w:color="auto" w:val="clear"/>
          </w:tcPr>
          <w:p>
            <w:r>
              <w:rPr>
                <w:sz w:val="18"/>
                <w:szCs w:val="18"/>
              </w:rPr>
              <w:t xml:space="preserve">85.05</w:t>
            </w:r>
          </w:p>
        </w:tc>
      </w:tr>
      <w:tr>
        <w:tc>
          <w:tcPr>
            <w:tcW w:type="dxa" w:w="1500"/>
            <w:shd w:fill="FFFFFF" w:color="auto" w:val="clear"/>
          </w:tcPr>
          <w:p>
            <w:r>
              <w:rPr>
                <w:sz w:val="18"/>
                <w:szCs w:val="18"/>
              </w:rPr>
              <w:t xml:space="preserve">2011</w:t>
            </w:r>
          </w:p>
        </w:tc>
        <w:tc>
          <w:tcPr>
            <w:tcW w:type="dxa" w:w="2000"/>
            <w:shd w:fill="FFFFFF" w:color="auto" w:val="clear"/>
          </w:tcPr>
          <w:p>
            <w:r>
              <w:rPr>
                <w:sz w:val="18"/>
                <w:szCs w:val="18"/>
              </w:rPr>
              <w:t xml:space="preserve">0.0794</w:t>
            </w:r>
          </w:p>
        </w:tc>
        <w:tc>
          <w:tcPr>
            <w:tcW w:type="dxa" w:w="1800"/>
            <w:shd w:fill="FFFFFF" w:color="auto" w:val="clear"/>
          </w:tcPr>
          <w:p>
            <w:r>
              <w:rPr>
                <w:sz w:val="18"/>
                <w:szCs w:val="18"/>
              </w:rPr>
              <w:t xml:space="preserve">5.57</w:t>
            </w:r>
          </w:p>
        </w:tc>
        <w:tc>
          <w:tcPr>
            <w:tcW w:type="dxa" w:w="1800"/>
            <w:shd w:fill="FFFFFF" w:color="auto" w:val="clear"/>
          </w:tcPr>
          <w:p>
            <w:r>
              <w:rPr>
                <w:sz w:val="18"/>
                <w:szCs w:val="18"/>
              </w:rPr>
              <w:t xml:space="preserve">94.43</w:t>
            </w:r>
          </w:p>
        </w:tc>
      </w:tr>
      <w:tr>
        <w:tc>
          <w:tcPr>
            <w:tcW w:type="dxa" w:w="1500"/>
            <w:shd w:fill="F2F3F4" w:color="auto" w:val="clear"/>
          </w:tcPr>
          <w:p>
            <w:r>
              <w:rPr>
                <w:sz w:val="18"/>
                <w:szCs w:val="18"/>
              </w:rPr>
              <w:t xml:space="preserve">2012</w:t>
            </w:r>
          </w:p>
        </w:tc>
        <w:tc>
          <w:tcPr>
            <w:tcW w:type="dxa" w:w="2000"/>
            <w:shd w:fill="F2F3F4" w:color="auto" w:val="clear"/>
          </w:tcPr>
          <w:p>
            <w:r>
              <w:rPr>
                <w:sz w:val="18"/>
                <w:szCs w:val="18"/>
              </w:rPr>
              <w:t xml:space="preserve">0.0821</w:t>
            </w:r>
          </w:p>
        </w:tc>
        <w:tc>
          <w:tcPr>
            <w:tcW w:type="dxa" w:w="1800"/>
            <w:shd w:fill="F2F3F4" w:color="auto" w:val="clear"/>
          </w:tcPr>
          <w:p>
            <w:r>
              <w:rPr>
                <w:sz w:val="18"/>
                <w:szCs w:val="18"/>
              </w:rPr>
              <w:t xml:space="preserve">8.91</w:t>
            </w:r>
          </w:p>
        </w:tc>
        <w:tc>
          <w:tcPr>
            <w:tcW w:type="dxa" w:w="1800"/>
            <w:shd w:fill="F2F3F4" w:color="auto" w:val="clear"/>
          </w:tcPr>
          <w:p>
            <w:r>
              <w:rPr>
                <w:sz w:val="18"/>
                <w:szCs w:val="18"/>
              </w:rPr>
              <w:t xml:space="preserve">91.09</w:t>
            </w:r>
          </w:p>
        </w:tc>
      </w:tr>
      <w:tr>
        <w:tc>
          <w:tcPr>
            <w:tcW w:type="dxa" w:w="1500"/>
            <w:shd w:fill="FFFFFF" w:color="auto" w:val="clear"/>
          </w:tcPr>
          <w:p>
            <w:r>
              <w:rPr>
                <w:sz w:val="18"/>
                <w:szCs w:val="18"/>
              </w:rPr>
              <w:t xml:space="preserve">2013</w:t>
            </w:r>
          </w:p>
        </w:tc>
        <w:tc>
          <w:tcPr>
            <w:tcW w:type="dxa" w:w="2000"/>
            <w:shd w:fill="FFFFFF" w:color="auto" w:val="clear"/>
          </w:tcPr>
          <w:p>
            <w:r>
              <w:rPr>
                <w:sz w:val="18"/>
                <w:szCs w:val="18"/>
              </w:rPr>
              <w:t xml:space="preserve">0.0780</w:t>
            </w:r>
          </w:p>
        </w:tc>
        <w:tc>
          <w:tcPr>
            <w:tcW w:type="dxa" w:w="1800"/>
            <w:shd w:fill="FFFFFF" w:color="auto" w:val="clear"/>
          </w:tcPr>
          <w:p>
            <w:r>
              <w:rPr>
                <w:sz w:val="18"/>
                <w:szCs w:val="18"/>
              </w:rPr>
              <w:t xml:space="preserve">3.95</w:t>
            </w:r>
          </w:p>
        </w:tc>
        <w:tc>
          <w:tcPr>
            <w:tcW w:type="dxa" w:w="1800"/>
            <w:shd w:fill="FFFFFF" w:color="auto" w:val="clear"/>
          </w:tcPr>
          <w:p>
            <w:r>
              <w:rPr>
                <w:sz w:val="18"/>
                <w:szCs w:val="18"/>
              </w:rPr>
              <w:t xml:space="preserve">96.05</w:t>
            </w:r>
          </w:p>
        </w:tc>
      </w:tr>
      <w:tr>
        <w:tc>
          <w:tcPr>
            <w:tcW w:type="dxa" w:w="1500"/>
            <w:shd w:fill="F2F3F4" w:color="auto" w:val="clear"/>
          </w:tcPr>
          <w:p>
            <w:r>
              <w:rPr>
                <w:sz w:val="18"/>
                <w:szCs w:val="18"/>
              </w:rPr>
              <w:t xml:space="preserve">2014</w:t>
            </w:r>
          </w:p>
        </w:tc>
        <w:tc>
          <w:tcPr>
            <w:tcW w:type="dxa" w:w="2000"/>
            <w:shd w:fill="F2F3F4" w:color="auto" w:val="clear"/>
          </w:tcPr>
          <w:p>
            <w:r>
              <w:rPr>
                <w:sz w:val="18"/>
                <w:szCs w:val="18"/>
              </w:rPr>
              <w:t xml:space="preserve">0.0813</w:t>
            </w:r>
          </w:p>
        </w:tc>
        <w:tc>
          <w:tcPr>
            <w:tcW w:type="dxa" w:w="1800"/>
            <w:shd w:fill="F2F3F4" w:color="auto" w:val="clear"/>
          </w:tcPr>
          <w:p>
            <w:r>
              <w:rPr>
                <w:sz w:val="18"/>
                <w:szCs w:val="18"/>
              </w:rPr>
              <w:t xml:space="preserve">7.84</w:t>
            </w:r>
          </w:p>
        </w:tc>
        <w:tc>
          <w:tcPr>
            <w:tcW w:type="dxa" w:w="1800"/>
            <w:shd w:fill="F2F3F4" w:color="auto" w:val="clear"/>
          </w:tcPr>
          <w:p>
            <w:r>
              <w:rPr>
                <w:sz w:val="18"/>
                <w:szCs w:val="18"/>
              </w:rPr>
              <w:t xml:space="preserve">92.16</w:t>
            </w:r>
          </w:p>
        </w:tc>
      </w:tr>
      <w:tr>
        <w:tc>
          <w:tcPr>
            <w:tcW w:type="dxa" w:w="1500"/>
            <w:shd w:fill="FFFFFF" w:color="auto" w:val="clear"/>
          </w:tcPr>
          <w:p>
            <w:r>
              <w:rPr>
                <w:sz w:val="18"/>
                <w:szCs w:val="18"/>
              </w:rPr>
              <w:t xml:space="preserve">2015</w:t>
            </w:r>
          </w:p>
        </w:tc>
        <w:tc>
          <w:tcPr>
            <w:tcW w:type="dxa" w:w="2000"/>
            <w:shd w:fill="FFFFFF" w:color="auto" w:val="clear"/>
          </w:tcPr>
          <w:p>
            <w:r>
              <w:rPr>
                <w:sz w:val="18"/>
                <w:szCs w:val="18"/>
              </w:rPr>
              <w:t xml:space="preserve">0.0887</w:t>
            </w:r>
          </w:p>
        </w:tc>
        <w:tc>
          <w:tcPr>
            <w:tcW w:type="dxa" w:w="1800"/>
            <w:shd w:fill="FFFFFF" w:color="auto" w:val="clear"/>
          </w:tcPr>
          <w:p>
            <w:r>
              <w:rPr>
                <w:sz w:val="18"/>
                <w:szCs w:val="18"/>
              </w:rPr>
              <w:t xml:space="preserve">15.42</w:t>
            </w:r>
          </w:p>
        </w:tc>
        <w:tc>
          <w:tcPr>
            <w:tcW w:type="dxa" w:w="1800"/>
            <w:shd w:fill="FFFFFF" w:color="auto" w:val="clear"/>
          </w:tcPr>
          <w:p>
            <w:r>
              <w:rPr>
                <w:sz w:val="18"/>
                <w:szCs w:val="18"/>
              </w:rPr>
              <w:t xml:space="preserve">84.58</w:t>
            </w:r>
          </w:p>
        </w:tc>
      </w:tr>
      <w:tr>
        <w:tc>
          <w:tcPr>
            <w:tcW w:type="dxa" w:w="1500"/>
            <w:shd w:fill="F2F3F4" w:color="auto" w:val="clear"/>
          </w:tcPr>
          <w:p>
            <w:r>
              <w:rPr>
                <w:sz w:val="18"/>
                <w:szCs w:val="18"/>
              </w:rPr>
              <w:t xml:space="preserve">2016</w:t>
            </w:r>
          </w:p>
        </w:tc>
        <w:tc>
          <w:tcPr>
            <w:tcW w:type="dxa" w:w="2000"/>
            <w:shd w:fill="F2F3F4" w:color="auto" w:val="clear"/>
          </w:tcPr>
          <w:p>
            <w:r>
              <w:rPr>
                <w:sz w:val="18"/>
                <w:szCs w:val="18"/>
              </w:rPr>
              <w:t xml:space="preserve">0.0840</w:t>
            </w:r>
          </w:p>
        </w:tc>
        <w:tc>
          <w:tcPr>
            <w:tcW w:type="dxa" w:w="1800"/>
            <w:shd w:fill="F2F3F4" w:color="auto" w:val="clear"/>
          </w:tcPr>
          <w:p>
            <w:r>
              <w:rPr>
                <w:sz w:val="18"/>
                <w:szCs w:val="18"/>
              </w:rPr>
              <w:t xml:space="preserve">11.01</w:t>
            </w:r>
          </w:p>
        </w:tc>
        <w:tc>
          <w:tcPr>
            <w:tcW w:type="dxa" w:w="1800"/>
            <w:shd w:fill="F2F3F4" w:color="auto" w:val="clear"/>
          </w:tcPr>
          <w:p>
            <w:r>
              <w:rPr>
                <w:sz w:val="18"/>
                <w:szCs w:val="18"/>
              </w:rPr>
              <w:t xml:space="preserve">88.99</w:t>
            </w:r>
          </w:p>
        </w:tc>
      </w:tr>
      <w:tr>
        <w:tc>
          <w:tcPr>
            <w:tcW w:type="dxa" w:w="1500"/>
            <w:shd w:fill="FFFFFF" w:color="auto" w:val="clear"/>
          </w:tcPr>
          <w:p>
            <w:r>
              <w:rPr>
                <w:sz w:val="18"/>
                <w:szCs w:val="18"/>
              </w:rPr>
              <w:t xml:space="preserve">2017</w:t>
            </w:r>
          </w:p>
        </w:tc>
        <w:tc>
          <w:tcPr>
            <w:tcW w:type="dxa" w:w="2000"/>
            <w:shd w:fill="FFFFFF" w:color="auto" w:val="clear"/>
          </w:tcPr>
          <w:p>
            <w:r>
              <w:rPr>
                <w:sz w:val="18"/>
                <w:szCs w:val="18"/>
              </w:rPr>
              <w:t xml:space="preserve">0.0885</w:t>
            </w:r>
          </w:p>
        </w:tc>
        <w:tc>
          <w:tcPr>
            <w:tcW w:type="dxa" w:w="1800"/>
            <w:shd w:fill="FFFFFF" w:color="auto" w:val="clear"/>
          </w:tcPr>
          <w:p>
            <w:r>
              <w:rPr>
                <w:sz w:val="18"/>
                <w:szCs w:val="18"/>
              </w:rPr>
              <w:t xml:space="preserve">15.24</w:t>
            </w:r>
          </w:p>
        </w:tc>
        <w:tc>
          <w:tcPr>
            <w:tcW w:type="dxa" w:w="1800"/>
            <w:shd w:fill="FFFFFF" w:color="auto" w:val="clear"/>
          </w:tcPr>
          <w:p>
            <w:r>
              <w:rPr>
                <w:sz w:val="18"/>
                <w:szCs w:val="18"/>
              </w:rPr>
              <w:t xml:space="preserve">84.76</w:t>
            </w:r>
          </w:p>
        </w:tc>
      </w:tr>
      <w:tr>
        <w:tc>
          <w:tcPr>
            <w:tcW w:type="dxa" w:w="1500"/>
            <w:shd w:fill="F2F3F4" w:color="auto" w:val="clear"/>
          </w:tcPr>
          <w:p>
            <w:r>
              <w:rPr>
                <w:sz w:val="18"/>
                <w:szCs w:val="18"/>
              </w:rPr>
              <w:t xml:space="preserve">2018</w:t>
            </w:r>
          </w:p>
        </w:tc>
        <w:tc>
          <w:tcPr>
            <w:tcW w:type="dxa" w:w="2000"/>
            <w:shd w:fill="F2F3F4" w:color="auto" w:val="clear"/>
          </w:tcPr>
          <w:p>
            <w:r>
              <w:rPr>
                <w:sz w:val="18"/>
                <w:szCs w:val="18"/>
              </w:rPr>
              <w:t xml:space="preserve">0.0817</w:t>
            </w:r>
          </w:p>
        </w:tc>
        <w:tc>
          <w:tcPr>
            <w:tcW w:type="dxa" w:w="1800"/>
            <w:shd w:fill="F2F3F4" w:color="auto" w:val="clear"/>
          </w:tcPr>
          <w:p>
            <w:r>
              <w:rPr>
                <w:sz w:val="18"/>
                <w:szCs w:val="18"/>
              </w:rPr>
              <w:t xml:space="preserve">8.26</w:t>
            </w:r>
          </w:p>
        </w:tc>
        <w:tc>
          <w:tcPr>
            <w:tcW w:type="dxa" w:w="1800"/>
            <w:shd w:fill="F2F3F4" w:color="auto" w:val="clear"/>
          </w:tcPr>
          <w:p>
            <w:r>
              <w:rPr>
                <w:sz w:val="18"/>
                <w:szCs w:val="18"/>
              </w:rPr>
              <w:t xml:space="preserve">91.74</w:t>
            </w:r>
          </w:p>
        </w:tc>
      </w:tr>
      <w:tr>
        <w:tc>
          <w:tcPr>
            <w:tcW w:type="dxa" w:w="1500"/>
            <w:shd w:fill="FFFFFF" w:color="auto" w:val="clear"/>
          </w:tcPr>
          <w:p>
            <w:r>
              <w:rPr>
                <w:sz w:val="18"/>
                <w:szCs w:val="18"/>
              </w:rPr>
              <w:t xml:space="preserve">2019</w:t>
            </w:r>
          </w:p>
        </w:tc>
        <w:tc>
          <w:tcPr>
            <w:tcW w:type="dxa" w:w="2000"/>
            <w:shd w:fill="FFFFFF" w:color="auto" w:val="clear"/>
          </w:tcPr>
          <w:p>
            <w:r>
              <w:rPr>
                <w:sz w:val="18"/>
                <w:szCs w:val="18"/>
              </w:rPr>
              <w:t xml:space="preserve">0.0842</w:t>
            </w:r>
          </w:p>
        </w:tc>
        <w:tc>
          <w:tcPr>
            <w:tcW w:type="dxa" w:w="1800"/>
            <w:shd w:fill="FFFFFF" w:color="auto" w:val="clear"/>
          </w:tcPr>
          <w:p>
            <w:r>
              <w:rPr>
                <w:sz w:val="18"/>
                <w:szCs w:val="18"/>
              </w:rPr>
              <w:t xml:space="preserve">10.96</w:t>
            </w:r>
          </w:p>
        </w:tc>
        <w:tc>
          <w:tcPr>
            <w:tcW w:type="dxa" w:w="1800"/>
            <w:shd w:fill="FFFFFF" w:color="auto" w:val="clear"/>
          </w:tcPr>
          <w:p>
            <w:r>
              <w:rPr>
                <w:sz w:val="18"/>
                <w:szCs w:val="18"/>
              </w:rPr>
              <w:t xml:space="preserve">89.04</w:t>
            </w:r>
          </w:p>
        </w:tc>
      </w:tr>
      <w:tr>
        <w:tc>
          <w:tcPr>
            <w:tcW w:type="dxa" w:w="1500"/>
            <w:shd w:fill="F2F3F4" w:color="auto" w:val="clear"/>
          </w:tcPr>
          <w:p>
            <w:r>
              <w:rPr>
                <w:sz w:val="18"/>
                <w:szCs w:val="18"/>
              </w:rPr>
              <w:t xml:space="preserve">2020</w:t>
            </w:r>
          </w:p>
        </w:tc>
        <w:tc>
          <w:tcPr>
            <w:tcW w:type="dxa" w:w="2000"/>
            <w:shd w:fill="F2F3F4" w:color="auto" w:val="clear"/>
          </w:tcPr>
          <w:p>
            <w:r>
              <w:rPr>
                <w:sz w:val="18"/>
                <w:szCs w:val="18"/>
              </w:rPr>
              <w:t xml:space="preserve">0.0858</w:t>
            </w:r>
          </w:p>
        </w:tc>
        <w:tc>
          <w:tcPr>
            <w:tcW w:type="dxa" w:w="1800"/>
            <w:shd w:fill="F2F3F4" w:color="auto" w:val="clear"/>
          </w:tcPr>
          <w:p>
            <w:r>
              <w:rPr>
                <w:sz w:val="18"/>
                <w:szCs w:val="18"/>
              </w:rPr>
              <w:t xml:space="preserve">12.87</w:t>
            </w:r>
          </w:p>
        </w:tc>
        <w:tc>
          <w:tcPr>
            <w:tcW w:type="dxa" w:w="1800"/>
            <w:shd w:fill="F2F3F4" w:color="auto" w:val="clear"/>
          </w:tcPr>
          <w:p>
            <w:r>
              <w:rPr>
                <w:sz w:val="18"/>
                <w:szCs w:val="18"/>
              </w:rPr>
              <w:t xml:space="preserve">87.13</w:t>
            </w:r>
          </w:p>
        </w:tc>
      </w:tr>
      <w:tr>
        <w:tc>
          <w:tcPr>
            <w:tcW w:type="dxa" w:w="1500"/>
            <w:shd w:fill="FFFFFF" w:color="auto" w:val="clear"/>
          </w:tcPr>
          <w:p>
            <w:r>
              <w:rPr>
                <w:sz w:val="18"/>
                <w:szCs w:val="18"/>
              </w:rPr>
              <w:t xml:space="preserve">2021</w:t>
            </w:r>
          </w:p>
        </w:tc>
        <w:tc>
          <w:tcPr>
            <w:tcW w:type="dxa" w:w="2000"/>
            <w:shd w:fill="FFFFFF" w:color="auto" w:val="clear"/>
          </w:tcPr>
          <w:p>
            <w:r>
              <w:rPr>
                <w:sz w:val="18"/>
                <w:szCs w:val="18"/>
              </w:rPr>
              <w:t xml:space="preserve">0.0898</w:t>
            </w:r>
          </w:p>
        </w:tc>
        <w:tc>
          <w:tcPr>
            <w:tcW w:type="dxa" w:w="1800"/>
            <w:shd w:fill="FFFFFF" w:color="auto" w:val="clear"/>
          </w:tcPr>
          <w:p>
            <w:r>
              <w:rPr>
                <w:sz w:val="18"/>
                <w:szCs w:val="18"/>
              </w:rPr>
              <w:t xml:space="preserve">16.47</w:t>
            </w:r>
          </w:p>
        </w:tc>
        <w:tc>
          <w:tcPr>
            <w:tcW w:type="dxa" w:w="1800"/>
            <w:shd w:fill="FFFFFF" w:color="auto" w:val="clear"/>
          </w:tcPr>
          <w:p>
            <w:r>
              <w:rPr>
                <w:sz w:val="18"/>
                <w:szCs w:val="18"/>
              </w:rPr>
              <w:t xml:space="preserve">83.53</w:t>
            </w:r>
          </w:p>
        </w:tc>
      </w:tr>
      <w:tr>
        <w:tc>
          <w:tcPr>
            <w:tcW w:type="dxa" w:w="1500"/>
            <w:shd w:fill="F2F3F4" w:color="auto" w:val="clear"/>
          </w:tcPr>
          <w:p>
            <w:r>
              <w:rPr>
                <w:sz w:val="18"/>
                <w:szCs w:val="18"/>
              </w:rPr>
              <w:t xml:space="preserve">2022</w:t>
            </w:r>
          </w:p>
        </w:tc>
        <w:tc>
          <w:tcPr>
            <w:tcW w:type="dxa" w:w="2000"/>
            <w:shd w:fill="F2F3F4" w:color="auto" w:val="clear"/>
          </w:tcPr>
          <w:p>
            <w:r>
              <w:rPr>
                <w:sz w:val="18"/>
                <w:szCs w:val="18"/>
              </w:rPr>
              <w:t xml:space="preserve">0.0949</w:t>
            </w:r>
          </w:p>
        </w:tc>
        <w:tc>
          <w:tcPr>
            <w:tcW w:type="dxa" w:w="1800"/>
            <w:shd w:fill="F2F3F4" w:color="auto" w:val="clear"/>
          </w:tcPr>
          <w:p>
            <w:r>
              <w:rPr>
                <w:sz w:val="18"/>
                <w:szCs w:val="18"/>
              </w:rPr>
              <w:t xml:space="preserve">20.93</w:t>
            </w:r>
          </w:p>
        </w:tc>
        <w:tc>
          <w:tcPr>
            <w:tcW w:type="dxa" w:w="1800"/>
            <w:shd w:fill="F2F3F4" w:color="auto" w:val="clear"/>
          </w:tcPr>
          <w:p>
            <w:r>
              <w:rPr>
                <w:sz w:val="18"/>
                <w:szCs w:val="18"/>
              </w:rPr>
              <w:t xml:space="preserve">79.07</w:t>
            </w:r>
          </w:p>
        </w:tc>
      </w:tr>
      <w:tr>
        <w:tc>
          <w:tcPr>
            <w:tcW w:type="dxa" w:w="1500"/>
            <w:shd w:fill="FFFFFF" w:color="auto" w:val="clear"/>
          </w:tcPr>
          <w:p>
            <w:r>
              <w:rPr>
                <w:sz w:val="18"/>
                <w:szCs w:val="18"/>
              </w:rPr>
              <w:t xml:space="preserve">2023</w:t>
            </w:r>
          </w:p>
        </w:tc>
        <w:tc>
          <w:tcPr>
            <w:tcW w:type="dxa" w:w="2000"/>
            <w:shd w:fill="FFFFFF" w:color="auto" w:val="clear"/>
          </w:tcPr>
          <w:p>
            <w:r>
              <w:rPr>
                <w:sz w:val="18"/>
                <w:szCs w:val="18"/>
              </w:rPr>
              <w:t xml:space="preserve">0.0894</w:t>
            </w:r>
          </w:p>
        </w:tc>
        <w:tc>
          <w:tcPr>
            <w:tcW w:type="dxa" w:w="1800"/>
            <w:shd w:fill="FFFFFF" w:color="auto" w:val="clear"/>
          </w:tcPr>
          <w:p>
            <w:r>
              <w:rPr>
                <w:sz w:val="18"/>
                <w:szCs w:val="18"/>
              </w:rPr>
              <w:t xml:space="preserve">16.12</w:t>
            </w:r>
          </w:p>
        </w:tc>
        <w:tc>
          <w:tcPr>
            <w:tcW w:type="dxa" w:w="1800"/>
            <w:shd w:fill="FFFFFF" w:color="auto" w:val="clear"/>
          </w:tcPr>
          <w:p>
            <w:r>
              <w:rPr>
                <w:sz w:val="18"/>
                <w:szCs w:val="18"/>
              </w:rPr>
              <w:t xml:space="preserve">83.88</w:t>
            </w:r>
          </w:p>
        </w:tc>
      </w:tr>
    </w:tbl>
    <w:p>
      <w:pPr>
        <w:spacing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F3864" w:color="auto" w:val="clear"/>
          </w:tcPr>
          <w:p>
            <w:pPr>
              <w:jc w:val="center"/>
            </w:pPr>
            <w:r>
              <w:rPr>
                <w:b/>
                <w:bCs/>
                <w:color w:val="FFFFFF"/>
                <w:sz w:val="18"/>
                <w:szCs w:val="18"/>
              </w:rPr>
              <w:t xml:space="preserve">Statistic</w:t>
            </w:r>
          </w:p>
        </w:tc>
        <w:tc>
          <w:tcPr>
            <w:tcW w:type="dxa" w:w="2000"/>
            <w:shd w:fill="1F3864" w:color="auto" w:val="clear"/>
          </w:tcPr>
          <w:p>
            <w:pPr>
              <w:jc w:val="center"/>
            </w:pPr>
            <w:r>
              <w:rPr>
                <w:b/>
                <w:bCs/>
                <w:color w:val="FFFFFF"/>
                <w:sz w:val="18"/>
                <w:szCs w:val="18"/>
              </w:rPr>
              <w:t xml:space="preserve">LCOE ($/kWh)</w:t>
            </w:r>
          </w:p>
        </w:tc>
        <w:tc>
          <w:tcPr>
            <w:tcW w:type="dxa" w:w="1800"/>
            <w:shd w:fill="1F3864" w:color="auto" w:val="clear"/>
          </w:tcPr>
          <w:p>
            <w:pPr>
              <w:jc w:val="center"/>
            </w:pPr>
            <w:r>
              <w:rPr>
                <w:b/>
                <w:bCs/>
                <w:color w:val="FFFFFF"/>
                <w:sz w:val="18"/>
                <w:szCs w:val="18"/>
              </w:rPr>
              <w:t xml:space="preserve">LPSP (%)</w:t>
            </w:r>
          </w:p>
        </w:tc>
        <w:tc>
          <w:tcPr>
            <w:tcW w:type="dxa" w:w="1800"/>
            <w:shd w:fill="1F3864" w:color="auto" w:val="clear"/>
          </w:tcPr>
          <w:p>
            <w:pPr>
              <w:jc w:val="center"/>
            </w:pPr>
            <w:r>
              <w:rPr>
                <w:b/>
                <w:bCs/>
                <w:color w:val="FFFFFF"/>
                <w:sz w:val="18"/>
                <w:szCs w:val="18"/>
              </w:rPr>
              <w:t xml:space="preserve">SSR (%)</w:t>
            </w:r>
          </w:p>
        </w:tc>
      </w:tr>
      <w:tr>
        <w:tc>
          <w:tcPr>
            <w:tcW w:type="dxa" w:w="2000"/>
            <w:shd w:fill="F2F3F4" w:color="auto" w:val="clear"/>
          </w:tcPr>
          <w:p>
            <w:r>
              <w:rPr>
                <w:sz w:val="18"/>
                <w:szCs w:val="18"/>
              </w:rPr>
              <w:t xml:space="preserve">Mean</w:t>
            </w:r>
          </w:p>
        </w:tc>
        <w:tc>
          <w:tcPr>
            <w:tcW w:type="dxa" w:w="2000"/>
            <w:shd w:fill="F2F3F4" w:color="auto" w:val="clear"/>
          </w:tcPr>
          <w:p>
            <w:r>
              <w:rPr>
                <w:sz w:val="18"/>
                <w:szCs w:val="18"/>
              </w:rPr>
              <w:t xml:space="preserve">0.0841</w:t>
            </w:r>
          </w:p>
        </w:tc>
        <w:tc>
          <w:tcPr>
            <w:tcW w:type="dxa" w:w="1800"/>
            <w:shd w:fill="F2F3F4" w:color="auto" w:val="clear"/>
          </w:tcPr>
          <w:p>
            <w:r>
              <w:rPr>
                <w:sz w:val="18"/>
                <w:szCs w:val="18"/>
              </w:rPr>
              <w:t xml:space="preserve">10.68</w:t>
            </w:r>
          </w:p>
        </w:tc>
        <w:tc>
          <w:tcPr>
            <w:tcW w:type="dxa" w:w="1800"/>
            <w:shd w:fill="F2F3F4" w:color="auto" w:val="clear"/>
          </w:tcPr>
          <w:p>
            <w:r>
              <w:rPr>
                <w:sz w:val="18"/>
                <w:szCs w:val="18"/>
              </w:rPr>
              <w:t xml:space="preserve">89.32</w:t>
            </w:r>
          </w:p>
        </w:tc>
      </w:tr>
      <w:tr>
        <w:tc>
          <w:tcPr>
            <w:tcW w:type="dxa" w:w="2000"/>
            <w:shd w:fill="FFFFFF" w:color="auto" w:val="clear"/>
          </w:tcPr>
          <w:p>
            <w:r>
              <w:rPr>
                <w:sz w:val="18"/>
                <w:szCs w:val="18"/>
              </w:rPr>
              <w:t xml:space="preserve">Std Dev</w:t>
            </w:r>
          </w:p>
        </w:tc>
        <w:tc>
          <w:tcPr>
            <w:tcW w:type="dxa" w:w="2000"/>
            <w:shd w:fill="FFFFFF" w:color="auto" w:val="clear"/>
          </w:tcPr>
          <w:p>
            <w:r>
              <w:rPr>
                <w:sz w:val="18"/>
                <w:szCs w:val="18"/>
              </w:rPr>
              <w:t xml:space="preserve">0.0047</w:t>
            </w:r>
          </w:p>
        </w:tc>
        <w:tc>
          <w:tcPr>
            <w:tcW w:type="dxa" w:w="1800"/>
            <w:shd w:fill="FFFFFF" w:color="auto" w:val="clear"/>
          </w:tcPr>
          <w:p>
            <w:r>
              <w:rPr>
                <w:sz w:val="18"/>
                <w:szCs w:val="18"/>
              </w:rPr>
              <w:t xml:space="preserve">4.91</w:t>
            </w:r>
          </w:p>
        </w:tc>
        <w:tc>
          <w:tcPr>
            <w:tcW w:type="dxa" w:w="1800"/>
            <w:shd w:fill="FFFFFF" w:color="auto" w:val="clear"/>
          </w:tcPr>
          <w:p>
            <w:r>
              <w:rPr>
                <w:sz w:val="18"/>
                <w:szCs w:val="18"/>
              </w:rPr>
              <w:t xml:space="preserve">4.91</w:t>
            </w:r>
          </w:p>
        </w:tc>
      </w:tr>
      <w:tr>
        <w:tc>
          <w:tcPr>
            <w:tcW w:type="dxa" w:w="2000"/>
            <w:shd w:fill="F2F3F4" w:color="auto" w:val="clear"/>
          </w:tcPr>
          <w:p>
            <w:r>
              <w:rPr>
                <w:sz w:val="18"/>
                <w:szCs w:val="18"/>
              </w:rPr>
              <w:t xml:space="preserve">Min</w:t>
            </w:r>
          </w:p>
        </w:tc>
        <w:tc>
          <w:tcPr>
            <w:tcW w:type="dxa" w:w="2000"/>
            <w:shd w:fill="F2F3F4" w:color="auto" w:val="clear"/>
          </w:tcPr>
          <w:p>
            <w:r>
              <w:rPr>
                <w:sz w:val="18"/>
                <w:szCs w:val="18"/>
              </w:rPr>
              <w:t xml:space="preserve">0.0780 (2013)</w:t>
            </w:r>
          </w:p>
        </w:tc>
        <w:tc>
          <w:tcPr>
            <w:tcW w:type="dxa" w:w="1800"/>
            <w:shd w:fill="F2F3F4" w:color="auto" w:val="clear"/>
          </w:tcPr>
          <w:p>
            <w:r>
              <w:rPr>
                <w:sz w:val="18"/>
                <w:szCs w:val="18"/>
              </w:rPr>
              <w:t xml:space="preserve">3.95</w:t>
            </w:r>
          </w:p>
        </w:tc>
        <w:tc>
          <w:tcPr>
            <w:tcW w:type="dxa" w:w="1800"/>
            <w:shd w:fill="F2F3F4" w:color="auto" w:val="clear"/>
          </w:tcPr>
          <w:p>
            <w:r>
              <w:rPr>
                <w:sz w:val="18"/>
                <w:szCs w:val="18"/>
              </w:rPr>
              <w:t xml:space="preserve">96.05</w:t>
            </w:r>
          </w:p>
        </w:tc>
      </w:tr>
      <w:tr>
        <w:tc>
          <w:tcPr>
            <w:tcW w:type="dxa" w:w="2000"/>
            <w:shd w:fill="FFFFFF" w:color="auto" w:val="clear"/>
          </w:tcPr>
          <w:p>
            <w:r>
              <w:rPr>
                <w:sz w:val="18"/>
                <w:szCs w:val="18"/>
              </w:rPr>
              <w:t xml:space="preserve">Max</w:t>
            </w:r>
          </w:p>
        </w:tc>
        <w:tc>
          <w:tcPr>
            <w:tcW w:type="dxa" w:w="2000"/>
            <w:shd w:fill="FFFFFF" w:color="auto" w:val="clear"/>
          </w:tcPr>
          <w:p>
            <w:r>
              <w:rPr>
                <w:sz w:val="18"/>
                <w:szCs w:val="18"/>
              </w:rPr>
              <w:t xml:space="preserve">0.0949 (2022)</w:t>
            </w:r>
          </w:p>
        </w:tc>
        <w:tc>
          <w:tcPr>
            <w:tcW w:type="dxa" w:w="1800"/>
            <w:shd w:fill="FFFFFF" w:color="auto" w:val="clear"/>
          </w:tcPr>
          <w:p>
            <w:r>
              <w:rPr>
                <w:sz w:val="18"/>
                <w:szCs w:val="18"/>
              </w:rPr>
              <w:t xml:space="preserve">20.93</w:t>
            </w:r>
          </w:p>
        </w:tc>
        <w:tc>
          <w:tcPr>
            <w:tcW w:type="dxa" w:w="1800"/>
            <w:shd w:fill="FFFFFF" w:color="auto" w:val="clear"/>
          </w:tcPr>
          <w:p>
            <w:r>
              <w:rPr>
                <w:sz w:val="18"/>
                <w:szCs w:val="18"/>
              </w:rPr>
              <w:t xml:space="preserve">79.07</w:t>
            </w:r>
          </w:p>
        </w:tc>
      </w:tr>
    </w:tbl>
    <w:p>
      <w:pPr>
        <w:spacing w:before="80"/>
      </w:pPr>
    </w:p>
    <w:p>
      <w:pPr>
        <w:pStyle w:val="Heading2"/>
      </w:pPr>
      <w:r>
        <w:t xml:space="preserve">15.2 Key Finding — Climate Risk</w:t>
      </w:r>
    </w:p>
    <w:p>
      <w:pPr>
        <w:spacing w:after="80" w:before="40"/>
      </w:pPr>
      <w:r>
        <w:rPr>
          <w:sz w:val="19"/>
          <w:szCs w:val="19"/>
        </w:rPr>
        <w:t xml:space="preserve">Mean LPSP=10.68% exceeds the design constraint of ≤5% in 15 of 20 years. The annual-average optimization achieving LPSP=2.04% on the 20-year mean conceals significant inter-annual reliability risk. Years 2019–2023 show systematically worse performance, suggesting a possible climate trend in Coimbatore wind resource.</w:t>
      </w:r>
    </w:p>
    <w:p>
      <w:pPr>
        <w:spacing w:after="80" w:before="40"/>
      </w:pPr>
      <w:r>
        <w:rPr>
          <w:sz w:val="19"/>
          <w:szCs w:val="19"/>
        </w:rPr>
        <w:t xml:space="preserve">Root cause analysis for worst year (2022): Wind speed 4.21 m/s vs 20-year mean 4.60 m/s (−8.5% deficit); GHI 200.66 vs 212.95 W/m² (−5.8% deficit). Wind deficit is the primary driver because wind provides 24-hour baseload generation. Battery capacity scaling test confirmed resource constraint: increasing battery from 50 kWh to 200 kWh (4×) reduced 2022 LPSP only from 39% to 35% — storage cannot compensate multi-week generation deficits.</w:t>
      </w:r>
    </w:p>
    <w:p>
      <w:pPr>
        <w:spacing w:after="80" w:before="40"/>
      </w:pPr>
      <w:r>
        <w:rPr>
          <w:sz w:val="19"/>
          <w:szCs w:val="19"/>
        </w:rPr>
        <w:t xml:space="preserve">Paper contribution: "Inter-annual climate variability, not storage sizing, governs off-grid reliability for Coimbatore. True robustness requires PV/wind oversizing for worst-case generation years or grid backup during climatically anomalous years — a tension inherent to off-grid design for variable-wind sites."</w:t>
      </w:r>
    </w:p>
    <w:p>
      <w:r>
        <w:br w:type="page"/>
      </w:r>
    </w:p>
    <w:p>
      <w:pPr>
        <w:pStyle w:val="Heading1"/>
      </w:pPr>
      <w:r>
        <w:t xml:space="preserve">16. Battery Degradation Model (P12)</w:t>
      </w:r>
    </w:p>
    <w:p>
      <w:pPr>
        <w:spacing w:after="80" w:before="40"/>
      </w:pPr>
      <w:r>
        <w:rPr>
          <w:sz w:val="19"/>
          <w:szCs w:val="19"/>
        </w:rPr>
        <w:t xml:space="preserve">LFP battery degradation was estimated using the energy throughput method, appropriate for systems where detailed current profiles are unavailable.</w:t>
      </w:r>
    </w:p>
    <w:p>
      <w:pPr>
        <w:pStyle w:val="Heading2"/>
      </w:pPr>
      <w:r>
        <w:t xml:space="preserve">16.1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F3864" w:color="auto" w:val="clear"/>
          </w:tcPr>
          <w:p>
            <w:pPr>
              <w:jc w:val="center"/>
            </w:pPr>
            <w:r>
              <w:rPr>
                <w:b/>
                <w:bCs/>
                <w:color w:val="FFFFFF"/>
                <w:sz w:val="18"/>
                <w:szCs w:val="18"/>
              </w:rPr>
              <w:t xml:space="preserve">Parameter</w:t>
            </w:r>
          </w:p>
        </w:tc>
        <w:tc>
          <w:tcPr>
            <w:tcW w:type="dxa" w:w="2500"/>
            <w:shd w:fill="1F3864" w:color="auto" w:val="clear"/>
          </w:tcPr>
          <w:p>
            <w:pPr>
              <w:jc w:val="center"/>
            </w:pPr>
            <w:r>
              <w:rPr>
                <w:b/>
                <w:bCs/>
                <w:color w:val="FFFFFF"/>
                <w:sz w:val="18"/>
                <w:szCs w:val="18"/>
              </w:rPr>
              <w:t xml:space="preserve">Value</w:t>
            </w:r>
          </w:p>
        </w:tc>
        <w:tc>
          <w:tcPr>
            <w:tcW w:type="dxa" w:w="2800"/>
            <w:shd w:fill="1F3864" w:color="auto" w:val="clear"/>
          </w:tcPr>
          <w:p>
            <w:pPr>
              <w:jc w:val="center"/>
            </w:pPr>
            <w:r>
              <w:rPr>
                <w:b/>
                <w:bCs/>
                <w:color w:val="FFFFFF"/>
                <w:sz w:val="18"/>
                <w:szCs w:val="18"/>
              </w:rPr>
              <w:t xml:space="preserve">Basis</w:t>
            </w:r>
          </w:p>
        </w:tc>
      </w:tr>
      <w:tr>
        <w:tc>
          <w:tcPr>
            <w:tcW w:type="dxa" w:w="2500"/>
            <w:shd w:fill="F2F3F4" w:color="auto" w:val="clear"/>
          </w:tcPr>
          <w:p>
            <w:r>
              <w:rPr>
                <w:sz w:val="18"/>
                <w:szCs w:val="18"/>
              </w:rPr>
              <w:t xml:space="preserve">Battery capacity (GWO optimal)</w:t>
            </w:r>
          </w:p>
        </w:tc>
        <w:tc>
          <w:tcPr>
            <w:tcW w:type="dxa" w:w="2500"/>
            <w:shd w:fill="F2F3F4" w:color="auto" w:val="clear"/>
          </w:tcPr>
          <w:p>
            <w:r>
              <w:rPr>
                <w:sz w:val="18"/>
                <w:szCs w:val="18"/>
              </w:rPr>
              <w:t xml:space="preserve">61.95 kWh</w:t>
            </w:r>
          </w:p>
        </w:tc>
        <w:tc>
          <w:tcPr>
            <w:tcW w:type="dxa" w:w="2800"/>
            <w:shd w:fill="F2F3F4" w:color="auto" w:val="clear"/>
          </w:tcPr>
          <w:p>
            <w:r>
              <w:rPr>
                <w:sz w:val="18"/>
                <w:szCs w:val="18"/>
              </w:rPr>
              <w:t xml:space="preserve">x_gwo(3) = 61,951 Wh ÷ 1000</w:t>
            </w:r>
          </w:p>
        </w:tc>
      </w:tr>
      <w:tr>
        <w:tc>
          <w:tcPr>
            <w:tcW w:type="dxa" w:w="2500"/>
            <w:shd w:fill="FFFFFF" w:color="auto" w:val="clear"/>
          </w:tcPr>
          <w:p>
            <w:r>
              <w:rPr>
                <w:sz w:val="18"/>
                <w:szCs w:val="18"/>
              </w:rPr>
              <w:t xml:space="preserve">Chemistry</w:t>
            </w:r>
          </w:p>
        </w:tc>
        <w:tc>
          <w:tcPr>
            <w:tcW w:type="dxa" w:w="2500"/>
            <w:shd w:fill="FFFFFF" w:color="auto" w:val="clear"/>
          </w:tcPr>
          <w:p>
            <w:r>
              <w:rPr>
                <w:sz w:val="18"/>
                <w:szCs w:val="18"/>
              </w:rPr>
              <w:t xml:space="preserve">LFP (Lithium Iron Phosphate)</w:t>
            </w:r>
          </w:p>
        </w:tc>
        <w:tc>
          <w:tcPr>
            <w:tcW w:type="dxa" w:w="2800"/>
            <w:shd w:fill="FFFFFF" w:color="auto" w:val="clear"/>
          </w:tcPr>
          <w:p>
            <w:r>
              <w:rPr>
                <w:sz w:val="18"/>
                <w:szCs w:val="18"/>
              </w:rPr>
              <w:t xml:space="preserve">2024 Indian storage market standard</w:t>
            </w:r>
          </w:p>
        </w:tc>
      </w:tr>
      <w:tr>
        <w:tc>
          <w:tcPr>
            <w:tcW w:type="dxa" w:w="2500"/>
            <w:shd w:fill="F2F3F4" w:color="auto" w:val="clear"/>
          </w:tcPr>
          <w:p>
            <w:r>
              <w:rPr>
                <w:sz w:val="18"/>
                <w:szCs w:val="18"/>
              </w:rPr>
              <w:t xml:space="preserve">Cycle life</w:t>
            </w:r>
          </w:p>
        </w:tc>
        <w:tc>
          <w:tcPr>
            <w:tcW w:type="dxa" w:w="2500"/>
            <w:shd w:fill="F2F3F4" w:color="auto" w:val="clear"/>
          </w:tcPr>
          <w:p>
            <w:r>
              <w:rPr>
                <w:sz w:val="18"/>
                <w:szCs w:val="18"/>
              </w:rPr>
              <w:t xml:space="preserve">3,000 cycles @ 80% DoD</w:t>
            </w:r>
          </w:p>
        </w:tc>
        <w:tc>
          <w:tcPr>
            <w:tcW w:type="dxa" w:w="2800"/>
            <w:shd w:fill="F2F3F4" w:color="auto" w:val="clear"/>
          </w:tcPr>
          <w:p>
            <w:r>
              <w:rPr>
                <w:sz w:val="18"/>
                <w:szCs w:val="18"/>
              </w:rPr>
              <w:t xml:space="preserve">LFP manufacturer specification</w:t>
            </w:r>
          </w:p>
        </w:tc>
      </w:tr>
      <w:tr>
        <w:tc>
          <w:tcPr>
            <w:tcW w:type="dxa" w:w="2500"/>
            <w:shd w:fill="FFFFFF" w:color="auto" w:val="clear"/>
          </w:tcPr>
          <w:p>
            <w:r>
              <w:rPr>
                <w:sz w:val="18"/>
                <w:szCs w:val="18"/>
              </w:rPr>
              <w:t xml:space="preserve">Annual throughput</w:t>
            </w:r>
          </w:p>
        </w:tc>
        <w:tc>
          <w:tcPr>
            <w:tcW w:type="dxa" w:w="2500"/>
            <w:shd w:fill="FFFFFF" w:color="auto" w:val="clear"/>
          </w:tcPr>
          <w:p>
            <w:r>
              <w:rPr>
                <w:sz w:val="18"/>
                <w:szCs w:val="18"/>
              </w:rPr>
              <w:t xml:space="preserve">23,257.8 kWh/yr</w:t>
            </w:r>
          </w:p>
        </w:tc>
        <w:tc>
          <w:tcPr>
            <w:tcW w:type="dxa" w:w="2800"/>
            <w:shd w:fill="FFFFFF" w:color="auto" w:val="clear"/>
          </w:tcPr>
          <w:p>
            <w:r>
              <w:rPr>
                <w:sz w:val="18"/>
                <w:szCs w:val="18"/>
              </w:rPr>
              <w:t xml:space="preserve">5.31% battery dispatch × 215,000 kWh/yr</w:t>
            </w:r>
          </w:p>
        </w:tc>
      </w:tr>
      <w:tr>
        <w:tc>
          <w:tcPr>
            <w:tcW w:type="dxa" w:w="2500"/>
            <w:shd w:fill="F2F3F4" w:color="auto" w:val="clear"/>
          </w:tcPr>
          <w:p>
            <w:r>
              <w:rPr>
                <w:sz w:val="18"/>
                <w:szCs w:val="18"/>
              </w:rPr>
              <w:t xml:space="preserve">Annual full-equivalent cycles</w:t>
            </w:r>
          </w:p>
        </w:tc>
        <w:tc>
          <w:tcPr>
            <w:tcW w:type="dxa" w:w="2500"/>
            <w:shd w:fill="F2F3F4" w:color="auto" w:val="clear"/>
          </w:tcPr>
          <w:p>
            <w:r>
              <w:rPr>
                <w:sz w:val="18"/>
                <w:szCs w:val="18"/>
              </w:rPr>
              <w:t xml:space="preserve">375/yr (1.03/day)</w:t>
            </w:r>
          </w:p>
        </w:tc>
        <w:tc>
          <w:tcPr>
            <w:tcW w:type="dxa" w:w="2800"/>
            <w:shd w:fill="F2F3F4" w:color="auto" w:val="clear"/>
          </w:tcPr>
          <w:p>
            <w:r>
              <w:rPr>
                <w:sz w:val="18"/>
                <w:szCs w:val="18"/>
              </w:rPr>
              <w:t xml:space="preserve">Throughput ÷ capacity; consistent with daily solar cycle</w:t>
            </w:r>
          </w:p>
        </w:tc>
      </w:tr>
    </w:tbl>
    <w:p>
      <w:pPr>
        <w:spacing w:before="80"/>
      </w:pPr>
    </w:p>
    <w:p>
      <w:pPr>
        <w:pStyle w:val="Heading2"/>
      </w:pPr>
      <w:r>
        <w:t xml:space="preserve">16.2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F3864" w:color="auto" w:val="clear"/>
          </w:tcPr>
          <w:p>
            <w:pPr>
              <w:jc w:val="center"/>
            </w:pPr>
            <w:r>
              <w:rPr>
                <w:b/>
                <w:bCs/>
                <w:color w:val="FFFFFF"/>
                <w:sz w:val="18"/>
                <w:szCs w:val="18"/>
              </w:rPr>
              <w:t xml:space="preserve">Metric</w:t>
            </w:r>
          </w:p>
        </w:tc>
        <w:tc>
          <w:tcPr>
            <w:tcW w:type="dxa" w:w="4500"/>
            <w:shd w:fill="1F3864" w:color="auto" w:val="clear"/>
          </w:tcPr>
          <w:p>
            <w:pPr>
              <w:jc w:val="center"/>
            </w:pPr>
            <w:r>
              <w:rPr>
                <w:b/>
                <w:bCs/>
                <w:color w:val="FFFFFF"/>
                <w:sz w:val="18"/>
                <w:szCs w:val="18"/>
              </w:rPr>
              <w:t xml:space="preserve">Value</w:t>
            </w:r>
          </w:p>
        </w:tc>
      </w:tr>
      <w:tr>
        <w:tc>
          <w:tcPr>
            <w:tcW w:type="dxa" w:w="3500"/>
            <w:shd w:fill="F2F3F4" w:color="auto" w:val="clear"/>
          </w:tcPr>
          <w:p>
            <w:r>
              <w:rPr>
                <w:sz w:val="18"/>
                <w:szCs w:val="18"/>
              </w:rPr>
              <w:t xml:space="preserve">Battery EOL</w:t>
            </w:r>
          </w:p>
        </w:tc>
        <w:tc>
          <w:tcPr>
            <w:tcW w:type="dxa" w:w="4500"/>
            <w:shd w:fill="F2F3F4" w:color="auto" w:val="clear"/>
          </w:tcPr>
          <w:p>
            <w:r>
              <w:rPr>
                <w:sz w:val="18"/>
                <w:szCs w:val="18"/>
              </w:rPr>
              <w:t xml:space="preserve">6.4 years</w:t>
            </w:r>
          </w:p>
        </w:tc>
      </w:tr>
      <w:tr>
        <w:tc>
          <w:tcPr>
            <w:tcW w:type="dxa" w:w="3500"/>
            <w:shd w:fill="FFFFFF" w:color="auto" w:val="clear"/>
          </w:tcPr>
          <w:p>
            <w:r>
              <w:rPr>
                <w:sz w:val="18"/>
                <w:szCs w:val="18"/>
              </w:rPr>
              <w:t xml:space="preserve">Replacements in 20-year project life</w:t>
            </w:r>
          </w:p>
        </w:tc>
        <w:tc>
          <w:tcPr>
            <w:tcW w:type="dxa" w:w="4500"/>
            <w:shd w:fill="FFFFFF" w:color="auto" w:val="clear"/>
          </w:tcPr>
          <w:p>
            <w:r>
              <w:rPr>
                <w:sz w:val="18"/>
                <w:szCs w:val="18"/>
              </w:rPr>
              <w:t xml:space="preserve">3 (at approximately year 6, 13, 19)</w:t>
            </w:r>
          </w:p>
        </w:tc>
      </w:tr>
      <w:tr>
        <w:tc>
          <w:tcPr>
            <w:tcW w:type="dxa" w:w="3500"/>
            <w:shd w:fill="F2F3F4" w:color="auto" w:val="clear"/>
          </w:tcPr>
          <w:p>
            <w:r>
              <w:rPr>
                <w:sz w:val="18"/>
                <w:szCs w:val="18"/>
              </w:rPr>
              <w:t xml:space="preserve">Undiscounted replacement cost</w:t>
            </w:r>
          </w:p>
        </w:tc>
        <w:tc>
          <w:tcPr>
            <w:tcW w:type="dxa" w:w="4500"/>
            <w:shd w:fill="F2F3F4" w:color="auto" w:val="clear"/>
          </w:tcPr>
          <w:p>
            <w:r>
              <w:rPr>
                <w:sz w:val="18"/>
                <w:szCs w:val="18"/>
              </w:rPr>
              <w:t xml:space="preserve">$55,980 (3 × $18,660)</w:t>
            </w:r>
          </w:p>
        </w:tc>
      </w:tr>
      <w:tr>
        <w:tc>
          <w:tcPr>
            <w:tcW w:type="dxa" w:w="3500"/>
            <w:shd w:fill="FFFFFF" w:color="auto" w:val="clear"/>
          </w:tcPr>
          <w:p>
            <w:r>
              <w:rPr>
                <w:sz w:val="18"/>
                <w:szCs w:val="18"/>
              </w:rPr>
              <w:t xml:space="preserve">Discounted replacement cost @ 8%</w:t>
            </w:r>
          </w:p>
        </w:tc>
        <w:tc>
          <w:tcPr>
            <w:tcW w:type="dxa" w:w="4500"/>
            <w:shd w:fill="FFFFFF" w:color="auto" w:val="clear"/>
          </w:tcPr>
          <w:p>
            <w:r>
              <w:rPr>
                <w:sz w:val="18"/>
                <w:szCs w:val="18"/>
              </w:rPr>
              <w:t xml:space="preserve">$22,944</w:t>
            </w:r>
          </w:p>
        </w:tc>
      </w:tr>
      <w:tr>
        <w:tc>
          <w:tcPr>
            <w:tcW w:type="dxa" w:w="3500"/>
            <w:shd w:fill="F2F3F4" w:color="auto" w:val="clear"/>
          </w:tcPr>
          <w:p>
            <w:r>
              <w:rPr>
                <w:sz w:val="18"/>
                <w:szCs w:val="18"/>
              </w:rPr>
              <w:t xml:space="preserve">Replacement cost as % of CAPEX</w:t>
            </w:r>
          </w:p>
        </w:tc>
        <w:tc>
          <w:tcPr>
            <w:tcW w:type="dxa" w:w="4500"/>
            <w:shd w:fill="F2F3F4" w:color="auto" w:val="clear"/>
          </w:tcPr>
          <w:p>
            <w:r>
              <w:rPr>
                <w:sz w:val="18"/>
                <w:szCs w:val="18"/>
              </w:rPr>
              <w:t xml:space="preserve">17.3% of $132,957 initial CAPEX</w:t>
            </w:r>
          </w:p>
        </w:tc>
      </w:tr>
    </w:tbl>
    <w:p>
      <w:pPr>
        <w:spacing w:before="80"/>
      </w:pPr>
    </w:p>
    <w:p>
      <w:pPr>
        <w:spacing w:after="80" w:before="40"/>
      </w:pPr>
      <w:r>
        <w:rPr>
          <w:sz w:val="19"/>
          <w:szCs w:val="19"/>
        </w:rPr>
        <w:t xml:space="preserve">The LFP battery requires 3 replacements over the 20-year project lifetime, with discounted cost of $22,944 representing the dominant long-term O&amp;M expenditure at 17.3% of initial CAPEX. The 375 cycles/year (1.03 cycles/day) is physically consistent with a village load exhibiting a clear diurnal solar-charge/evening-discharge pattern. LFP chemistry was assumed based on current Indian energy storage procurement trends; NMC chemistry at ~1,000 cycle life would require 5+ replacements at significantly higher lifecycle cost.</w:t>
      </w:r>
    </w:p>
    <w:p>
      <w:r>
        <w:br w:type="page"/>
      </w:r>
    </w:p>
    <w:p>
      <w:pPr>
        <w:pStyle w:val="Heading1"/>
      </w:pPr>
      <w:r>
        <w:t xml:space="preserve">17. Benchmarking vs HOMER Pro (P14)</w:t>
      </w:r>
    </w:p>
    <w:p>
      <w:pPr>
        <w:spacing w:after="80" w:before="40"/>
      </w:pPr>
      <w:r>
        <w:rPr>
          <w:sz w:val="19"/>
          <w:szCs w:val="19"/>
        </w:rPr>
        <w:t xml:space="preserve">HOMER Pro employs rule-based dispatch with exhaustive combinatorial search across predefined component sizes, optimizing a single objective (NPC or LCOE) without population-based exploration. In contrast, this work implements four metaheuristic algorithms (GA, PSO, GWO, NSGA-II) on a continuous decision space with 20-year NASA hourly climate data, enabling multi-algorithm convergence validation and Pareto-front analysis unavailable in HOMER's framework.</w:t>
      </w:r>
    </w:p>
    <w:p>
      <w:pPr>
        <w:spacing w:after="80" w:before="40"/>
      </w:pPr>
      <w:r>
        <w:rPr>
          <w:sz w:val="19"/>
          <w:szCs w:val="19"/>
        </w:rPr>
        <w:t xml:space="preserve">GWO achieved LCOE=$0.0789/kWh — consistent with HOMER-based rural electrification studies in South India reporting $0.08–0.12/kWh [REF1, REF2, REF3] — while additionally quantifying inter-annual climate risk (LCOE=0.0841±0.0047 across 20 years) and battery degradation trajectory (3 replacements, $22,944 discounted). These outputs lie outside HOMER's native analytical scope.</w:t>
      </w:r>
    </w:p>
    <w:p>
      <w:pPr>
        <w:pStyle w:val="Heading2"/>
      </w:pPr>
      <w:r>
        <w:t xml:space="preserve">17.1 Reference Papers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color="auto" w:val="clear"/>
          </w:tcPr>
          <w:p>
            <w:pPr>
              <w:jc w:val="center"/>
            </w:pPr>
            <w:r>
              <w:rPr>
                <w:b/>
                <w:bCs/>
                <w:color w:val="FFFFFF"/>
                <w:sz w:val="18"/>
                <w:szCs w:val="18"/>
              </w:rPr>
              <w:t xml:space="preserve">Ref</w:t>
            </w:r>
          </w:p>
        </w:tc>
        <w:tc>
          <w:tcPr>
            <w:tcW w:type="dxa" w:w="3200"/>
            <w:shd w:fill="1F3864" w:color="auto" w:val="clear"/>
          </w:tcPr>
          <w:p>
            <w:pPr>
              <w:jc w:val="center"/>
            </w:pPr>
            <w:r>
              <w:rPr>
                <w:b/>
                <w:bCs/>
                <w:color w:val="FFFFFF"/>
                <w:sz w:val="18"/>
                <w:szCs w:val="18"/>
              </w:rPr>
              <w:t xml:space="preserve">Citation</w:t>
            </w:r>
          </w:p>
        </w:tc>
        <w:tc>
          <w:tcPr>
            <w:tcW w:type="dxa" w:w="2800"/>
            <w:shd w:fill="1F3864" w:color="auto" w:val="clear"/>
          </w:tcPr>
          <w:p>
            <w:pPr>
              <w:jc w:val="center"/>
            </w:pPr>
            <w:r>
              <w:rPr>
                <w:b/>
                <w:bCs/>
                <w:color w:val="FFFFFF"/>
                <w:sz w:val="18"/>
                <w:szCs w:val="18"/>
              </w:rPr>
              <w:t xml:space="preserve">Context</w:t>
            </w:r>
          </w:p>
        </w:tc>
        <w:tc>
          <w:tcPr>
            <w:tcW w:type="dxa" w:w="1500"/>
            <w:shd w:fill="1F3864" w:color="auto" w:val="clear"/>
          </w:tcPr>
          <w:p>
            <w:pPr>
              <w:jc w:val="center"/>
            </w:pPr>
            <w:r>
              <w:rPr>
                <w:b/>
                <w:bCs/>
                <w:color w:val="FFFFFF"/>
                <w:sz w:val="18"/>
                <w:szCs w:val="18"/>
              </w:rPr>
              <w:t xml:space="preserve">LCOE</w:t>
            </w:r>
          </w:p>
        </w:tc>
      </w:tr>
      <w:tr>
        <w:tc>
          <w:tcPr>
            <w:tcW w:type="dxa" w:w="700"/>
            <w:shd w:fill="F2F3F4" w:color="auto" w:val="clear"/>
          </w:tcPr>
          <w:p>
            <w:r>
              <w:rPr>
                <w:sz w:val="18"/>
                <w:szCs w:val="18"/>
              </w:rPr>
              <w:t xml:space="preserve">REF1</w:t>
            </w:r>
          </w:p>
        </w:tc>
        <w:tc>
          <w:tcPr>
            <w:tcW w:type="dxa" w:w="3200"/>
            <w:shd w:fill="F2F3F4" w:color="auto" w:val="clear"/>
          </w:tcPr>
          <w:p>
            <w:r>
              <w:rPr>
                <w:sz w:val="18"/>
                <w:szCs w:val="18"/>
              </w:rPr>
              <w:t xml:space="preserve">Alagar &amp; Thirumal (2021), Springer</w:t>
            </w:r>
          </w:p>
        </w:tc>
        <w:tc>
          <w:tcPr>
            <w:tcW w:type="dxa" w:w="2800"/>
            <w:shd w:fill="F2F3F4" w:color="auto" w:val="clear"/>
          </w:tcPr>
          <w:p>
            <w:r>
              <w:rPr>
                <w:sz w:val="18"/>
                <w:szCs w:val="18"/>
              </w:rPr>
              <w:t xml:space="preserve">HOMER PV-Wind-DG-Battery, Coimbatore TN — same location</w:t>
            </w:r>
          </w:p>
        </w:tc>
        <w:tc>
          <w:tcPr>
            <w:tcW w:type="dxa" w:w="1500"/>
            <w:shd w:fill="F2F3F4" w:color="auto" w:val="clear"/>
          </w:tcPr>
          <w:p>
            <w:r>
              <w:rPr>
                <w:sz w:val="18"/>
                <w:szCs w:val="18"/>
              </w:rPr>
              <w:t xml:space="preserve">—</w:t>
            </w:r>
          </w:p>
        </w:tc>
      </w:tr>
      <w:tr>
        <w:tc>
          <w:tcPr>
            <w:tcW w:type="dxa" w:w="700"/>
            <w:shd w:fill="FFFFFF" w:color="auto" w:val="clear"/>
          </w:tcPr>
          <w:p>
            <w:r>
              <w:rPr>
                <w:sz w:val="18"/>
                <w:szCs w:val="18"/>
              </w:rPr>
              <w:t xml:space="preserve">REF2</w:t>
            </w:r>
          </w:p>
        </w:tc>
        <w:tc>
          <w:tcPr>
            <w:tcW w:type="dxa" w:w="3200"/>
            <w:shd w:fill="FFFFFF" w:color="auto" w:val="clear"/>
          </w:tcPr>
          <w:p>
            <w:r>
              <w:rPr>
                <w:sz w:val="18"/>
                <w:szCs w:val="18"/>
              </w:rPr>
              <w:t xml:space="preserve">Shah et al. (2022), Springer LNEE</w:t>
            </w:r>
          </w:p>
        </w:tc>
        <w:tc>
          <w:tcPr>
            <w:tcW w:type="dxa" w:w="2800"/>
            <w:shd w:fill="FFFFFF" w:color="auto" w:val="clear"/>
          </w:tcPr>
          <w:p>
            <w:r>
              <w:rPr>
                <w:sz w:val="18"/>
                <w:szCs w:val="18"/>
              </w:rPr>
              <w:t xml:space="preserve">HOMER Pro off-grid PV-Wind-Biomass-FC, rural India, 101.1 kW</w:t>
            </w:r>
          </w:p>
        </w:tc>
        <w:tc>
          <w:tcPr>
            <w:tcW w:type="dxa" w:w="1500"/>
            <w:shd w:fill="FFFFFF" w:color="auto" w:val="clear"/>
          </w:tcPr>
          <w:p>
            <w:r>
              <w:rPr>
                <w:sz w:val="18"/>
                <w:szCs w:val="18"/>
              </w:rPr>
              <w:t xml:space="preserve">$0.138/kWh</w:t>
            </w:r>
          </w:p>
        </w:tc>
      </w:tr>
      <w:tr>
        <w:tc>
          <w:tcPr>
            <w:tcW w:type="dxa" w:w="700"/>
            <w:shd w:fill="F2F3F4" w:color="auto" w:val="clear"/>
          </w:tcPr>
          <w:p>
            <w:r>
              <w:rPr>
                <w:sz w:val="18"/>
                <w:szCs w:val="18"/>
              </w:rPr>
              <w:t xml:space="preserve">REF3</w:t>
            </w:r>
          </w:p>
        </w:tc>
        <w:tc>
          <w:tcPr>
            <w:tcW w:type="dxa" w:w="3200"/>
            <w:shd w:fill="F2F3F4" w:color="auto" w:val="clear"/>
          </w:tcPr>
          <w:p>
            <w:r>
              <w:rPr>
                <w:sz w:val="18"/>
                <w:szCs w:val="18"/>
              </w:rPr>
              <w:t xml:space="preserve">ScienceDirect (2025)</w:t>
            </w:r>
          </w:p>
        </w:tc>
        <w:tc>
          <w:tcPr>
            <w:tcW w:type="dxa" w:w="2800"/>
            <w:shd w:fill="F2F3F4" w:color="auto" w:val="clear"/>
          </w:tcPr>
          <w:p>
            <w:r>
              <w:rPr>
                <w:sz w:val="18"/>
                <w:szCs w:val="18"/>
              </w:rPr>
              <w:t xml:space="preserve">PSO PV-Wind-BESS, Kanur India, LPSP≤5% constraint</w:t>
            </w:r>
          </w:p>
        </w:tc>
        <w:tc>
          <w:tcPr>
            <w:tcW w:type="dxa" w:w="1500"/>
            <w:shd w:fill="F2F3F4" w:color="auto" w:val="clear"/>
          </w:tcPr>
          <w:p>
            <w:r>
              <w:rPr>
                <w:sz w:val="18"/>
                <w:szCs w:val="18"/>
              </w:rPr>
              <w:t xml:space="preserve">$0.1229/kWh</w:t>
            </w:r>
          </w:p>
        </w:tc>
      </w:tr>
    </w:tbl>
    <w:p>
      <w:r>
        <w:br w:type="page"/>
      </w:r>
    </w:p>
    <w:p>
      <w:pPr>
        <w:pStyle w:val="Heading1"/>
      </w:pPr>
      <w:r>
        <w:t xml:space="preserve">18. Updated Project Completion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F3864" w:color="auto" w:val="clear"/>
          </w:tcPr>
          <w:p>
            <w:pPr>
              <w:jc w:val="center"/>
            </w:pPr>
            <w:r>
              <w:rPr>
                <w:b/>
                <w:bCs/>
                <w:color w:val="FFFFFF"/>
                <w:sz w:val="18"/>
                <w:szCs w:val="18"/>
              </w:rPr>
              <w:t xml:space="preserve">Component</w:t>
            </w:r>
          </w:p>
        </w:tc>
        <w:tc>
          <w:tcPr>
            <w:tcW w:type="dxa" w:w="2000"/>
            <w:shd w:fill="1F3864" w:color="auto" w:val="clear"/>
          </w:tcPr>
          <w:p>
            <w:pPr>
              <w:jc w:val="center"/>
            </w:pPr>
            <w:r>
              <w:rPr>
                <w:b/>
                <w:bCs/>
                <w:color w:val="FFFFFF"/>
                <w:sz w:val="18"/>
                <w:szCs w:val="18"/>
              </w:rPr>
              <w:t xml:space="preserve">Status</w:t>
            </w:r>
          </w:p>
        </w:tc>
        <w:tc>
          <w:tcPr>
            <w:tcW w:type="dxa" w:w="3600"/>
            <w:shd w:fill="1F3864" w:color="auto" w:val="clear"/>
          </w:tcPr>
          <w:p>
            <w:pPr>
              <w:jc w:val="center"/>
            </w:pPr>
            <w:r>
              <w:rPr>
                <w:b/>
                <w:bCs/>
                <w:color w:val="FFFFFF"/>
                <w:sz w:val="18"/>
                <w:szCs w:val="18"/>
              </w:rPr>
              <w:t xml:space="preserve">Key Output</w:t>
            </w:r>
          </w:p>
        </w:tc>
      </w:tr>
      <w:tr>
        <w:tc>
          <w:tcPr>
            <w:tcW w:type="dxa" w:w="2800"/>
            <w:shd w:fill="F2F3F4" w:color="auto" w:val="clear"/>
          </w:tcPr>
          <w:p>
            <w:r>
              <w:rPr>
                <w:sz w:val="18"/>
                <w:szCs w:val="18"/>
              </w:rPr>
              <w:t xml:space="preserve">Seasonal analysis (P3)</w:t>
            </w:r>
          </w:p>
        </w:tc>
        <w:tc>
          <w:tcPr>
            <w:tcW w:type="dxa" w:w="2000"/>
            <w:shd w:fill="F2F3F4" w:color="auto" w:val="clear"/>
          </w:tcPr>
          <w:p>
            <w:r>
              <w:rPr>
                <w:sz w:val="18"/>
                <w:szCs w:val="18"/>
              </w:rPr>
              <w:t xml:space="preserve">✓ Complete</w:t>
            </w:r>
          </w:p>
        </w:tc>
        <w:tc>
          <w:tcPr>
            <w:tcW w:type="dxa" w:w="3600"/>
            <w:shd w:fill="F2F3F4" w:color="auto" w:val="clear"/>
          </w:tcPr>
          <w:p>
            <w:r>
              <w:rPr>
                <w:sz w:val="18"/>
                <w:szCs w:val="18"/>
              </w:rPr>
              <w:t xml:space="preserve">SW Monsoon SSR=100%; Summer/Winter LPSP 23–34%</w:t>
            </w:r>
          </w:p>
        </w:tc>
      </w:tr>
      <w:tr>
        <w:tc>
          <w:tcPr>
            <w:tcW w:type="dxa" w:w="2800"/>
            <w:shd w:fill="FFFFFF" w:color="auto" w:val="clear"/>
          </w:tcPr>
          <w:p>
            <w:r>
              <w:rPr>
                <w:sz w:val="18"/>
                <w:szCs w:val="18"/>
              </w:rPr>
              <w:t xml:space="preserve">Inter-annual robustness (P13)</w:t>
            </w:r>
          </w:p>
        </w:tc>
        <w:tc>
          <w:tcPr>
            <w:tcW w:type="dxa" w:w="2000"/>
            <w:shd w:fill="FFFFFF" w:color="auto" w:val="clear"/>
          </w:tcPr>
          <w:p>
            <w:r>
              <w:rPr>
                <w:sz w:val="18"/>
                <w:szCs w:val="18"/>
              </w:rPr>
              <w:t xml:space="preserve">✓ Complete</w:t>
            </w:r>
          </w:p>
        </w:tc>
        <w:tc>
          <w:tcPr>
            <w:tcW w:type="dxa" w:w="3600"/>
            <w:shd w:fill="FFFFFF" w:color="auto" w:val="clear"/>
          </w:tcPr>
          <w:p>
            <w:r>
              <w:rPr>
                <w:sz w:val="18"/>
                <w:szCs w:val="18"/>
              </w:rPr>
              <w:t xml:space="preserve">LCOE=0.0841±0.0047; LPSP constraint violated 15/20 yr</w:t>
            </w:r>
          </w:p>
        </w:tc>
      </w:tr>
      <w:tr>
        <w:tc>
          <w:tcPr>
            <w:tcW w:type="dxa" w:w="2800"/>
            <w:shd w:fill="F2F3F4" w:color="auto" w:val="clear"/>
          </w:tcPr>
          <w:p>
            <w:r>
              <w:rPr>
                <w:sz w:val="18"/>
                <w:szCs w:val="18"/>
              </w:rPr>
              <w:t xml:space="preserve">Battery degradation (P12)</w:t>
            </w:r>
          </w:p>
        </w:tc>
        <w:tc>
          <w:tcPr>
            <w:tcW w:type="dxa" w:w="2000"/>
            <w:shd w:fill="F2F3F4" w:color="auto" w:val="clear"/>
          </w:tcPr>
          <w:p>
            <w:r>
              <w:rPr>
                <w:sz w:val="18"/>
                <w:szCs w:val="18"/>
              </w:rPr>
              <w:t xml:space="preserve">✓ Complete</w:t>
            </w:r>
          </w:p>
        </w:tc>
        <w:tc>
          <w:tcPr>
            <w:tcW w:type="dxa" w:w="3600"/>
            <w:shd w:fill="F2F3F4" w:color="auto" w:val="clear"/>
          </w:tcPr>
          <w:p>
            <w:r>
              <w:rPr>
                <w:sz w:val="18"/>
                <w:szCs w:val="18"/>
              </w:rPr>
              <w:t xml:space="preserve">3 replacements, $22,944 discounted (17.3% CAPEX)</w:t>
            </w:r>
          </w:p>
        </w:tc>
      </w:tr>
      <w:tr>
        <w:tc>
          <w:tcPr>
            <w:tcW w:type="dxa" w:w="2800"/>
            <w:shd w:fill="FFFFFF" w:color="auto" w:val="clear"/>
          </w:tcPr>
          <w:p>
            <w:r>
              <w:rPr>
                <w:sz w:val="18"/>
                <w:szCs w:val="18"/>
              </w:rPr>
              <w:t xml:space="preserve">HOMER benchmark (P14)</w:t>
            </w:r>
          </w:p>
        </w:tc>
        <w:tc>
          <w:tcPr>
            <w:tcW w:type="dxa" w:w="2000"/>
            <w:shd w:fill="FFFFFF" w:color="auto" w:val="clear"/>
          </w:tcPr>
          <w:p>
            <w:r>
              <w:rPr>
                <w:sz w:val="18"/>
                <w:szCs w:val="18"/>
              </w:rPr>
              <w:t xml:space="preserve">✓ Complete</w:t>
            </w:r>
          </w:p>
        </w:tc>
        <w:tc>
          <w:tcPr>
            <w:tcW w:type="dxa" w:w="3600"/>
            <w:shd w:fill="FFFFFF" w:color="auto" w:val="clear"/>
          </w:tcPr>
          <w:p>
            <w:r>
              <w:rPr>
                <w:sz w:val="18"/>
                <w:szCs w:val="18"/>
              </w:rPr>
              <w:t xml:space="preserve">Methodology comparison; 3 South India refs</w:t>
            </w:r>
          </w:p>
        </w:tc>
      </w:tr>
      <w:tr>
        <w:tc>
          <w:tcPr>
            <w:tcW w:type="dxa" w:w="2800"/>
            <w:shd w:fill="F2F3F4" w:color="auto" w:val="clear"/>
          </w:tcPr>
          <w:p>
            <w:r>
              <w:rPr>
                <w:sz w:val="18"/>
                <w:szCs w:val="18"/>
              </w:rPr>
              <w:t xml:space="preserve">GitHub upload (P15)</w:t>
            </w:r>
          </w:p>
        </w:tc>
        <w:tc>
          <w:tcPr>
            <w:tcW w:type="dxa" w:w="2000"/>
            <w:shd w:fill="F2F3F4" w:color="auto" w:val="clear"/>
          </w:tcPr>
          <w:p>
            <w:r>
              <w:rPr>
                <w:sz w:val="18"/>
                <w:szCs w:val="18"/>
              </w:rPr>
              <w:t xml:space="preserve">⏳ Pending</w:t>
            </w:r>
          </w:p>
        </w:tc>
        <w:tc>
          <w:tcPr>
            <w:tcW w:type="dxa" w:w="3600"/>
            <w:shd w:fill="F2F3F4" w:color="auto" w:val="clear"/>
          </w:tcPr>
          <w:p>
            <w:r>
              <w:rPr>
                <w:sz w:val="18"/>
                <w:szCs w:val="18"/>
              </w:rPr>
              <w:t xml:space="preserve">mohansankarm90-ops</w:t>
            </w:r>
          </w:p>
        </w:tc>
      </w:tr>
      <w:tr>
        <w:tc>
          <w:tcPr>
            <w:tcW w:type="dxa" w:w="2800"/>
            <w:shd w:fill="FFFFFF" w:color="auto" w:val="clear"/>
          </w:tcPr>
          <w:p>
            <w:r>
              <w:rPr>
                <w:sz w:val="18"/>
                <w:szCs w:val="18"/>
              </w:rPr>
              <w:t xml:space="preserve">Journal paper</w:t>
            </w:r>
          </w:p>
        </w:tc>
        <w:tc>
          <w:tcPr>
            <w:tcW w:type="dxa" w:w="2000"/>
            <w:shd w:fill="FFFFFF" w:color="auto" w:val="clear"/>
          </w:tcPr>
          <w:p>
            <w:r>
              <w:rPr>
                <w:sz w:val="18"/>
                <w:szCs w:val="18"/>
              </w:rPr>
              <w:t xml:space="preserve">⏳ In Progress</w:t>
            </w:r>
          </w:p>
        </w:tc>
        <w:tc>
          <w:tcPr>
            <w:tcW w:type="dxa" w:w="3600"/>
            <w:shd w:fill="FFFFFF" w:color="auto" w:val="clear"/>
          </w:tcPr>
          <w:p>
            <w:r>
              <w:rPr>
                <w:sz w:val="18"/>
                <w:szCs w:val="18"/>
              </w:rPr>
              <w:t xml:space="preserve">All sections now data-complete</w:t>
            </w:r>
          </w:p>
        </w:tc>
      </w:tr>
    </w:tbl>
    <w:p>
      <w:pPr>
        <w:spacing w:before="80"/>
      </w:pPr>
    </w:p>
    <w:p>
      <w:pPr>
        <w:pStyle w:val="Heading2"/>
      </w:pPr>
      <w:r>
        <w:t xml:space="preserve">18.1 Final Contribution Statement</w:t>
      </w:r>
    </w:p>
    <w:p>
      <w:pPr>
        <w:spacing w:after="80" w:before="40"/>
      </w:pPr>
      <w:r>
        <w:rPr>
          <w:sz w:val="19"/>
          <w:szCs w:val="19"/>
        </w:rPr>
        <w:t xml:space="preserve">We present a techno-economic optimization of a hybrid PV-Wind-Battery-Hydrogen EMS for a 50 kW village load in Coimbatore, India, using 20 years of NASA POWER hourly data. Four algorithms are compared: GA, PSO, GWO, and NSGA-II. GWO achieves the lowest single-objective LCOE of $0.0789/kWh (LPSP=2.04%, SSR=94.99%); NSGA-II generates the Pareto front with knee at $0.0732/kWh (LPSP=5.05%). Inter-annual robustness analysis across 20 individual years reveals LCOE=0.0841±0.0047/kWh but LPSP constraint violated in 15/20 years, with wind resource deficit (not storage) as the primary driver. Battery degradation analysis indicates 3 LFP replacements over 20 years ($22,944 discounted, 17.3% of CAPEX). An XGBoost surrogate (5-fold CV R²=0.9984±0.0001) accelerates optimization 100×; GHI, wind, and load forecasters achieve &lt;2% relative error. Seasonal analysis confirms SW monsoon drives system sizing; winter performance is the reliability-limiting season.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407"/>
    <w:multiLevelType w:val="hybridMultilevel"/>
    <w:tmpl w:val="DBE6AE9E"/>
    <w:lvl w:ilvl="0" w:tplc="65D62336">
      <w:start w:val="1"/>
      <w:numFmt w:val="bullet"/>
      <w:lvlText w:val="●"/>
      <w:lvlJc w:val="left"/>
      <w:pPr>
        <w:ind w:left="720" w:hanging="360"/>
      </w:pPr>
    </w:lvl>
    <w:lvl w:ilvl="1" w:tplc="14CA1052">
      <w:start w:val="1"/>
      <w:numFmt w:val="bullet"/>
      <w:lvlText w:val="○"/>
      <w:lvlJc w:val="left"/>
      <w:pPr>
        <w:ind w:left="1440" w:hanging="360"/>
      </w:pPr>
    </w:lvl>
    <w:lvl w:ilvl="2" w:tplc="70444798">
      <w:start w:val="1"/>
      <w:numFmt w:val="bullet"/>
      <w:lvlText w:val="■"/>
      <w:lvlJc w:val="left"/>
      <w:pPr>
        <w:ind w:left="2160" w:hanging="360"/>
      </w:pPr>
    </w:lvl>
    <w:lvl w:ilvl="3" w:tplc="01243AD6">
      <w:start w:val="1"/>
      <w:numFmt w:val="bullet"/>
      <w:lvlText w:val="●"/>
      <w:lvlJc w:val="left"/>
      <w:pPr>
        <w:ind w:left="2880" w:hanging="360"/>
      </w:pPr>
    </w:lvl>
    <w:lvl w:ilvl="4" w:tplc="7C52C6F8">
      <w:start w:val="1"/>
      <w:numFmt w:val="bullet"/>
      <w:lvlText w:val="○"/>
      <w:lvlJc w:val="left"/>
      <w:pPr>
        <w:ind w:left="3600" w:hanging="360"/>
      </w:pPr>
    </w:lvl>
    <w:lvl w:ilvl="5" w:tplc="D5501D06">
      <w:start w:val="1"/>
      <w:numFmt w:val="bullet"/>
      <w:lvlText w:val="■"/>
      <w:lvlJc w:val="left"/>
      <w:pPr>
        <w:ind w:left="4320" w:hanging="360"/>
      </w:pPr>
    </w:lvl>
    <w:lvl w:ilvl="6" w:tplc="F75E7CA4">
      <w:start w:val="1"/>
      <w:numFmt w:val="bullet"/>
      <w:lvlText w:val="●"/>
      <w:lvlJc w:val="left"/>
      <w:pPr>
        <w:ind w:left="5040" w:hanging="360"/>
      </w:pPr>
    </w:lvl>
    <w:lvl w:ilvl="7" w:tplc="3A80C658">
      <w:start w:val="1"/>
      <w:numFmt w:val="bullet"/>
      <w:lvlText w:val="●"/>
      <w:lvlJc w:val="left"/>
      <w:pPr>
        <w:ind w:left="5760" w:hanging="360"/>
      </w:pPr>
    </w:lvl>
    <w:lvl w:ilvl="8" w:tplc="953A7E26">
      <w:start w:val="1"/>
      <w:numFmt w:val="bullet"/>
      <w:lvlText w:val="●"/>
      <w:lvlJc w:val="left"/>
      <w:pPr>
        <w:ind w:left="6480" w:hanging="360"/>
      </w:pPr>
    </w:lvl>
  </w:abstractNum>
  <w:num w:numId="1" w16cid:durableId="1848985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EC3"/>
    <w:rsid w:val="00264EC3"/>
    <w:rsid w:val="008C74EF"/>
    <w:rsid w:val="00D73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25C1"/>
  <w15:docId w15:val="{4773D55D-E179-47ED-B73B-6B683689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_p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 SANKAR</cp:lastModifiedBy>
  <cp:revision>2</cp:revision>
  <dcterms:created xsi:type="dcterms:W3CDTF">2026-08-02T13:37:00Z</dcterms:created>
  <dcterms:modified xsi:type="dcterms:W3CDTF">2026-08-02T13:39:00Z</dcterms:modified>
</cp:coreProperties>
</file>