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62708A"/>
          <w:sz w:val="24"/>
          <w:szCs w:val="24"/>
        </w:rPr>
        <w:t xml:space="preserve">IT PMO Kanban Board Demo</w:t>
      </w:r>
    </w:p>
    <w:p>
      <w:pPr>
        <w:spacing w:after="120"/>
      </w:pPr>
      <w:r>
        <w:rPr>
          <w:rFonts w:ascii="Calibri" w:cs="Calibri" w:eastAsia="Calibri" w:hAnsi="Calibri"/>
          <w:b/>
          <w:bCs/>
          <w:color w:val="0A1F44"/>
          <w:sz w:val="52"/>
          <w:szCs w:val="52"/>
        </w:rPr>
        <w:t xml:space="preserve">Cyber Security Assessment Report</w:t>
      </w:r>
    </w:p>
    <w:p>
      <w:pPr>
        <w:pBdr>
          <w:bottom w:val="single" w:color="1250A8" w:sz="8" w:space="1"/>
        </w:pBdr>
        <w:spacing w:after="1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Target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index.html (single-file web application), repository mohansg88/kanban6, GitHub Pages site and Claude artifact copy</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Assessment date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14 October 2026</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Type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Static code review and repository review (white box). No dynamic testing and no network scanning.</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Performed by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Claude Code, using the project security-scanner agent checks (.claude/agents/security-scanner.md)</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Overall risk rating</w:t>
            </w:r>
          </w:p>
        </w:tc>
        <w:tc>
          <w:tcPr>
            <w:tcW w:type="dxa" w:w="7212"/>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r>
    </w:tbl>
    <w:p>
      <w:pPr>
        <w:spacing w:after="200"/>
      </w:pPr>
    </w:p>
    <w:p>
      <w:pPr>
        <w:pStyle w:val="Heading1"/>
        <w:keepNext/>
        <w:spacing w:after="160" w:before="360"/>
      </w:pPr>
      <w:r>
        <w:rPr>
          <w:rFonts w:ascii="Calibri" w:cs="Calibri" w:eastAsia="Calibri" w:hAnsi="Calibri"/>
          <w:b/>
          <w:bCs/>
          <w:color w:val="0A1F44"/>
          <w:sz w:val="32"/>
          <w:szCs w:val="32"/>
        </w:rPr>
        <w:t xml:space="preserve">1. Executive summary</w:t>
      </w:r>
    </w:p>
    <w:p>
      <w:pPr>
        <w:spacing w:after="120" w:before="0" w:line="276"/>
      </w:pPr>
      <w:r>
        <w:rPr>
          <w:rFonts w:ascii="Calibri" w:cs="Calibri" w:eastAsia="Calibri" w:hAnsi="Calibri"/>
          <w:color w:val="0F1B33"/>
          <w:sz w:val="22"/>
          <w:szCs w:val="22"/>
        </w:rPr>
        <w:t xml:space="preserve">The application is a client-side demo with no server, no database and no browser storage. Its attack surface is small: one HTML file, one outbound request to FormSubmit, and a GitHub Pages deployment. No High-severity vulnerabilities, exposed secrets or exploitable injection paths were found.</w:t>
      </w:r>
    </w:p>
    <w:p>
      <w:pPr>
        <w:spacing w:after="120" w:before="0" w:line="276"/>
      </w:pPr>
      <w:r>
        <w:rPr>
          <w:rFonts w:ascii="Calibri" w:cs="Calibri" w:eastAsia="Calibri" w:hAnsi="Calibri"/>
          <w:color w:val="0F1B33"/>
          <w:sz w:val="22"/>
          <w:szCs w:val="22"/>
        </w:rPr>
        <w:t xml:space="preserve">The review did find two live Medium issues, both about what the public repository reveals rather than how the code behaves. A real bank's name is used in the task ID prefix, and the owner's personal email address is in the public commit history. Five Low findings are hardening gaps or latent risks, and two are informational.</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2"/>
        <w:gridCol w:w="2353"/>
        <w:gridCol w:w="2353"/>
        <w:gridCol w:w="2354"/>
      </w:tblGrid>
      <w:tr>
        <w:trPr>
          <w:cantSplit/>
          <w:tblHeader/>
        </w:trPr>
        <w:tc>
          <w:tcPr>
            <w:tcW w:type="dxa" w:w="2352"/>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High findings</w:t>
            </w:r>
          </w:p>
        </w:tc>
        <w:tc>
          <w:tcPr>
            <w:tcW w:type="dxa" w:w="2353"/>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Medium findings</w:t>
            </w:r>
          </w:p>
        </w:tc>
        <w:tc>
          <w:tcPr>
            <w:tcW w:type="dxa" w:w="2353"/>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Low findings</w:t>
            </w:r>
          </w:p>
        </w:tc>
        <w:tc>
          <w:tcPr>
            <w:tcW w:type="dxa" w:w="2354"/>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Info findings</w:t>
            </w:r>
          </w:p>
        </w:tc>
      </w:tr>
      <w:tr>
        <w:trPr>
          <w:cantSplit/>
        </w:trPr>
        <w:tc>
          <w:tcPr>
            <w:tcW w:type="dxa" w:w="235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jc w:val="center"/>
            </w:pPr>
            <w:r>
              <w:rPr>
                <w:rFonts w:ascii="Calibri" w:cs="Calibri" w:eastAsia="Calibri" w:hAnsi="Calibri"/>
                <w:b/>
                <w:bCs/>
                <w:color w:val="0F1B33"/>
                <w:sz w:val="40"/>
                <w:szCs w:val="40"/>
              </w:rPr>
              <w:t xml:space="preserve">0</w:t>
            </w:r>
          </w:p>
        </w:tc>
        <w:tc>
          <w:tcPr>
            <w:tcW w:type="dxa" w:w="2353"/>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jc w:val="center"/>
            </w:pPr>
            <w:r>
              <w:rPr>
                <w:rFonts w:ascii="Calibri" w:cs="Calibri" w:eastAsia="Calibri" w:hAnsi="Calibri"/>
                <w:b/>
                <w:bCs/>
                <w:color w:val="0F1B33"/>
                <w:sz w:val="40"/>
                <w:szCs w:val="40"/>
              </w:rPr>
              <w:t xml:space="preserve">2</w:t>
            </w:r>
          </w:p>
        </w:tc>
        <w:tc>
          <w:tcPr>
            <w:tcW w:type="dxa" w:w="2353"/>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jc w:val="center"/>
            </w:pPr>
            <w:r>
              <w:rPr>
                <w:rFonts w:ascii="Calibri" w:cs="Calibri" w:eastAsia="Calibri" w:hAnsi="Calibri"/>
                <w:b/>
                <w:bCs/>
                <w:color w:val="0F1B33"/>
                <w:sz w:val="40"/>
                <w:szCs w:val="40"/>
              </w:rPr>
              <w:t xml:space="preserve">5</w:t>
            </w:r>
          </w:p>
        </w:tc>
        <w:tc>
          <w:tcPr>
            <w:tcW w:type="dxa" w:w="2354"/>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jc w:val="center"/>
            </w:pPr>
            <w:r>
              <w:rPr>
                <w:rFonts w:ascii="Calibri" w:cs="Calibri" w:eastAsia="Calibri" w:hAnsi="Calibri"/>
                <w:b/>
                <w:bCs/>
                <w:color w:val="0F1B33"/>
                <w:sz w:val="40"/>
                <w:szCs w:val="40"/>
              </w:rPr>
              <w:t xml:space="preserve">2</w:t>
            </w:r>
          </w:p>
        </w:tc>
      </w:tr>
    </w:tbl>
    <w:p>
      <w:pPr>
        <w:spacing w:after="120"/>
      </w:pPr>
    </w:p>
    <w:p>
      <w:pPr>
        <w:pStyle w:val="Heading3"/>
        <w:keepNext/>
        <w:spacing w:after="80" w:before="200"/>
      </w:pPr>
      <w:r>
        <w:rPr>
          <w:rFonts w:ascii="Calibri" w:cs="Calibri" w:eastAsia="Calibri" w:hAnsi="Calibri"/>
          <w:b/>
          <w:bCs/>
          <w:color w:val="0A1F44"/>
          <w:sz w:val="23"/>
          <w:szCs w:val="23"/>
        </w:rPr>
        <w:t xml:space="preserve">Key points</w:t>
      </w:r>
    </w:p>
    <w:p>
      <w:pPr>
        <w:pStyle w:val="ListParagraph"/>
        <w:numPr>
          <w:ilvl w:val="0"/>
          <w:numId w:val="2"/>
        </w:numPr>
        <w:spacing w:after="60" w:line="276"/>
      </w:pPr>
      <w:r>
        <w:rPr>
          <w:rFonts w:ascii="Calibri" w:cs="Calibri" w:eastAsia="Calibri" w:hAnsi="Calibri"/>
          <w:color w:val="0F1B33"/>
          <w:sz w:val="22"/>
          <w:szCs w:val="22"/>
        </w:rPr>
        <w:t xml:space="preserve">No secrets or tokens appear in the files or in git history, and the FormSubmit endpoint is still the placeholder address.</w:t>
      </w:r>
    </w:p>
    <w:p>
      <w:pPr>
        <w:pStyle w:val="ListParagraph"/>
        <w:numPr>
          <w:ilvl w:val="0"/>
          <w:numId w:val="2"/>
        </w:numPr>
        <w:spacing w:after="60" w:line="276"/>
      </w:pPr>
      <w:r>
        <w:rPr>
          <w:rFonts w:ascii="Calibri" w:cs="Calibri" w:eastAsia="Calibri" w:hAnsi="Calibri"/>
          <w:color w:val="0F1B33"/>
          <w:sz w:val="22"/>
          <w:szCs w:val="22"/>
        </w:rPr>
        <w:t xml:space="preserve">All 17 places where HTML is built from strings were traced and every user-supplied value is escaped. Tooltips and toasts use textContent.</w:t>
      </w:r>
    </w:p>
    <w:p>
      <w:pPr>
        <w:pStyle w:val="ListParagraph"/>
        <w:numPr>
          <w:ilvl w:val="0"/>
          <w:numId w:val="2"/>
        </w:numPr>
        <w:spacing w:after="60" w:line="276"/>
      </w:pPr>
      <w:r>
        <w:rPr>
          <w:rFonts w:ascii="Calibri" w:cs="Calibri" w:eastAsia="Calibri" w:hAnsi="Calibri"/>
          <w:color w:val="0F1B33"/>
          <w:sz w:val="22"/>
          <w:szCs w:val="22"/>
        </w:rPr>
        <w:t xml:space="preserve">The page loads nothing from other hosts, stores nothing in the browser, and makes one network call.</w:t>
      </w:r>
    </w:p>
    <w:p>
      <w:pPr>
        <w:pStyle w:val="ListParagraph"/>
        <w:numPr>
          <w:ilvl w:val="0"/>
          <w:numId w:val="2"/>
        </w:numPr>
        <w:spacing w:after="60" w:line="276"/>
      </w:pPr>
      <w:r>
        <w:rPr>
          <w:rFonts w:ascii="Calibri" w:cs="Calibri" w:eastAsia="Calibri" w:hAnsi="Calibri"/>
          <w:color w:val="0F1B33"/>
          <w:sz w:val="22"/>
          <w:szCs w:val="22"/>
        </w:rPr>
        <w:t xml:space="preserve">Fix first: rename the UOB task ID prefix (F-01) and switch to a noreply commit email (F-02). Everything else is small hardening work.</w:t>
      </w:r>
    </w:p>
    <w:p>
      <w:pPr>
        <w:pStyle w:val="Heading1"/>
        <w:keepNext/>
        <w:spacing w:after="160" w:before="360"/>
      </w:pPr>
      <w:r>
        <w:rPr>
          <w:rFonts w:ascii="Calibri" w:cs="Calibri" w:eastAsia="Calibri" w:hAnsi="Calibri"/>
          <w:b/>
          <w:bCs/>
          <w:color w:val="0A1F44"/>
          <w:sz w:val="32"/>
          <w:szCs w:val="32"/>
        </w:rPr>
        <w:t xml:space="preserve">2. Scope and method</w:t>
      </w:r>
    </w:p>
    <w:p>
      <w:pPr>
        <w:pStyle w:val="Heading2"/>
        <w:keepNext/>
        <w:spacing w:after="100" w:before="280"/>
      </w:pPr>
      <w:r>
        <w:rPr>
          <w:rFonts w:ascii="Calibri" w:cs="Calibri" w:eastAsia="Calibri" w:hAnsi="Calibri"/>
          <w:b/>
          <w:bCs/>
          <w:color w:val="1250A8"/>
          <w:sz w:val="26"/>
          <w:szCs w:val="26"/>
        </w:rPr>
        <w:t xml:space="preserve">In scope</w:t>
      </w:r>
    </w:p>
    <w:p>
      <w:pPr>
        <w:pStyle w:val="ListParagraph"/>
        <w:numPr>
          <w:ilvl w:val="0"/>
          <w:numId w:val="2"/>
        </w:numPr>
        <w:spacing w:after="60" w:line="276"/>
      </w:pPr>
      <w:r>
        <w:rPr>
          <w:rFonts w:ascii="Calibri" w:cs="Calibri" w:eastAsia="Calibri" w:hAnsi="Calibri"/>
          <w:color w:val="0F1B33"/>
          <w:sz w:val="22"/>
          <w:szCs w:val="22"/>
        </w:rPr>
        <w:t xml:space="preserve">index.html: markup, styles and script</w:t>
      </w:r>
    </w:p>
    <w:p>
      <w:pPr>
        <w:pStyle w:val="ListParagraph"/>
        <w:numPr>
          <w:ilvl w:val="0"/>
          <w:numId w:val="2"/>
        </w:numPr>
        <w:spacing w:after="60" w:line="276"/>
      </w:pPr>
      <w:r>
        <w:rPr>
          <w:rFonts w:ascii="Calibri" w:cs="Calibri" w:eastAsia="Calibri" w:hAnsi="Calibri"/>
          <w:color w:val="0F1B33"/>
          <w:sz w:val="22"/>
          <w:szCs w:val="22"/>
        </w:rPr>
        <w:t xml:space="preserve">README.md, CLAUDE.md, .gitignore, .mcp.json</w:t>
      </w:r>
    </w:p>
    <w:p>
      <w:pPr>
        <w:pStyle w:val="ListParagraph"/>
        <w:numPr>
          <w:ilvl w:val="0"/>
          <w:numId w:val="2"/>
        </w:numPr>
        <w:spacing w:after="60" w:line="276"/>
      </w:pPr>
      <w:r>
        <w:rPr>
          <w:rFonts w:ascii="Calibri" w:cs="Calibri" w:eastAsia="Calibri" w:hAnsi="Calibri"/>
          <w:color w:val="0F1B33"/>
          <w:sz w:val="22"/>
          <w:szCs w:val="22"/>
        </w:rPr>
        <w:t xml:space="preserve">.github/workflows/pages.yml</w:t>
      </w:r>
    </w:p>
    <w:p>
      <w:pPr>
        <w:pStyle w:val="ListParagraph"/>
        <w:numPr>
          <w:ilvl w:val="0"/>
          <w:numId w:val="2"/>
        </w:numPr>
        <w:spacing w:after="60" w:line="276"/>
      </w:pPr>
      <w:r>
        <w:rPr>
          <w:rFonts w:ascii="Calibri" w:cs="Calibri" w:eastAsia="Calibri" w:hAnsi="Calibri"/>
          <w:color w:val="0F1B33"/>
          <w:sz w:val="22"/>
          <w:szCs w:val="22"/>
        </w:rPr>
        <w:t xml:space="preserve">Git history (all 4 commits) and the state of the working tree</w:t>
      </w:r>
    </w:p>
    <w:p>
      <w:pPr>
        <w:pStyle w:val="ListParagraph"/>
        <w:numPr>
          <w:ilvl w:val="0"/>
          <w:numId w:val="2"/>
        </w:numPr>
        <w:spacing w:after="60" w:line="276"/>
      </w:pPr>
      <w:r>
        <w:rPr>
          <w:rFonts w:ascii="Calibri" w:cs="Calibri" w:eastAsia="Calibri" w:hAnsi="Calibri"/>
          <w:color w:val="0F1B33"/>
          <w:sz w:val="22"/>
          <w:szCs w:val="22"/>
        </w:rPr>
        <w:t xml:space="preserve">The .claude folder (agents, command, skills), scanned for secret patterns</w:t>
      </w:r>
    </w:p>
    <w:p>
      <w:pPr>
        <w:pStyle w:val="Heading2"/>
        <w:keepNext/>
        <w:spacing w:after="100" w:before="280"/>
      </w:pPr>
      <w:r>
        <w:rPr>
          <w:rFonts w:ascii="Calibri" w:cs="Calibri" w:eastAsia="Calibri" w:hAnsi="Calibri"/>
          <w:b/>
          <w:bCs/>
          <w:color w:val="1250A8"/>
          <w:sz w:val="26"/>
          <w:szCs w:val="26"/>
        </w:rPr>
        <w:t xml:space="preserve">Out of scope</w:t>
      </w:r>
    </w:p>
    <w:p>
      <w:pPr>
        <w:pStyle w:val="ListParagraph"/>
        <w:numPr>
          <w:ilvl w:val="0"/>
          <w:numId w:val="2"/>
        </w:numPr>
        <w:spacing w:after="60" w:line="276"/>
      </w:pPr>
      <w:r>
        <w:rPr>
          <w:rFonts w:ascii="Calibri" w:cs="Calibri" w:eastAsia="Calibri" w:hAnsi="Calibri"/>
          <w:color w:val="0F1B33"/>
          <w:sz w:val="22"/>
          <w:szCs w:val="22"/>
        </w:rPr>
        <w:t xml:space="preserve">Dynamic testing against the live site, penetration testing and denial-of-service testing</w:t>
      </w:r>
    </w:p>
    <w:p>
      <w:pPr>
        <w:pStyle w:val="ListParagraph"/>
        <w:numPr>
          <w:ilvl w:val="0"/>
          <w:numId w:val="2"/>
        </w:numPr>
        <w:spacing w:after="60" w:line="276"/>
      </w:pPr>
      <w:r>
        <w:rPr>
          <w:rFonts w:ascii="Calibri" w:cs="Calibri" w:eastAsia="Calibri" w:hAnsi="Calibri"/>
          <w:color w:val="0F1B33"/>
          <w:sz w:val="22"/>
          <w:szCs w:val="22"/>
        </w:rPr>
        <w:t xml:space="preserve">The security of FormSubmit, GitHub and Claude infrastructure</w:t>
      </w:r>
    </w:p>
    <w:p>
      <w:pPr>
        <w:pStyle w:val="ListParagraph"/>
        <w:numPr>
          <w:ilvl w:val="0"/>
          <w:numId w:val="2"/>
        </w:numPr>
        <w:spacing w:after="60" w:line="276"/>
      </w:pPr>
      <w:r>
        <w:rPr>
          <w:rFonts w:ascii="Calibri" w:cs="Calibri" w:eastAsia="Calibri" w:hAnsi="Calibri"/>
          <w:color w:val="0F1B33"/>
          <w:sz w:val="22"/>
          <w:szCs w:val="22"/>
        </w:rPr>
        <w:t xml:space="preserve">Browser and operating system vulnerabilities</w:t>
      </w:r>
    </w:p>
    <w:p>
      <w:pPr>
        <w:pStyle w:val="Heading2"/>
        <w:keepNext/>
        <w:spacing w:after="100" w:before="280"/>
      </w:pPr>
      <w:r>
        <w:rPr>
          <w:rFonts w:ascii="Calibri" w:cs="Calibri" w:eastAsia="Calibri" w:hAnsi="Calibri"/>
          <w:b/>
          <w:bCs/>
          <w:color w:val="1250A8"/>
          <w:sz w:val="26"/>
          <w:szCs w:val="26"/>
        </w:rPr>
        <w:t xml:space="preserve">Method</w:t>
      </w:r>
    </w:p>
    <w:p>
      <w:pPr>
        <w:spacing w:after="120" w:before="0" w:line="276"/>
      </w:pPr>
      <w:r>
        <w:rPr>
          <w:rFonts w:ascii="Calibri" w:cs="Calibri" w:eastAsia="Calibri" w:hAnsi="Calibri"/>
          <w:color w:val="0F1B33"/>
          <w:sz w:val="22"/>
          <w:szCs w:val="22"/>
        </w:rPr>
        <w:t xml:space="preserve">Pattern searches (secrets, emails, dangerous APIs, storage and network calls), a manual trace of every innerHTML assignment back to its data source, a review of the deployment workflow, and queries against git and the GitHub API for history, repository visibility and current action versions.</w:t>
      </w:r>
    </w:p>
    <w:p>
      <w:pPr>
        <w:pStyle w:val="Heading2"/>
        <w:keepNext/>
        <w:spacing w:after="100" w:before="280"/>
      </w:pPr>
      <w:r>
        <w:rPr>
          <w:rFonts w:ascii="Calibri" w:cs="Calibri" w:eastAsia="Calibri" w:hAnsi="Calibri"/>
          <w:b/>
          <w:bCs/>
          <w:color w:val="1250A8"/>
          <w:sz w:val="26"/>
          <w:szCs w:val="26"/>
        </w:rPr>
        <w:t xml:space="preserve">Classification</w:t>
      </w:r>
    </w:p>
    <w:p>
      <w:pPr>
        <w:spacing w:after="120" w:before="0" w:line="276"/>
      </w:pPr>
      <w:r>
        <w:rPr>
          <w:rFonts w:ascii="Calibri" w:cs="Calibri" w:eastAsia="Calibri" w:hAnsi="Calibri"/>
          <w:color w:val="0F1B33"/>
          <w:sz w:val="22"/>
          <w:szCs w:val="22"/>
        </w:rPr>
        <w:t xml:space="preserve">Each finding has an ID, a severity, an OWASP Top 10 (2021) category where one applies, a CWE identifier, likelihood and impact, and a status.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8012"/>
      </w:tblGrid>
      <w:tr>
        <w:trPr>
          <w:cantSplit/>
          <w:tblHeader/>
        </w:trPr>
        <w:tc>
          <w:tcPr>
            <w:tcW w:type="dxa" w:w="14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Severity</w:t>
            </w:r>
          </w:p>
        </w:tc>
        <w:tc>
          <w:tcPr>
            <w:tcW w:type="dxa" w:w="8012"/>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Meaning</w:t>
            </w:r>
          </w:p>
        </w:tc>
      </w:tr>
      <w:tr>
        <w:trPr>
          <w:cantSplit/>
        </w:trPr>
        <w:tc>
          <w:tcPr>
            <w:tcW w:type="dxa" w:w="1400"/>
            <w:tcBorders>
              <w:top w:val="single" w:color="D6DEEA" w:sz="4"/>
              <w:left w:val="single" w:color="D6DEEA" w:sz="4"/>
              <w:bottom w:val="single" w:color="D6DEEA" w:sz="4"/>
              <w:right w:val="single" w:color="D6DEEA" w:sz="4"/>
            </w:tcBorders>
            <w:shd w:fill="C62828"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FFFFFF"/>
                <w:sz w:val="20"/>
                <w:szCs w:val="20"/>
              </w:rPr>
              <w:t xml:space="preserve">High</w:t>
            </w:r>
          </w:p>
        </w:tc>
        <w:tc>
          <w:tcPr>
            <w:tcW w:type="dxa" w:w="80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Exploitable now, or a real secret or personal data is exposed.</w:t>
            </w:r>
          </w:p>
        </w:tc>
      </w:tr>
      <w:tr>
        <w:trPr>
          <w:cantSplit/>
        </w:trPr>
        <w:tc>
          <w:tcPr>
            <w:tcW w:type="dxa" w:w="1400"/>
            <w:tcBorders>
              <w:top w:val="single" w:color="D6DEEA" w:sz="4"/>
              <w:left w:val="single" w:color="D6DEEA" w:sz="4"/>
              <w:bottom w:val="single" w:color="D6DEEA" w:sz="4"/>
              <w:right w:val="single" w:color="D6DEEA" w:sz="4"/>
            </w:tcBorders>
            <w:shd w:fill="FDE3B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6B4200"/>
                <w:sz w:val="20"/>
                <w:szCs w:val="20"/>
              </w:rPr>
              <w:t xml:space="preserve">Medium</w:t>
            </w:r>
          </w:p>
        </w:tc>
        <w:tc>
          <w:tcPr>
            <w:tcW w:type="dxa" w:w="80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 policy or privacy problem that is live today.</w:t>
            </w:r>
          </w:p>
        </w:tc>
      </w:tr>
      <w:tr>
        <w:trPr>
          <w:cantSplit/>
        </w:trPr>
        <w:tc>
          <w:tcPr>
            <w:tcW w:type="dxa" w:w="1400"/>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c>
          <w:tcPr>
            <w:tcW w:type="dxa" w:w="80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 hardening gap, or a latent risk that needs another condition to matter.</w:t>
            </w:r>
          </w:p>
        </w:tc>
      </w:tr>
      <w:tr>
        <w:trPr>
          <w:cantSplit/>
        </w:trPr>
        <w:tc>
          <w:tcPr>
            <w:tcW w:type="dxa" w:w="1400"/>
            <w:tcBorders>
              <w:top w:val="single" w:color="D6DEEA" w:sz="4"/>
              <w:left w:val="single" w:color="D6DEEA" w:sz="4"/>
              <w:bottom w:val="single" w:color="D6DEEA" w:sz="4"/>
              <w:right w:val="single" w:color="D6DEEA" w:sz="4"/>
            </w:tcBorders>
            <w:shd w:fill="E8EBF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3C4658"/>
                <w:sz w:val="20"/>
                <w:szCs w:val="20"/>
              </w:rPr>
              <w:t xml:space="preserve">Info</w:t>
            </w:r>
          </w:p>
        </w:tc>
        <w:tc>
          <w:tcPr>
            <w:tcW w:type="dxa" w:w="80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An observation that needs no action.</w:t>
            </w:r>
          </w:p>
        </w:tc>
      </w:tr>
    </w:tbl>
    <w:p>
      <w:pPr>
        <w:pStyle w:val="Heading1"/>
        <w:keepNext/>
        <w:spacing w:after="160" w:before="360"/>
      </w:pPr>
      <w:r>
        <w:rPr>
          <w:rFonts w:ascii="Calibri" w:cs="Calibri" w:eastAsia="Calibri" w:hAnsi="Calibri"/>
          <w:b/>
          <w:bCs/>
          <w:color w:val="0A1F44"/>
          <w:sz w:val="32"/>
          <w:szCs w:val="32"/>
        </w:rPr>
        <w:t xml:space="preserve">3. Findings summary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100"/>
        <w:gridCol w:w="2312"/>
        <w:gridCol w:w="1700"/>
      </w:tblGrid>
      <w:tr>
        <w:trPr>
          <w:cantSplit/>
          <w:tblHeader/>
        </w:trPr>
        <w:tc>
          <w:tcPr>
            <w:tcW w:type="dxa" w:w="8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ID</w:t>
            </w:r>
          </w:p>
        </w:tc>
        <w:tc>
          <w:tcPr>
            <w:tcW w:type="dxa" w:w="35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Finding</w:t>
            </w:r>
          </w:p>
        </w:tc>
        <w:tc>
          <w:tcPr>
            <w:tcW w:type="dxa" w:w="11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Severity</w:t>
            </w:r>
          </w:p>
        </w:tc>
        <w:tc>
          <w:tcPr>
            <w:tcW w:type="dxa" w:w="2312"/>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Category</w:t>
            </w:r>
          </w:p>
        </w:tc>
        <w:tc>
          <w:tcPr>
            <w:tcW w:type="dxa" w:w="17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Status</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F-01</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Real bank name used in task ID prefix</w:t>
            </w:r>
          </w:p>
        </w:tc>
        <w:tc>
          <w:tcPr>
            <w:tcW w:type="dxa" w:w="1100"/>
            <w:tcBorders>
              <w:top w:val="single" w:color="D6DEEA" w:sz="4"/>
              <w:left w:val="single" w:color="D6DEEA" w:sz="4"/>
              <w:bottom w:val="single" w:color="D6DEEA" w:sz="4"/>
              <w:right w:val="single" w:color="D6DEEA" w:sz="4"/>
            </w:tcBorders>
            <w:shd w:fill="FDE3B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6B4200"/>
                <w:sz w:val="20"/>
                <w:szCs w:val="20"/>
              </w:rPr>
              <w:t xml:space="preserve">Medium</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Compliance</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F-02</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Personal email address in public git history</w:t>
            </w:r>
          </w:p>
        </w:tc>
        <w:tc>
          <w:tcPr>
            <w:tcW w:type="dxa" w:w="1100"/>
            <w:tcBorders>
              <w:top w:val="single" w:color="D6DEEA" w:sz="4"/>
              <w:left w:val="single" w:color="D6DEEA" w:sz="4"/>
              <w:bottom w:val="single" w:color="D6DEEA" w:sz="4"/>
              <w:right w:val="single" w:color="D6DEEA" w:sz="4"/>
            </w:tcBorders>
            <w:shd w:fill="FDE3B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6B4200"/>
                <w:sz w:val="20"/>
                <w:szCs w:val="20"/>
              </w:rPr>
              <w:t xml:space="preserve">Medium</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Privacy</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F-03</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 Content-Security-Policy on the published page</w:t>
            </w:r>
          </w:p>
        </w:tc>
        <w:tc>
          <w:tcPr>
            <w:tcW w:type="dxa" w:w="1100"/>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A05 Security Misconfiguration</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F-04</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Real email address would become public once FormSubmit is configured</w:t>
            </w:r>
          </w:p>
        </w:tc>
        <w:tc>
          <w:tcPr>
            <w:tcW w:type="dxa" w:w="1100"/>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Privacy</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Latent</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F-05</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Unpinned MCP package fetched and run without a prompt</w:t>
            </w:r>
          </w:p>
        </w:tc>
        <w:tc>
          <w:tcPr>
            <w:tcW w:type="dxa" w:w="1100"/>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A08 Software and Data Integrity Failures</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F-06</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GitHub Actions pinned to version tags, not commit SHAs</w:t>
            </w:r>
          </w:p>
        </w:tc>
        <w:tc>
          <w:tcPr>
            <w:tcW w:type="dxa" w:w="1100"/>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A08 Software and Data Integrity Failures</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F-07</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Priority value placed in class attributes without escapeHtml()</w:t>
            </w:r>
          </w:p>
        </w:tc>
        <w:tc>
          <w:tcPr>
            <w:tcW w:type="dxa" w:w="1100"/>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A03 Injection</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F-08</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Task details are sent to a third-party service</w:t>
            </w:r>
          </w:p>
        </w:tc>
        <w:tc>
          <w:tcPr>
            <w:tcW w:type="dxa" w:w="1100"/>
            <w:tcBorders>
              <w:top w:val="single" w:color="D6DEEA" w:sz="4"/>
              <w:left w:val="single" w:color="D6DEEA" w:sz="4"/>
              <w:bottom w:val="single" w:color="D6DEEA" w:sz="4"/>
              <w:right w:val="single" w:color="D6DEEA" w:sz="4"/>
            </w:tcBorders>
            <w:shd w:fill="E8EBF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3C4658"/>
                <w:sz w:val="20"/>
                <w:szCs w:val="20"/>
              </w:rPr>
              <w:t xml:space="preserve">Info</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Privacy</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Informational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F-09</w:t>
            </w:r>
          </w:p>
        </w:tc>
        <w:tc>
          <w:tcPr>
            <w:tcW w:type="dxa" w:w="35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Large third-party skill folder would be published if committed</w:t>
            </w:r>
          </w:p>
        </w:tc>
        <w:tc>
          <w:tcPr>
            <w:tcW w:type="dxa" w:w="1100"/>
            <w:tcBorders>
              <w:top w:val="single" w:color="D6DEEA" w:sz="4"/>
              <w:left w:val="single" w:color="D6DEEA" w:sz="4"/>
              <w:bottom w:val="single" w:color="D6DEEA" w:sz="4"/>
              <w:right w:val="single" w:color="D6DEEA" w:sz="4"/>
            </w:tcBorders>
            <w:shd w:fill="E8EBF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3C4658"/>
                <w:sz w:val="20"/>
                <w:szCs w:val="20"/>
              </w:rPr>
              <w:t xml:space="preserve">Info</w:t>
            </w:r>
          </w:p>
        </w:tc>
        <w:tc>
          <w:tcPr>
            <w:tcW w:type="dxa" w:w="23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Repository hygiene</w:t>
            </w:r>
          </w:p>
        </w:tc>
        <w:tc>
          <w:tcPr>
            <w:tcW w:type="dxa" w:w="17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Informational</w:t>
            </w:r>
          </w:p>
        </w:tc>
      </w:tr>
    </w:tbl>
    <w:p>
      <w:pPr>
        <w:pStyle w:val="Heading1"/>
        <w:keepNext/>
        <w:spacing w:after="160" w:before="360"/>
      </w:pPr>
      <w:r>
        <w:rPr>
          <w:rFonts w:ascii="Calibri" w:cs="Calibri" w:eastAsia="Calibri" w:hAnsi="Calibri"/>
          <w:b/>
          <w:bCs/>
          <w:color w:val="0A1F44"/>
          <w:sz w:val="32"/>
          <w:szCs w:val="32"/>
        </w:rPr>
        <w:t xml:space="preserve">4. Detailed findings</w:t>
      </w:r>
    </w:p>
    <w:p>
      <w:pPr>
        <w:pStyle w:val="Heading2"/>
        <w:keepNext/>
        <w:spacing w:after="100" w:before="280"/>
      </w:pPr>
      <w:r>
        <w:rPr>
          <w:rFonts w:ascii="Calibri" w:cs="Calibri" w:eastAsia="Calibri" w:hAnsi="Calibri"/>
          <w:b/>
          <w:bCs/>
          <w:color w:val="1250A8"/>
          <w:sz w:val="26"/>
          <w:szCs w:val="26"/>
        </w:rPr>
        <w:t xml:space="preserve">F-01  Real bank name used in task ID prefix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FDE3B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6B4200"/>
                <w:sz w:val="20"/>
                <w:szCs w:val="20"/>
              </w:rPr>
              <w:t xml:space="preserve">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Compliance (brand and trademark)</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Not applicable</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High / 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index.html:511 (nextId); CLAUDE.md:23</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Task IDs are generated as UOB-ITPM-####. UOB is the name of a real bank. The project is published as a demo for a fictitious bank, and CLAUDE.md forbids real bank logos or trademarks. The prefix also appears on every card, in the Details table, in tooltips and in the published screenshots.</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Implies an affiliation with a real institution on a public site, which conflicts with the project's own constraint and the disclaimer in the README.</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return "UOB-ITPM-" + String(idCounter).padStart(4, "0");</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Replace the prefix with a neutral one such as PMO-#### in nextId() and update the CLAUDE.md line. Retake the screenshots and republish the Pages site and the artifact.</w:t>
      </w:r>
    </w:p>
    <w:p>
      <w:pPr>
        <w:pStyle w:val="Heading2"/>
        <w:keepNext/>
        <w:spacing w:after="100" w:before="280"/>
      </w:pPr>
      <w:r>
        <w:rPr>
          <w:rFonts w:ascii="Calibri" w:cs="Calibri" w:eastAsia="Calibri" w:hAnsi="Calibri"/>
          <w:b/>
          <w:bCs/>
          <w:color w:val="1250A8"/>
          <w:sz w:val="26"/>
          <w:szCs w:val="26"/>
        </w:rPr>
        <w:t xml:space="preserve">F-02  Personal email address in public git history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FDE3B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6B4200"/>
                <w:sz w:val="20"/>
                <w:szCs w:val="20"/>
              </w:rPr>
              <w:t xml:space="preserve">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Privacy / A01 Broken Access Control (data exposure)</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CWE-359</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High / 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git log, all 4 commits (author and committer fields)</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Every commit records the real address citmohanraj@gmail.com as author and committer. The GitHub repository mohansg88/kanban6 is public, so the address is visible to anyone who views the commit history or appends .patch to a commit URL.</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Exposes a personal email address to harvesting, spam and phishing. Removing it from history needs a history rewrite and a force-push, and cached copies may remain.</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git log --format='%an &lt;%ae&gt;' returns one author, mohansg88 &lt;citmohanraj@gmail.com&gt;, for all 4 commits. gh repo view reports visibility PUBLIC.</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Set a GitHub noreply address for future commits (git config user.email &lt;id&gt;+mohansg88@users.noreply.github.com) and enable 'Block command line pushes that expose my email' in GitHub settings. Rewrite history only if the owner decides the exposure matters, because that needs a force-push.</w:t>
      </w:r>
    </w:p>
    <w:p>
      <w:pPr>
        <w:pStyle w:val="Heading2"/>
        <w:keepNext/>
        <w:spacing w:after="100" w:before="280"/>
      </w:pPr>
      <w:r>
        <w:rPr>
          <w:rFonts w:ascii="Calibri" w:cs="Calibri" w:eastAsia="Calibri" w:hAnsi="Calibri"/>
          <w:b/>
          <w:bCs/>
          <w:color w:val="1250A8"/>
          <w:sz w:val="26"/>
          <w:szCs w:val="26"/>
        </w:rPr>
        <w:t xml:space="preserve">F-03  No Content-Security-Policy on the published page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A05 Security Misconfiguration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CWE-693</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Low / 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index.html &lt;head&gt; (no CSP meta tag)</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The page declares no Content-Security-Policy. All 17 innerHTML sinks are escaped today, so no injection path was found, but a CSP would limit the damage if a future change introduced one. GitHub Pages cannot send response headers, so a meta tag is the only option, and it cannot set frame-ancestors. Clickjacking protection is therefore not available on this host.</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Defence in depth only. A future unescaped string could run script or send data to any host.</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grep for Content-Security-Policy in index.html returns no match.</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Add a meta CSP such as: default-src 'none'; script-src 'unsafe-inline'; style-src 'unsafe-inline'; img-src data:; connect-src https://formsubmit.co; base-uri 'none'; form-action 'none'. Test the board, charts and Add task dialog afterwards.</w:t>
      </w:r>
    </w:p>
    <w:p>
      <w:pPr>
        <w:pStyle w:val="Heading2"/>
        <w:keepNext/>
        <w:spacing w:after="100" w:before="280"/>
      </w:pPr>
      <w:r>
        <w:rPr>
          <w:rFonts w:ascii="Calibri" w:cs="Calibri" w:eastAsia="Calibri" w:hAnsi="Calibri"/>
          <w:b/>
          <w:bCs/>
          <w:color w:val="1250A8"/>
          <w:sz w:val="26"/>
          <w:szCs w:val="26"/>
        </w:rPr>
        <w:t xml:space="preserve">F-04  Real email address would become public once FormSubmit is configured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Privacy / A05 Security Misconfiguration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CWE-200</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Medium / 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Latent</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index.html:446 (FORMSUBMIT_ENDPOINT)</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The endpoint currently holds the placeholder YOUR_EMAIL@example.com, so nothing is exposed today. FormSubmit's plain endpoint embeds the recipient address in the URL. Anyone who sets the real address in this constant and pushes to the public repo or the Pages site publishes it in the page source and in git history.</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Exposes the notification mailbox to scraping and to anyone who can submit forms to it.</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const FORMSUBMIT_ENDPOINT = "https://formsubmit.co/ajax/YOUR_EMAIL@example.com";</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When enabling notifications, use FormSubmit's random-alias endpoint rather than the plain address, and keep the real address out of the repository.</w:t>
      </w:r>
    </w:p>
    <w:p>
      <w:pPr>
        <w:pStyle w:val="Heading2"/>
        <w:keepNext/>
        <w:spacing w:after="100" w:before="280"/>
      </w:pPr>
      <w:r>
        <w:rPr>
          <w:rFonts w:ascii="Calibri" w:cs="Calibri" w:eastAsia="Calibri" w:hAnsi="Calibri"/>
          <w:b/>
          <w:bCs/>
          <w:color w:val="1250A8"/>
          <w:sz w:val="26"/>
          <w:szCs w:val="26"/>
        </w:rPr>
        <w:t xml:space="preserve">F-05  Unpinned MCP package fetched and run without a prompt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A08 Software and Data Integrity Failures</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CWE-1357</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Low / 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.mcp.json:8 (untracked, not pushed)</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The Playwright MCP server is started with npx -y @playwright/mcp@latest. Each launch downloads and runs whatever the newest published version is, with the user's privileges.</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A compromised or malicious release would run on the developer's machine on next start. The file is untracked, so the risk is local, not to site visitors.</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"args": ["/c", "npx", "-y", "@playwright/mcp@latest"]</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Pin an exact version in .mcp.json. Keep the file out of the public repository, since it is developer tooling.</w:t>
      </w:r>
    </w:p>
    <w:p>
      <w:pPr>
        <w:pStyle w:val="Heading2"/>
        <w:keepNext/>
        <w:spacing w:after="100" w:before="280"/>
      </w:pPr>
      <w:r>
        <w:rPr>
          <w:rFonts w:ascii="Calibri" w:cs="Calibri" w:eastAsia="Calibri" w:hAnsi="Calibri"/>
          <w:b/>
          <w:bCs/>
          <w:color w:val="1250A8"/>
          <w:sz w:val="26"/>
          <w:szCs w:val="26"/>
        </w:rPr>
        <w:t xml:space="preserve">F-06  GitHub Actions pinned to version tags, not commit SHAs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A08 Software and Data Integrity Failures</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CWE-829</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Low / Medium</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.github/workflows/pages.yml (checkout@v7, configure-pages@v6, upload-pages-artifact@v5, deploy-pages@v5)</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All four actions are official GitHub actions pinned to major version tags. The versions are current (latest releases: checkout v7.0.1, configure-pages v6.0.0, upload-pages-artifact v5.0.0, deploy-pages v5.0.1). A tag can be moved, so a pinned SHA is the stronger control. The workflow itself is otherwise sound: minimal permissions, no secrets, no pull_request_target, and only index.html is staged for upload.</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Low. Requires a compromise of an official GitHub-owned action. Pages deploy permissions (pages: write, id-token: write) would be available to it.</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uses: actions/checkout@v7 and three more tag-pinned references.</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Pin each action to its full commit SHA with the version in a comment, and let Dependabot propose updates.</w:t>
      </w:r>
    </w:p>
    <w:p>
      <w:pPr>
        <w:pStyle w:val="Heading2"/>
        <w:keepNext/>
        <w:spacing w:after="100" w:before="280"/>
      </w:pPr>
      <w:r>
        <w:rPr>
          <w:rFonts w:ascii="Calibri" w:cs="Calibri" w:eastAsia="Calibri" w:hAnsi="Calibri"/>
          <w:b/>
          <w:bCs/>
          <w:color w:val="1250A8"/>
          <w:sz w:val="26"/>
          <w:szCs w:val="26"/>
        </w:rPr>
        <w:t xml:space="preserve">F-07  Priority value placed in class attributes without escapeHtml()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DCE9FB"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0F3F85"/>
                <w:sz w:val="20"/>
                <w:szCs w:val="20"/>
              </w:rPr>
              <w:t xml:space="preserve">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A03 Injection (defence in depth)</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CWE-79</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Low / 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Open</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index.html:581, 591, 833</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task.priority.toLowerCase() is written into class attributes without escapeHtml(). It is not exploitable today, because validate() only accepts values from the PRIORITIES allowlist and seed data uses constants. It breaks the project rule that every string goes through escapeHtml(), and would become exploitable if the allowlist check were ever relaxed.</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None today. Removes a latent injection path.</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&lt;article class="card p-${task.priority.toLowerCase()}" ...&gt;</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Wrap the three expressions in escapeHtml(), or map priority to a class through a fixed lookup table.</w:t>
      </w:r>
    </w:p>
    <w:p>
      <w:pPr>
        <w:pStyle w:val="Heading2"/>
        <w:keepNext/>
        <w:spacing w:after="100" w:before="280"/>
      </w:pPr>
      <w:r>
        <w:rPr>
          <w:rFonts w:ascii="Calibri" w:cs="Calibri" w:eastAsia="Calibri" w:hAnsi="Calibri"/>
          <w:b/>
          <w:bCs/>
          <w:color w:val="1250A8"/>
          <w:sz w:val="26"/>
          <w:szCs w:val="26"/>
        </w:rPr>
        <w:t xml:space="preserve">F-08  Task details are sent to a third-party service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E8EBF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3C4658"/>
                <w:sz w:val="20"/>
                <w:szCs w:val="20"/>
              </w:rPr>
              <w:t xml:space="preserve">Info</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Privacy</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CWE-359</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Not applicable / 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Informational</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index.html:959 (notifyNewTask)</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When a task is added, its title, description, project, category, assignee, priority, due date and status are posted to FormSubmit. This is the intended and only network call, and it is wrapped in try/catch so a failure never breaks the board. Users could enter real names or confidential text without realising it leaves the browser.</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Disclosure and expectation issue only.</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fetch(FORMSUBMIT_ENDPOINT, { method: "POST", ... JSON.stringify({ Title, Description, Assignee, ... }) })</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State in the README (and optionally in the Add task dialog) that new tasks are emailed through FormSubmit and that real or confidential data should not be entered in the demo.</w:t>
      </w:r>
    </w:p>
    <w:p>
      <w:pPr>
        <w:pStyle w:val="Heading2"/>
        <w:keepNext/>
        <w:spacing w:after="100" w:before="280"/>
      </w:pPr>
      <w:r>
        <w:rPr>
          <w:rFonts w:ascii="Calibri" w:cs="Calibri" w:eastAsia="Calibri" w:hAnsi="Calibri"/>
          <w:b/>
          <w:bCs/>
          <w:color w:val="1250A8"/>
          <w:sz w:val="26"/>
          <w:szCs w:val="26"/>
        </w:rPr>
        <w:t xml:space="preserve">F-09  Large third-party skill folder would be published if committed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Severity</w:t>
            </w:r>
          </w:p>
        </w:tc>
        <w:tc>
          <w:tcPr>
            <w:tcW w:type="dxa" w:w="7212"/>
            <w:tcBorders>
              <w:top w:val="single" w:color="D6DEEA" w:sz="4"/>
              <w:left w:val="single" w:color="D6DEEA" w:sz="4"/>
              <w:bottom w:val="single" w:color="D6DEEA" w:sz="4"/>
              <w:right w:val="single" w:color="D6DEEA" w:sz="4"/>
            </w:tcBorders>
            <w:shd w:fill="E8EBF0" w:color="auto" w:val="clear"/>
            <w:tcMar>
              <w:top w:type="dxa" w:w="70"/>
              <w:left w:type="dxa" w:w="110"/>
              <w:bottom w:type="dxa" w:w="70"/>
              <w:right w:type="dxa" w:w="110"/>
            </w:tcMar>
            <w:vAlign w:val="center"/>
          </w:tcPr>
          <w:p>
            <w:pPr>
              <w:spacing w:after="40" w:line="252"/>
              <w:jc w:val="center"/>
            </w:pPr>
            <w:r>
              <w:rPr>
                <w:rFonts w:ascii="Calibri" w:cs="Calibri" w:eastAsia="Calibri" w:hAnsi="Calibri"/>
                <w:b/>
                <w:bCs/>
                <w:color w:val="3C4658"/>
                <w:sz w:val="20"/>
                <w:szCs w:val="20"/>
              </w:rPr>
              <w:t xml:space="preserve">Info</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Category</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Repository hygiene</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CWE</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Not applicable</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Likelihood / impact</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Low / Low</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Status</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Informational</w:t>
            </w:r>
          </w:p>
        </w:tc>
      </w:tr>
      <w:tr>
        <w:trPr>
          <w:cantSplit/>
        </w:trPr>
        <w:tc>
          <w:tcPr>
            <w:tcW w:type="dxa" w:w="2200"/>
            <w:tcBorders>
              <w:top w:val="single" w:color="D6DEEA" w:sz="4"/>
              <w:left w:val="single" w:color="D6DEEA" w:sz="4"/>
              <w:bottom w:val="single" w:color="D6DEEA" w:sz="4"/>
              <w:right w:val="single" w:color="D6DEEA" w:sz="4"/>
            </w:tcBorders>
            <w:shd w:fill="EEF2F8" w:color="auto" w:val="clear"/>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Location</w:t>
            </w:r>
          </w:p>
        </w:tc>
        <w:tc>
          <w:tcPr>
            <w:tcW w:type="dxa" w:w="72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.claude/ (about 90 untracked files)</w:t>
            </w:r>
          </w:p>
        </w:tc>
      </w:tr>
    </w:tbl>
    <w:p>
      <w:pPr>
        <w:spacing w:after="80"/>
      </w:pPr>
    </w:p>
    <w:p>
      <w:pPr>
        <w:spacing w:after="120" w:before="0" w:line="276"/>
      </w:pPr>
      <w:r>
        <w:rPr>
          <w:rFonts w:ascii="Calibri" w:cs="Calibri" w:eastAsia="Calibri" w:hAnsi="Calibri"/>
          <w:b/>
          <w:bCs/>
          <w:color w:val="0F1B33"/>
          <w:sz w:val="22"/>
          <w:szCs w:val="22"/>
        </w:rPr>
        <w:t xml:space="preserve">Description. </w:t>
      </w:r>
      <w:r>
        <w:rPr>
          <w:rFonts w:ascii="Calibri" w:cs="Calibri" w:eastAsia="Calibri" w:hAnsi="Calibri"/>
          <w:color w:val="0F1B33"/>
          <w:sz w:val="22"/>
          <w:szCs w:val="22"/>
        </w:rPr>
        <w:t xml:space="preserve">The .claude folder holds the project agent, a command and two skills, including about 75 data and test files from ui-ux-pro-max. None are tracked. No secret patterns were found in them, and .claude/settings.local.json is correctly gitignored. Committing the folder would publish all of it and add third-party content to the repository.</w:t>
      </w:r>
    </w:p>
    <w:p>
      <w:pPr>
        <w:spacing w:after="120" w:before="0" w:line="276"/>
      </w:pPr>
      <w:r>
        <w:rPr>
          <w:rFonts w:ascii="Calibri" w:cs="Calibri" w:eastAsia="Calibri" w:hAnsi="Calibri"/>
          <w:b/>
          <w:bCs/>
          <w:color w:val="0F1B33"/>
          <w:sz w:val="22"/>
          <w:szCs w:val="22"/>
        </w:rPr>
        <w:t xml:space="preserve">Impact. </w:t>
      </w:r>
      <w:r>
        <w:rPr>
          <w:rFonts w:ascii="Calibri" w:cs="Calibri" w:eastAsia="Calibri" w:hAnsi="Calibri"/>
          <w:color w:val="0F1B33"/>
          <w:sz w:val="22"/>
          <w:szCs w:val="22"/>
        </w:rPr>
        <w:t xml:space="preserve">Repository size and provenance only.</w:t>
      </w:r>
    </w:p>
    <w:p>
      <w:pPr>
        <w:spacing w:after="120" w:before="0" w:line="276"/>
      </w:pPr>
      <w:r>
        <w:rPr>
          <w:rFonts w:ascii="Calibri" w:cs="Calibri" w:eastAsia="Calibri" w:hAnsi="Calibri"/>
          <w:b/>
          <w:bCs/>
          <w:color w:val="0F1B33"/>
          <w:sz w:val="22"/>
          <w:szCs w:val="22"/>
        </w:rPr>
        <w:t xml:space="preserve">Evidence. </w:t>
      </w:r>
      <w:r>
        <w:rPr>
          <w:rFonts w:ascii="Consolas" w:cs="Consolas" w:eastAsia="Consolas" w:hAnsi="Consolas"/>
          <w:color w:val="0F1B33"/>
          <w:sz w:val="19"/>
          <w:szCs w:val="19"/>
        </w:rPr>
        <w:t xml:space="preserve">git status lists .claude/ as untracked; .gitignore excludes only .claude/settings.local.json.</w:t>
      </w:r>
    </w:p>
    <w:p>
      <w:pPr>
        <w:spacing w:after="160" w:before="0" w:line="276"/>
      </w:pPr>
      <w:r>
        <w:rPr>
          <w:rFonts w:ascii="Calibri" w:cs="Calibri" w:eastAsia="Calibri" w:hAnsi="Calibri"/>
          <w:b/>
          <w:bCs/>
          <w:color w:val="0F1B33"/>
          <w:sz w:val="22"/>
          <w:szCs w:val="22"/>
        </w:rPr>
        <w:t xml:space="preserve">Recommendation. </w:t>
      </w:r>
      <w:r>
        <w:rPr>
          <w:rFonts w:ascii="Calibri" w:cs="Calibri" w:eastAsia="Calibri" w:hAnsi="Calibri"/>
          <w:color w:val="0F1B33"/>
          <w:sz w:val="22"/>
          <w:szCs w:val="22"/>
        </w:rPr>
        <w:t xml:space="preserve">Commit only .claude/agents and .claude/commands if they should be shared, and add .claude/skills/ to .gitignore.</w:t>
      </w:r>
    </w:p>
    <w:p>
      <w:pPr>
        <w:pStyle w:val="Heading1"/>
        <w:keepNext/>
        <w:spacing w:after="160" w:before="360"/>
      </w:pPr>
      <w:r>
        <w:rPr>
          <w:rFonts w:ascii="Calibri" w:cs="Calibri" w:eastAsia="Calibri" w:hAnsi="Calibri"/>
          <w:b/>
          <w:bCs/>
          <w:color w:val="0A1F44"/>
          <w:sz w:val="32"/>
          <w:szCs w:val="32"/>
        </w:rPr>
        <w:t xml:space="preserve">5. Controls verified</w:t>
      </w:r>
    </w:p>
    <w:p>
      <w:pPr>
        <w:spacing w:after="120" w:before="0" w:line="276"/>
      </w:pPr>
      <w:r>
        <w:rPr>
          <w:rFonts w:ascii="Calibri" w:cs="Calibri" w:eastAsia="Calibri" w:hAnsi="Calibri"/>
          <w:color w:val="0F1B33"/>
          <w:sz w:val="22"/>
          <w:szCs w:val="22"/>
        </w:rPr>
        <w:t xml:space="preserve">These checks were run and found no issue. They show what the review covered, not only what it flagged.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5712"/>
        <w:gridCol w:w="1400"/>
      </w:tblGrid>
      <w:tr>
        <w:trPr>
          <w:cantSplit/>
          <w:tblHeader/>
        </w:trPr>
        <w:tc>
          <w:tcPr>
            <w:tcW w:type="dxa" w:w="23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Area</w:t>
            </w:r>
          </w:p>
        </w:tc>
        <w:tc>
          <w:tcPr>
            <w:tcW w:type="dxa" w:w="5712"/>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What was checked</w:t>
            </w:r>
          </w:p>
        </w:tc>
        <w:tc>
          <w:tcPr>
            <w:tcW w:type="dxa" w:w="14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Result</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Secrets and credentials</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 ghp_, github_pat_, AKIA, sk-, xox tokens or private keys in the working tree or in git history. No .env files and no credentials in URLs.</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Personal data in content</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The only email-like string in published content is the placeholder in the FormSubmit constant. No phone numbers. (Author metadata is covered by F-02.)</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Output escaping</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escapeHtml() covers &amp; &lt; &gt; " '. All 17 innerHTML sinks were traced, including cards, columns, charts, legend, details table and data-tip attributes. User strings are escaped; numbers are not user text.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Dangerous APIs</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 eval, new Function, document.write, string-based setTimeout, javascript: URLs or inline on* handlers.</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Safe text sinks</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The tooltip and the toasts use textContent.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External resources</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 external scripts, stylesheets, fonts, images or CDN hosts, and no @import.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Client-side storage</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 localStorage, sessionStorage, IndexedDB or cookies.</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Network egress</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The only network call is the FormSubmit fetch. No XMLHttpRequest, WebSocket or sendBeacon.</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Project rules</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No !important and no alert(), confirm() or prompt(). Delete confirmation is inline.</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Input validation</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validate() enforces allowlists for project, category, priority and status, length limits on text, and a no-past-dates rule.</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Deployment workflow</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Minimal permissions, no secrets, no pull_request_target, concurrency set, and only a staged _site/index.html is uploaded. Action versions confirmed current.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 with note (F-06)</w:t>
            </w:r>
          </w:p>
        </w:tc>
      </w:tr>
      <w:tr>
        <w:trPr>
          <w:cantSplit/>
        </w:trPr>
        <w:tc>
          <w:tcPr>
            <w:tcW w:type="dxa" w:w="23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b/>
                <w:bCs/>
                <w:color w:val="0F1B33"/>
                <w:sz w:val="20"/>
                <w:szCs w:val="20"/>
              </w:rPr>
              <w:t xml:space="preserve">Git hygiene</w:t>
            </w:r>
          </w:p>
        </w:tc>
        <w:tc>
          <w:tcPr>
            <w:tcW w:type="dxa" w:w="57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.gitignore covers .idea, .vscode, settings.local.json, node_modules, logs, OS files and _site. No large binaries are tracked.</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Pass</w:t>
            </w:r>
          </w:p>
        </w:tc>
      </w:tr>
    </w:tbl>
    <w:p>
      <w:pPr>
        <w:pStyle w:val="Heading1"/>
        <w:keepNext/>
        <w:spacing w:after="160" w:before="360"/>
      </w:pPr>
      <w:r>
        <w:rPr>
          <w:rFonts w:ascii="Calibri" w:cs="Calibri" w:eastAsia="Calibri" w:hAnsi="Calibri"/>
          <w:b/>
          <w:bCs/>
          <w:color w:val="0A1F44"/>
          <w:sz w:val="32"/>
          <w:szCs w:val="32"/>
        </w:rPr>
        <w:t xml:space="preserve">6. Remediation roadmap</w:t>
      </w:r>
    </w:p>
    <w:p>
      <w:pPr>
        <w:spacing w:after="120" w:before="0" w:line="276"/>
      </w:pPr>
      <w:r>
        <w:rPr>
          <w:rFonts w:ascii="Calibri" w:cs="Calibri" w:eastAsia="Calibri" w:hAnsi="Calibri"/>
          <w:color w:val="0F1B33"/>
          <w:sz w:val="22"/>
          <w:szCs w:val="22"/>
        </w:rPr>
        <w:t xml:space="preserve">Ordered by priority. Items 1 and 2 close the two live Medium findings.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00"/>
        <w:gridCol w:w="5412"/>
        <w:gridCol w:w="1400"/>
        <w:gridCol w:w="1800"/>
      </w:tblGrid>
      <w:tr>
        <w:trPr>
          <w:cantSplit/>
          <w:tblHeader/>
        </w:trPr>
        <w:tc>
          <w:tcPr>
            <w:tcW w:type="dxa" w:w="8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Order</w:t>
            </w:r>
          </w:p>
        </w:tc>
        <w:tc>
          <w:tcPr>
            <w:tcW w:type="dxa" w:w="5412"/>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Action</w:t>
            </w:r>
          </w:p>
        </w:tc>
        <w:tc>
          <w:tcPr>
            <w:tcW w:type="dxa" w:w="14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Findings</w:t>
            </w:r>
          </w:p>
        </w:tc>
        <w:tc>
          <w:tcPr>
            <w:tcW w:type="dxa" w:w="1800"/>
            <w:tcBorders>
              <w:top w:val="single" w:color="D6DEEA" w:sz="4"/>
              <w:left w:val="single" w:color="D6DEEA" w:sz="4"/>
              <w:bottom w:val="single" w:color="D6DEEA" w:sz="4"/>
              <w:right w:val="single" w:color="D6DEEA" w:sz="4"/>
            </w:tcBorders>
            <w:shd w:fill="0A1F44" w:color="auto" w:val="clear"/>
            <w:tcMar>
              <w:top w:type="dxa" w:w="70"/>
              <w:left w:type="dxa" w:w="110"/>
              <w:bottom w:type="dxa" w:w="70"/>
              <w:right w:type="dxa" w:w="110"/>
            </w:tcMar>
          </w:tcPr>
          <w:p>
            <w:pPr>
              <w:spacing w:after="40" w:line="252"/>
            </w:pPr>
            <w:r>
              <w:rPr>
                <w:rFonts w:ascii="Calibri" w:cs="Calibri" w:eastAsia="Calibri" w:hAnsi="Calibri"/>
                <w:b/>
                <w:bCs/>
                <w:color w:val="FFFFFF"/>
                <w:sz w:val="20"/>
                <w:szCs w:val="20"/>
              </w:rPr>
              <w:t xml:space="preserve">Effort</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1</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Rename the task ID prefix to a neutral one, retake screenshots, republish Pages and the artifact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F-01</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2</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Use the GitHub noreply address for future commits and enable the email-privacy push block; decide whether to rewrite history</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F-02</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 (rewrite: medium)</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3</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Add a meta Content-Security-Policy and retest the page</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F-03</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4</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Wrap the three priority class expressions in escapeHtml()</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F-07</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5</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Document FormSubmit data sharing; plan to use the random-alias endpoint when enabling it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F-04, F-08</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6</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Pin the Playwright MCP version; keep .mcp.json out of the repo</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F-05</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7</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Pin workflow actions to commit SHAs and enable Dependabot</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F-06</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r>
        <w:trPr>
          <w:cantSplit/>
        </w:trPr>
        <w:tc>
          <w:tcPr>
            <w:tcW w:type="dxa" w:w="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8</w:t>
            </w:r>
          </w:p>
        </w:tc>
        <w:tc>
          <w:tcPr>
            <w:tcW w:type="dxa" w:w="5412"/>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Gitignore .claude/skills/ and commit only the agent and command files</w:t>
            </w:r>
          </w:p>
        </w:tc>
        <w:tc>
          <w:tcPr>
            <w:tcW w:type="dxa" w:w="14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F-09</w:t>
            </w:r>
          </w:p>
        </w:tc>
        <w:tc>
          <w:tcPr>
            <w:tcW w:type="dxa" w:w="1800"/>
            <w:tcBorders>
              <w:top w:val="single" w:color="D6DEEA" w:sz="4"/>
              <w:left w:val="single" w:color="D6DEEA" w:sz="4"/>
              <w:bottom w:val="single" w:color="D6DEEA" w:sz="4"/>
              <w:right w:val="single" w:color="D6DEEA" w:sz="4"/>
            </w:tcBorders>
            <w:tcMar>
              <w:top w:type="dxa" w:w="70"/>
              <w:left w:type="dxa" w:w="110"/>
              <w:bottom w:type="dxa" w:w="70"/>
              <w:right w:type="dxa" w:w="110"/>
            </w:tcMar>
          </w:tcPr>
          <w:p>
            <w:pPr>
              <w:spacing w:after="40" w:line="252"/>
            </w:pPr>
            <w:r>
              <w:rPr>
                <w:rFonts w:ascii="Calibri" w:cs="Calibri" w:eastAsia="Calibri" w:hAnsi="Calibri"/>
                <w:color w:val="0F1B33"/>
                <w:sz w:val="20"/>
                <w:szCs w:val="20"/>
              </w:rPr>
              <w:t xml:space="preserve">Small</w:t>
            </w:r>
          </w:p>
        </w:tc>
      </w:tr>
    </w:tbl>
    <w:p>
      <w:pPr>
        <w:pStyle w:val="Heading1"/>
        <w:keepNext/>
        <w:spacing w:after="160" w:before="360"/>
      </w:pPr>
      <w:r>
        <w:rPr>
          <w:rFonts w:ascii="Calibri" w:cs="Calibri" w:eastAsia="Calibri" w:hAnsi="Calibri"/>
          <w:b/>
          <w:bCs/>
          <w:color w:val="0A1F44"/>
          <w:sz w:val="32"/>
          <w:szCs w:val="32"/>
        </w:rPr>
        <w:t xml:space="preserve">7. Limitations</w:t>
      </w:r>
    </w:p>
    <w:p>
      <w:pPr>
        <w:pStyle w:val="ListParagraph"/>
        <w:numPr>
          <w:ilvl w:val="0"/>
          <w:numId w:val="2"/>
        </w:numPr>
        <w:spacing w:after="60" w:line="276"/>
      </w:pPr>
      <w:r>
        <w:rPr>
          <w:rFonts w:ascii="Calibri" w:cs="Calibri" w:eastAsia="Calibri" w:hAnsi="Calibri"/>
          <w:color w:val="0F1B33"/>
          <w:sz w:val="22"/>
          <w:szCs w:val="22"/>
        </w:rPr>
        <w:t xml:space="preserve">This is a static review. The running site was not probed, and no browser testing of the Content-Security-Policy recommendation was done.</w:t>
      </w:r>
    </w:p>
    <w:p>
      <w:pPr>
        <w:pStyle w:val="ListParagraph"/>
        <w:numPr>
          <w:ilvl w:val="0"/>
          <w:numId w:val="2"/>
        </w:numPr>
        <w:spacing w:after="60" w:line="276"/>
      </w:pPr>
      <w:r>
        <w:rPr>
          <w:rFonts w:ascii="Calibri" w:cs="Calibri" w:eastAsia="Calibri" w:hAnsi="Calibri"/>
          <w:color w:val="0F1B33"/>
          <w:sz w:val="22"/>
          <w:szCs w:val="22"/>
        </w:rPr>
        <w:t xml:space="preserve">The review covers the repository state on 14 October 2026. Uncommitted changes (index.html, CLAUDE.md, the .claude folder, the newest screenshot) were included, so the published copy may differ.</w:t>
      </w:r>
    </w:p>
    <w:p>
      <w:pPr>
        <w:pStyle w:val="ListParagraph"/>
        <w:numPr>
          <w:ilvl w:val="0"/>
          <w:numId w:val="2"/>
        </w:numPr>
        <w:spacing w:after="60" w:line="276"/>
      </w:pPr>
      <w:r>
        <w:rPr>
          <w:rFonts w:ascii="Calibri" w:cs="Calibri" w:eastAsia="Calibri" w:hAnsi="Calibri"/>
          <w:color w:val="0F1B33"/>
          <w:sz w:val="22"/>
          <w:szCs w:val="22"/>
        </w:rPr>
        <w:t xml:space="preserve">The screenshots were not inspected for personal data. They show only the fictitious seed tasks.</w:t>
      </w:r>
    </w:p>
    <w:p>
      <w:pPr>
        <w:pStyle w:val="ListParagraph"/>
        <w:numPr>
          <w:ilvl w:val="0"/>
          <w:numId w:val="2"/>
        </w:numPr>
        <w:spacing w:after="60" w:line="276"/>
      </w:pPr>
      <w:r>
        <w:rPr>
          <w:rFonts w:ascii="Calibri" w:cs="Calibri" w:eastAsia="Calibri" w:hAnsi="Calibri"/>
          <w:color w:val="0F1B33"/>
          <w:sz w:val="22"/>
          <w:szCs w:val="22"/>
        </w:rPr>
        <w:t xml:space="preserve">Findings are the reviewer's judgement against the project's stated constraints. Severity reflects this demo's context and would be higher for a production system holding real data.</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2708A"/>
        <w:sz w:val="18"/>
        <w:szCs w:val="18"/>
      </w:rPr>
      <w:t xml:space="preserve">Page </w:t>
    </w:r>
    <w:r>
      <w:rPr>
        <w:rFonts w:ascii="Calibri" w:cs="Calibri" w:eastAsia="Calibri" w:hAnsi="Calibri"/>
        <w:color w:val="62708A"/>
        <w:sz w:val="18"/>
        <w:szCs w:val="18"/>
      </w:rPr>
      <w:fldChar w:fldCharType="begin"/>
      <w:instrText xml:space="preserve">PAGE</w:instrText>
      <w:fldChar w:fldCharType="separate"/>
      <w:fldChar w:fldCharType="end"/>
    </w:r>
    <w:r>
      <w:rPr>
        <w:rFonts w:ascii="Calibri" w:cs="Calibri" w:eastAsia="Calibri" w:hAnsi="Calibri"/>
        <w:color w:val="62708A"/>
        <w:sz w:val="18"/>
        <w:szCs w:val="18"/>
      </w:rPr>
      <w:t xml:space="preserve"> of </w:t>
    </w:r>
    <w:r>
      <w:rPr>
        <w:rFonts w:ascii="Calibri" w:cs="Calibri" w:eastAsia="Calibri" w:hAnsi="Calibri"/>
        <w:color w:val="6270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A" w:sz="4" w:space="4"/>
      </w:pBdr>
    </w:pPr>
    <w:r>
      <w:rPr>
        <w:rFonts w:ascii="Calibri" w:cs="Calibri" w:eastAsia="Calibri" w:hAnsi="Calibri"/>
        <w:color w:val="62708A"/>
        <w:sz w:val="18"/>
        <w:szCs w:val="18"/>
      </w:rPr>
      <w:t xml:space="preserve">IT PMO Kanban Demo  |  Cyber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A1F44"/>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250A8"/>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A1F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PMO Kanban Board Demo - Cyber Security Assessment Report</dc:title>
  <dc:creator>Claude Code</dc:creator>
  <cp:lastModifiedBy>Un-named</cp:lastModifiedBy>
  <cp:revision>1</cp:revision>
  <dcterms:created xsi:type="dcterms:W3CDTF">2026-10-14T07:53:38.725Z</dcterms:created>
  <dcterms:modified xsi:type="dcterms:W3CDTF">2026-10-14T07:53:38.725Z</dcterms:modified>
</cp:coreProperties>
</file>

<file path=docProps/custom.xml><?xml version="1.0" encoding="utf-8"?>
<Properties xmlns="http://schemas.openxmlformats.org/officeDocument/2006/custom-properties" xmlns:vt="http://schemas.openxmlformats.org/officeDocument/2006/docPropsVTypes"/>
</file>