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Geldium Delinquency Risk Insights &amp; Recommendations Report</w:t>
      </w:r>
    </w:p>
    <w:p>
      <w:pPr>
        <w:pStyle w:val="Heading1"/>
      </w:pPr>
      <w:r>
        <w:t>1. Summary of Predictive Insights</w:t>
      </w:r>
    </w:p>
    <w:p>
      <w:r>
        <w:t>Based on exploratory data analysis (EDA) and predictive modeling, the following key patterns were identified:</w:t>
      </w:r>
    </w:p>
    <w:p>
      <w:r>
        <w:t>- Customers with low credit scores (below 600), high credit utilization (above 80%), and multiple missed payments are at the highest risk of delinquency.</w:t>
      </w:r>
    </w:p>
    <w:p>
      <w:r>
        <w:t>- Delinquency is more frequent among younger customers with lower income and shorter account tenure.</w:t>
      </w:r>
    </w:p>
    <w:p>
      <w:r>
        <w:t>- Variables with the strongest predictive power include Credit_Score, Credit_Utilization, Missed_Payments, Income, and Debt_to_Income_Ratio.</w:t>
      </w:r>
    </w:p>
    <w:p>
      <w:pPr>
        <w:pStyle w:val="ListBullet"/>
      </w:pPr>
      <w:r>
        <w:t>Top 3 Risk Factors:</w:t>
      </w:r>
    </w:p>
    <w:p>
      <w:pPr>
        <w:pStyle w:val="ListBullet2"/>
      </w:pPr>
      <w:r>
        <w:t>• Credit Utilization &gt; 80%</w:t>
      </w:r>
    </w:p>
    <w:p>
      <w:pPr>
        <w:pStyle w:val="ListBullet2"/>
      </w:pPr>
      <w:r>
        <w:t>• Credit Score &lt; 600</w:t>
      </w:r>
    </w:p>
    <w:p>
      <w:pPr>
        <w:pStyle w:val="ListBullet2"/>
      </w:pPr>
      <w:r>
        <w:t>• Missed Payments ≥ 2</w:t>
      </w:r>
    </w:p>
    <w:p>
      <w:pPr>
        <w:pStyle w:val="Heading1"/>
      </w:pPr>
      <w:r>
        <w:t>2. Recommendation Framework</w:t>
      </w:r>
    </w:p>
    <w:p>
      <w:r>
        <w:t>Based on the insight that high credit utilization is a top driver of delinquency risk, we propose the following SMART recommendation:</w:t>
      </w:r>
    </w:p>
    <w:p>
      <w:r>
        <w:t>SMART Goal:</w:t>
      </w:r>
    </w:p>
    <w:p>
      <w:r>
        <w:t>Implement a proactive communication program targeting customers with credit utilization above 80% to offer personalized payment plan options, aiming to reduce delinquency in this segment by 15% over the next 6 months.</w:t>
      </w:r>
    </w:p>
    <w:p>
      <w:r>
        <w:t>Rationale:</w:t>
      </w:r>
    </w:p>
    <w:p>
      <w:r>
        <w:t>This recommendation is actionable, targeted, and aligns with Geldium’s goal of reducing delinquency rates by addressing financial stress early and offering tailored support.</w:t>
      </w:r>
    </w:p>
    <w:p>
      <w:pPr>
        <w:pStyle w:val="Heading1"/>
      </w:pPr>
      <w:r>
        <w:t>3. Ethical and Responsible AI Considerations</w:t>
      </w:r>
    </w:p>
    <w:p>
      <w:pPr>
        <w:pStyle w:val="ListBullet"/>
      </w:pPr>
      <w:r>
        <w:t>Fairness Risks and Mitigations:</w:t>
      </w:r>
    </w:p>
    <w:p>
      <w:pPr>
        <w:pStyle w:val="ListBullet2"/>
      </w:pPr>
      <w:r>
        <w:t>• Income bias: The model may unfairly predict higher risk for lower-income groups. Mitigation: Monitor model performance across income brackets and apply fairness-aware reweighting.</w:t>
      </w:r>
    </w:p>
    <w:p>
      <w:pPr>
        <w:pStyle w:val="ListBullet2"/>
      </w:pPr>
      <w:r>
        <w:t>• Location or employment status bias: Segments with less representation may face prediction errors. Mitigation: Include fairness dashboards and ensure model retraining includes diverse segments.</w:t>
      </w:r>
    </w:p>
    <w:p>
      <w:r>
        <w:t>Model Explainability:</w:t>
      </w:r>
    </w:p>
    <w:p>
      <w:r>
        <w:t>To ensure transparency, all risk predictions will include feature-level explanations using SHAP values. Visual aids and plain language summaries will be shared with non-technical stakeholders to ensure clarity.</w:t>
      </w:r>
    </w:p>
    <w:p>
      <w:r>
        <w:t>Responsible AI Practices:</w:t>
      </w:r>
    </w:p>
    <w:p>
      <w:r>
        <w:t>All decisions flagged as high-impact (e.g., payment denial or escalation) will require human review. The system will be audited quarterly to ensure fairness, accuracy, and compliance with financial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