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cc416246d33bb50483dece9ab6f0052bc3dd4c"/>
    <w:p>
      <w:pPr>
        <w:pStyle w:val="Heading1"/>
      </w:pPr>
      <w:r>
        <w:t xml:space="preserve">Executive memo: was recovery really up 11% month-on-month?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Leadership team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Data Analytics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27 Oct 2026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1 Jan to 8 Aug 2026, 17 source tables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Cs/>
          <w:b/>
        </w:rPr>
        <w:t xml:space="preserve">No. Recovery did not improve.</w:t>
      </w:r>
      <w:r>
        <w:t xml:space="preserve"> </w:t>
      </w:r>
      <w:r>
        <w:t xml:space="preserve">The reported +11% is March (31 days) compared with February (28 days). The calendar adds 10.7 points on its own. Per calendar day, net recovery moved</w:t>
      </w:r>
      <w:r>
        <w:t xml:space="preserve"> </w:t>
      </w:r>
      <w:r>
        <w:rPr>
          <w:bCs/>
          <w:b/>
        </w:rPr>
        <w:t xml:space="preserve">-0.1%</w:t>
      </w:r>
      <w:r>
        <w:t xml:space="preserve"> </w:t>
      </w:r>
      <w:r>
        <w:t xml:space="preserve">(95% CI about -7% to +8%, p = 0.98) and has been flat from January to July at roughly</w:t>
      </w:r>
      <w:r>
        <w:t xml:space="preserve"> </w:t>
      </w:r>
      <w:r>
        <w:rPr>
          <w:bCs/>
          <w:b/>
        </w:rPr>
        <w:t xml:space="preserve">₹55 lakh a day</w:t>
      </w:r>
      <w:r>
        <w:t xml:space="preserve"> </w:t>
      </w:r>
      <w:r>
        <w:t xml:space="preserve">(₹202 Cr annualised). The number is reproduced exactly: summing every SUCCESS payment row by calendar month gives +10.99% for March.</w:t>
      </w:r>
    </w:p>
    <w:bookmarkEnd w:id="20"/>
    <w:bookmarkStart w:id="21" w:name="what-happened"/>
    <w:p>
      <w:pPr>
        <w:pStyle w:val="Heading2"/>
      </w:pPr>
      <w:r>
        <w:t xml:space="preserve">What happened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Reported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Independent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Mar vs Feb recovery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+11.0%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-0.1% per 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(+10.6% before the per-day adjustment)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Contact rate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flat at 19.4-20.5% every month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Recovery per agent-hour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n/a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flat, ~₹15-16k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PTP kept rate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~50%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4.8% verified by actual payments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Duplicate payments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500 replayed rows, ₹3.8 Cr (inflates gross SUCCESS by 2.0%, evenly each month)</w:t>
            </w:r>
          </w:p>
        </w:tc>
      </w:tr>
    </w:tbl>
    <w:p>
      <w:pPr>
        <w:pStyle w:val="BodyText"/>
      </w:pPr>
      <w:r>
        <w:t xml:space="preserve">Cleaning (duplicates, reversals, IST time zones) moves the monthly figures by under 1 point. The calendar effect is the whole story. Three other reporting practices also mislead:</w:t>
      </w:r>
      <w:r>
        <w:t xml:space="preserve"> </w:t>
      </w:r>
      <w:r>
        <w:t xml:space="preserve">“</w:t>
      </w:r>
      <w:r>
        <w:t xml:space="preserve">ACTIVE accounts only</w:t>
      </w:r>
      <w:r>
        <w:t xml:space="preserve">”</w:t>
      </w:r>
      <w:r>
        <w:t xml:space="preserve"> </w:t>
      </w:r>
      <w:r>
        <w:t xml:space="preserve">denominators (75% of payers sit on accounts marked closed/paid/written-off, so the filter drops most of the base); crediting the latest campaign (33% of the time that campaign started after the payment); and PTP status as a proxy for cash.</w:t>
      </w:r>
    </w:p>
    <w:bookmarkEnd w:id="21"/>
    <w:bookmarkStart w:id="22" w:name="X0d388349c2e831d43574cb88dbe538120442961"/>
    <w:p>
      <w:pPr>
        <w:pStyle w:val="Heading2"/>
      </w:pPr>
      <w:r>
        <w:t xml:space="preserve">Why it happened, and what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cause it</w:t>
      </w:r>
    </w:p>
    <w:p>
      <w:pPr>
        <w:pStyle w:val="FirstParagraph"/>
      </w:pPr>
      <w:r>
        <w:t xml:space="preserve">We tested portfolio mix (DPD, loan type, risk segment, vintage), client geography (state; language is not in the data), agent, agent tenure, campaign, channel, vendor, hour of day and attempt number.</w:t>
      </w:r>
      <w:r>
        <w:t xml:space="preserve"> </w:t>
      </w:r>
      <w:r>
        <w:rPr>
          <w:bCs/>
          <w:b/>
        </w:rPr>
        <w:t xml:space="preserve">None is significant after multiple-testing control</w:t>
      </w:r>
      <w:r>
        <w:t xml:space="preserve">; agent-to-agent spread is exactly what chance produces. The targeting-strategy change shows no detectable effect (difference-in-differences -0.04 pp, 95% CI ±0.5 pp). After any outreach, a borrower’s 7-day payment probability (1.6-1.9%) equals the 1.9% of an arbitrary account-day:</w:t>
      </w:r>
      <w:r>
        <w:t xml:space="preserve"> </w:t>
      </w:r>
      <w:r>
        <w:rPr>
          <w:bCs/>
          <w:b/>
        </w:rPr>
        <w:t xml:space="preserve">no channel shows measurable incremental recovery.</w:t>
      </w:r>
    </w:p>
    <w:bookmarkEnd w:id="22"/>
    <w:bookmarkStart w:id="23" w:name="how-confident-are-we"/>
    <w:p>
      <w:pPr>
        <w:pStyle w:val="Heading2"/>
      </w:pPr>
      <w:r>
        <w:t xml:space="preserve">How confident are we</w:t>
      </w:r>
    </w:p>
    <w:p>
      <w:pPr>
        <w:pStyle w:val="FirstParagraph"/>
      </w:pPr>
      <w:r>
        <w:rPr>
          <w:bCs/>
          <w:b/>
        </w:rPr>
        <w:t xml:space="preserve">High (fact):</w:t>
      </w:r>
      <w:r>
        <w:t xml:space="preserve"> </w:t>
      </w:r>
      <w:r>
        <w:t xml:space="preserve">the headline is a calendar and duplication artefact; the data-quality issues listed above.</w:t>
      </w:r>
      <w:r>
        <w:t xml:space="preserve"> </w:t>
      </w:r>
      <w:r>
        <w:rPr>
          <w:bCs/>
          <w:b/>
        </w:rPr>
        <w:t xml:space="preserve">Strong evidence:</w:t>
      </w:r>
      <w:r>
        <w:t xml:space="preserve"> </w:t>
      </w:r>
      <w:r>
        <w:t xml:space="preserve">no mix shift, no driver effect, no targeting effect (these rule out</w:t>
      </w:r>
      <w:r>
        <w:t xml:space="preserve"> </w:t>
      </w:r>
      <w:r>
        <w:rPr>
          <w:iCs/>
          <w:i/>
        </w:rPr>
        <w:t xml:space="preserve">large</w:t>
      </w:r>
      <w:r>
        <w:t xml:space="preserve"> </w:t>
      </w:r>
      <w:r>
        <w:t xml:space="preserve">effects only; the ±0.5 pp interval cannot exclude a +13% relative lift).</w:t>
      </w:r>
      <w:r>
        <w:t xml:space="preserve"> </w:t>
      </w:r>
      <w:r>
        <w:rPr>
          <w:bCs/>
          <w:b/>
        </w:rPr>
        <w:t xml:space="preserve">Hypothesis:</w:t>
      </w:r>
      <w:r>
        <w:t xml:space="preserve"> </w:t>
      </w:r>
      <w:r>
        <w:t xml:space="preserve">tenure (agent dates conflict), vendor timezones, and anything needing language or dated balances, which the data lack.</w:t>
      </w:r>
    </w:p>
    <w:bookmarkEnd w:id="23"/>
    <w:bookmarkStart w:id="24" w:name="what-we-should-do"/>
    <w:p>
      <w:pPr>
        <w:pStyle w:val="Heading2"/>
      </w:pPr>
      <w:r>
        <w:t xml:space="preserve">What we should do</w:t>
      </w:r>
    </w:p>
    <w:p>
      <w:pPr>
        <w:pStyle w:val="FirstParagraph"/>
      </w:pPr>
      <w:r>
        <w:rPr>
          <w:bCs/>
          <w:b/>
        </w:rPr>
        <w:t xml:space="preserve">Invest the ₹10 Cr in better borrower targeting (option 4), released in stages.</w:t>
      </w:r>
      <w:r>
        <w:t xml:space="preserve"> </w:t>
      </w:r>
      <w:r>
        <w:t xml:space="preserve">More agents, telephony, AI voice, WhatsApp and field all buy more touches, and measured value per touch is about zero; 54% of calls already fall outside 08:00-19:00 IST, so more calling would amplify a compliance risk. Targeting is the only option whose cost does not scale with touches, and it builds the missing capability: a randomized holdout that measures incremental recovery.</w:t>
      </w:r>
      <w:r>
        <w:t xml:space="preserve"> </w:t>
      </w:r>
      <w:r>
        <w:t xml:space="preserve">Current features (DPD, risk, balance) have no predictive power for payment (pseudo-R² 0.0003), so the money must buy new signal (bureau/alternative data, best-time and contactability data) and experiment infrastructure.</w:t>
      </w:r>
      <w:r>
        <w:t xml:space="preserve"> </w:t>
      </w:r>
      <w:r>
        <w:rPr>
          <w:bCs/>
          <w:b/>
        </w:rPr>
        <w:t xml:space="preserve">Release ₹1.5 Cr for a 90-day holdout; release ₹8.5 Cr only if measured lift reaches break-even.</w:t>
      </w:r>
    </w:p>
    <w:bookmarkEnd w:id="24"/>
    <w:bookmarkStart w:id="25" w:name="X7f9c940c5b6009a84ccbef9d1c8a07f6686111d"/>
    <w:p>
      <w:pPr>
        <w:pStyle w:val="Heading2"/>
      </w:pPr>
      <w:r>
        <w:t xml:space="preserve">Expected financial impact (assumption-driven, low confidence)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Scenario (lift on ₹202 Cr annual recovery)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Probability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12-month incremental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ROI 12m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ROI 36m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Downside: 0% (what the data show today)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₹0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-100%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Base: +3%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35%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₹6.1 Cr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-39%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+83%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Upside: +8%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15%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₹16.2 Cr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+62%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+386%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Probability-weighted, full ₹10 Cr</w:t>
            </w: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₹4.6 Cr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-54%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+37%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Staged plan (gate at 50%)</w:t>
            </w:r>
          </w:p>
        </w:tc>
        <w:tc>
          <w:tcPr/>
          <w:p>
            <w:pPr>
              <w:pStyle w:val="Compact"/>
              <w:spacing w:after="0" w:before="0"/>
            </w:pP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₹4.6 Cr on ₹5.75 Cr expected spend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-21%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loss capped at ₹1.5 Cr</w:t>
            </w:r>
          </w:p>
        </w:tc>
      </w:tr>
    </w:tbl>
    <w:p>
      <w:pPr>
        <w:pStyle w:val="BodyText"/>
      </w:pPr>
      <w:r>
        <w:t xml:space="preserve">Break-even lift is 4.9% of annual recovery in 12 months, 1.6% over 36 months. The lifts are assumptions because the data contain no measurable lift to anchor on; the holdout replaces them (about 40,000 account-days per arm detect +10%). Recovered rupees are valued at 100%; at a 10% commission the revenue break-even is ten times higher, which is why the spend is gated.</w:t>
      </w:r>
    </w:p>
    <w:bookmarkEnd w:id="25"/>
    <w:bookmarkStart w:id="26" w:name="do-now"/>
    <w:p>
      <w:pPr>
        <w:pStyle w:val="Heading2"/>
      </w:pPr>
      <w:r>
        <w:t xml:space="preserve">Do now</w:t>
      </w:r>
    </w:p>
    <w:p>
      <w:pPr>
        <w:numPr>
          <w:ilvl w:val="0"/>
          <w:numId w:val="1001"/>
        </w:numPr>
        <w:pStyle w:val="Compact"/>
      </w:pPr>
      <w:r>
        <w:t xml:space="preserve">Retire the +11% metric; report recovery</w:t>
      </w:r>
      <w:r>
        <w:t xml:space="preserve"> </w:t>
      </w:r>
      <w:r>
        <w:rPr>
          <w:bCs/>
          <w:b/>
        </w:rPr>
        <w:t xml:space="preserve">per calendar day with a confidence interval</w:t>
      </w:r>
      <w:r>
        <w:t xml:space="preserve">. 2. Deduplicate payments on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at ingestion (not on</w:t>
      </w:r>
      <w:r>
        <w:t xml:space="preserve"> </w:t>
      </w:r>
      <w:r>
        <w:rPr>
          <w:rStyle w:val="VerbatimChar"/>
        </w:rPr>
        <w:t xml:space="preserve">payment_reference</w:t>
      </w:r>
      <w:r>
        <w:t xml:space="preserve">, which is reused). 3. Compliance review of calling hours. 4. Reconcile PTP status to payment events. 5. Capture cost, language, and dated balances.</w:t>
      </w:r>
    </w:p>
    <w:bookmarkEnd w:id="26"/>
    <w:bookmarkEnd w:id="27"/>
    <w:sectPr>
      <w:pgMar w:left="1008" w:right="1008" w:top="792" w:bottom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/>
    </w:pPr>
    <w:rPr>
      <w:rFonts w:ascii="Calibri" w:hAnsi="Calibri"/>
      <w:sz w:val="19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Calibri" w:hAnsi="Calibri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/>
    </w:pPr>
    <w:rPr>
      <w:rFonts w:ascii="Calibri" w:hAnsi="Calibri"/>
      <w:sz w:val="19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4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19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40"/>
      <w:jc w:val="center"/>
    </w:pPr>
    <w:rPr>
      <w:rFonts w:ascii="Calibri" w:hAnsi="Calibri"/>
      <w:sz w:val="19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40" w:after="60"/>
      <w:jc w:val="center"/>
    </w:pPr>
    <w:rPr>
      <w:rFonts w:ascii="Calibri" w:hAnsi="Calibri"/>
      <w:sz w:val="19"/>
    </w:rPr>
  </w:style>
  <w:style w:styleId="Date" w:type="paragraph">
    <w:name w:val="Date"/>
    <w:next w:val="BodyText"/>
    <w:qFormat/>
    <w:pPr>
      <w:keepNext/>
      <w:keepLines/>
      <w:spacing w:before="40" w:after="60"/>
      <w:jc w:val="center"/>
    </w:pPr>
    <w:rPr>
      <w:rFonts w:ascii="Calibri" w:hAnsi="Calibri"/>
      <w:sz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60" w:before="40"/>
    </w:pPr>
    <w:rPr>
      <w:sz w:val="19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40"/>
    </w:pPr>
    <w:rPr>
      <w:rFonts w:ascii="Calibri" w:hAnsi="Calibri"/>
      <w:sz w:val="19"/>
      <w:szCs w:val="20"/>
    </w:rPr>
  </w:style>
  <w:style w:styleId="Bibliography" w:type="paragraph">
    <w:name w:val="Bibliography"/>
    <w:basedOn w:val="Normal"/>
    <w:next w:val="Bibliography"/>
    <w:qFormat/>
    <w:pPr>
      <w:spacing w:before="40" w:after="60"/>
    </w:pPr>
    <w:rPr>
      <w:rFonts w:ascii="Calibri" w:hAnsi="Calibri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4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4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4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19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4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4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19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4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19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4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19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4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19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4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19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/>
      <w:ind w:firstLine="0" w:left="480" w:right="480"/>
    </w:pPr>
    <w:rPr>
      <w:rFonts w:ascii="Calibri" w:hAnsi="Calibri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40" w:after="60"/>
    </w:pPr>
    <w:rPr>
      <w:rFonts w:ascii="Calibri" w:hAnsi="Calibri"/>
      <w:sz w:val="19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before="40"/>
    </w:pPr>
    <w:rPr>
      <w:rFonts w:ascii="Calibri" w:hAnsi="Calibri"/>
      <w:b/>
      <w:sz w:val="19"/>
    </w:rPr>
  </w:style>
  <w:style w:customStyle="1" w:styleId="Definition" w:type="paragraph">
    <w:name w:val="Definition"/>
    <w:basedOn w:val="Normal"/>
    <w:pPr>
      <w:spacing w:before="40" w:after="60"/>
    </w:pPr>
    <w:rPr>
      <w:rFonts w:ascii="Calibri" w:hAnsi="Calibri"/>
      <w:sz w:val="19"/>
    </w:rPr>
  </w:style>
  <w:style w:styleId="Caption" w:type="paragraph">
    <w:name w:val="Caption"/>
    <w:basedOn w:val="Normal"/>
    <w:link w:val="BodyTextChar"/>
    <w:pPr>
      <w:spacing w:after="60" w:before="40"/>
    </w:pPr>
    <w:rPr>
      <w:rFonts w:ascii="Calibri" w:hAnsi="Calibri"/>
      <w:i/>
      <w:sz w:val="19"/>
    </w:rPr>
  </w:style>
  <w:style w:customStyle="1" w:styleId="TableCaption" w:type="paragraph">
    <w:name w:val="Table Caption"/>
    <w:basedOn w:val="Caption"/>
    <w:pPr>
      <w:keepNext/>
      <w:spacing w:before="40" w:after="60"/>
    </w:pPr>
    <w:rPr>
      <w:rFonts w:ascii="Calibri" w:hAnsi="Calibri"/>
      <w:sz w:val="19"/>
    </w:rPr>
  </w:style>
  <w:style w:customStyle="1" w:styleId="ImageCaption" w:type="paragraph">
    <w:name w:val="Image Caption"/>
    <w:basedOn w:val="Caption"/>
    <w:pPr>
      <w:spacing w:before="40" w:after="60"/>
    </w:pPr>
    <w:rPr>
      <w:rFonts w:ascii="Calibri" w:hAnsi="Calibri"/>
      <w:sz w:val="19"/>
    </w:rPr>
  </w:style>
  <w:style w:customStyle="1" w:styleId="Figure" w:type="paragraph">
    <w:name w:val="Figure"/>
    <w:basedOn w:val="Normal"/>
    <w:pPr>
      <w:spacing w:before="40" w:after="60"/>
    </w:pPr>
    <w:rPr>
      <w:rFonts w:ascii="Calibri" w:hAnsi="Calibri"/>
      <w:sz w:val="19"/>
    </w:rPr>
  </w:style>
  <w:style w:customStyle="1" w:styleId="CaptionedFigure" w:type="paragraph">
    <w:name w:val="Captioned Figure"/>
    <w:basedOn w:val="Figure"/>
    <w:pPr>
      <w:keepNext/>
      <w:spacing w:before="40" w:after="60"/>
    </w:pPr>
    <w:rPr>
      <w:rFonts w:ascii="Calibri" w:hAnsi="Calibri"/>
      <w:sz w:val="19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40" w:line="259" w:lineRule="auto" w:after="60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  <w:sz w:val="19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60"/>
    </w:pPr>
    <w:rPr>
      <w:rFonts w:ascii="Calibri" w:hAnsi="Calibri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2026-10-27T10:35:24Z</dcterms:created>
  <dcterms:modified xsi:type="dcterms:W3CDTF">2026-10-27T10:35:24Z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