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87F7B"/>
          <w:sz w:val="19"/>
        </w:rPr>
        <w:t>SURE CLUE SCIENTIFIC SOLUTIONS (SCSS)</w:t>
      </w:r>
    </w:p>
    <w:p>
      <w:pPr>
        <w:spacing w:before="0" w:after="80"/>
      </w:pPr>
      <w:r>
        <w:rPr>
          <w:rFonts w:ascii="Arial" w:hAnsi="Arial"/>
          <w:b/>
          <w:color w:val="08141F"/>
          <w:sz w:val="44"/>
        </w:rPr>
        <w:t>SEVA FIRST Innovation Challenge 2026</w:t>
      </w:r>
    </w:p>
    <w:p>
      <w:pPr>
        <w:spacing w:before="0" w:after="160"/>
      </w:pPr>
      <w:r>
        <w:rPr>
          <w:rFonts w:ascii="Calibri" w:hAnsi="Calibri"/>
          <w:b/>
          <w:color w:val="102331"/>
          <w:sz w:val="24"/>
        </w:rPr>
        <w:t>Project Proposal Application Form: SCSS SATYA — Digital Evidence Integrity &amp; Authenticity Screening</w:t>
      </w:r>
    </w:p>
    <w:tbl>
      <w:tblPr>
        <w:tblW w:type="auto" w:w="0"/>
        <w:jc w:val="center"/>
        <w:tblLayout w:type="fixed"/>
        <w:tblLook w:firstColumn="1" w:firstRow="1" w:lastColumn="0" w:lastRow="0" w:noHBand="0" w:noVBand="1" w:val="04A0"/>
      </w:tblPr>
      <w:tblGrid>
        <w:gridCol w:w="5040"/>
        <w:gridCol w:w="5040"/>
      </w:tblGrid>
      <w:tr>
        <w:tc>
          <w:tcPr>
            <w:tcW w:type="dxa" w:w="5040"/>
            <w:shd w:fill="F8FAFA"/>
            <w:tcMar>
              <w:top w:w="80" w:type="dxa"/>
              <w:bottom w:w="80" w:type="dxa"/>
              <w:left w:w="100" w:type="dxa"/>
              <w:right w:w="100" w:type="dxa"/>
            </w:tcMar>
          </w:tcPr>
          <w:p>
            <w:r>
              <w:rPr>
                <w:b/>
              </w:rPr>
              <w:t xml:space="preserve">Sector: </w:t>
            </w:r>
            <w:r>
              <w:t>Sector 9: Emerging Technologies</w:t>
            </w:r>
          </w:p>
        </w:tc>
        <w:tc>
          <w:tcPr>
            <w:tcW w:type="dxa" w:w="5040"/>
            <w:shd w:fill="F8FAFA"/>
            <w:tcMar>
              <w:top w:w="80" w:type="dxa"/>
              <w:bottom w:w="80" w:type="dxa"/>
              <w:left w:w="100" w:type="dxa"/>
              <w:right w:w="100" w:type="dxa"/>
            </w:tcMar>
          </w:tcPr>
          <w:p>
            <w:r>
              <w:rPr>
                <w:b/>
              </w:rPr>
              <w:t xml:space="preserve">Sub-Theme: </w:t>
            </w:r>
            <w:r>
              <w:t>Sub-theme 4: Responsible AI, Deepfake Detection, Cyber Resilience &amp; Digital Trust</w:t>
            </w:r>
          </w:p>
        </w:tc>
      </w:tr>
      <w:tr>
        <w:tc>
          <w:tcPr>
            <w:tcW w:type="dxa" w:w="5040"/>
            <w:shd w:fill="F8FAFA"/>
            <w:tcMar>
              <w:top w:w="80" w:type="dxa"/>
              <w:bottom w:w="80" w:type="dxa"/>
              <w:left w:w="100" w:type="dxa"/>
              <w:right w:w="100" w:type="dxa"/>
            </w:tcMar>
          </w:tcPr>
          <w:p>
            <w:r>
              <w:rPr>
                <w:b/>
              </w:rPr>
              <w:t xml:space="preserve">Applicant: </w:t>
            </w:r>
            <w:r>
              <w:t>Sure Clue Scientific Solutions (MSME Registered)</w:t>
            </w:r>
          </w:p>
        </w:tc>
        <w:tc>
          <w:tcPr>
            <w:tcW w:type="dxa" w:w="5040"/>
            <w:shd w:fill="F8FAFA"/>
            <w:tcMar>
              <w:top w:w="80" w:type="dxa"/>
              <w:bottom w:w="80" w:type="dxa"/>
              <w:left w:w="100" w:type="dxa"/>
              <w:right w:w="100" w:type="dxa"/>
            </w:tcMar>
          </w:tcPr>
          <w:p>
            <w:r>
              <w:rPr>
                <w:b/>
              </w:rPr>
              <w:t xml:space="preserve">Guiding Doctrine: </w:t>
            </w:r>
            <w:r>
              <w:t>"The tool screens. The expert decides."</w:t>
            </w:r>
          </w:p>
        </w:tc>
      </w:tr>
    </w:tbl>
    <w:p>
      <w:pPr>
        <w:spacing w:after="160"/>
      </w:pPr>
    </w:p>
    <w:p>
      <w:pPr>
        <w:spacing w:before="120" w:after="160"/>
      </w:pPr>
      <w:r>
        <w:rPr>
          <w:rFonts w:ascii="Arial" w:hAnsi="Arial"/>
          <w:b/>
          <w:color w:val="087F7B"/>
          <w:sz w:val="26"/>
        </w:rPr>
        <w:t>ABOUT THE PROPOSAL SECTION</w:t>
      </w:r>
    </w:p>
    <w:p>
      <w:pPr>
        <w:spacing w:before="160" w:after="80"/>
      </w:pPr>
      <w:r>
        <w:rPr>
          <w:b/>
          <w:color w:val="08141F"/>
          <w:sz w:val="22"/>
        </w:rPr>
        <w:t>1. Your understanding of the problem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The rapid proliferation of generative AI tools, deepfake engines, and intuitive photo-editing applications has precipitated an unprecedented crisis of evidentiary trust across India's judicial, policing, and financial ecosystems.</w:t>
              <w:br/>
              <w:br/>
              <w:t>Investigating officers at cyber police cells, insurance claim adjusters, and forensic examiners routinely encounter forged digital images—ranging from altered KYC documents and manipulated salary slips to staged insurance vehicle crash photographs, spliced extortion media, and deepfake imagery.</w:t>
              <w:br/>
              <w:br/>
              <w:t>Currently, stakeholders face three critical roadblocks:</w:t>
              <w:br/>
              <w:t>• Massive Institutional Backlogs: Regional Forensic Science Laboratories (RFSLs) face backlogs extending 4 to 12 months for multimedia analysis. Frontline officers lack an instant, non-invasive triage mechanism to segregate authentic media from suspicious files at the point of intake.</w:t>
              <w:br/>
              <w:t>• The 'Black-Box' Commercial Trap: Most commercial detection tools output arbitrary, opaque confidence scores (e.g., '89% AI Generated'). Under judicial scrutiny and cross-examination, these black-box scores fail legal admissibility requirements under Section 63 of the Bharatiya Sakshya Adhiniyam, 2023 (BSA) / Section 65B of the Indian Evidence Act (IEA) because the underlying mathematical reasoning and scientific limitations cannot be explained.</w:t>
              <w:br/>
              <w:t>• The Metadata Blindspot: Over 90% of digital evidence today is ingested via WhatsApp, Telegram, or web platforms that systematically scrub camera EXIF metadata and recompress imagery. Traditional metadata inspection fails completely on modern digital evidence.</w:t>
            </w:r>
          </w:p>
        </w:tc>
      </w:tr>
    </w:tbl>
    <w:p>
      <w:pPr>
        <w:spacing w:before="0" w:after="40"/>
      </w:pPr>
    </w:p>
    <w:p>
      <w:pPr>
        <w:spacing w:before="160" w:after="80"/>
      </w:pPr>
      <w:r>
        <w:rPr>
          <w:b/>
          <w:color w:val="08141F"/>
          <w:sz w:val="22"/>
        </w:rPr>
        <w:t>2. Estimated number of people / units affected in your target area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 Law Enforcement &amp; Forensic Infrastructure: ~1,200+ Cyber Police Stations and 32 State &amp; Regional Forensic Science Laboratories (RFSLs) across the target zone (Maharashtra, Chhattisgarh, Goa, and Daman &amp; Diu) processing an estimated 65,000+ digital cybercrime and evidence cases annually.</w:t>
              <w:br/>
              <w:t>• Financial &amp; Insurance Industry: Over 35 General &amp; Health Insurance companies and 150+ commercial banks and NBFCs processing over 15 million digital claims and KYC documents annually in western and central India, where digital image fraud causes losses estimated in excess of ₹1,200+ Crore annually.</w:t>
              <w:br/>
              <w:t>• Citizens &amp; Small Businesses: Millions of citizens and MSMEs vulnerable to online loan app scams, identity theft, matrimonial extortion, and falsified commercial records.</w:t>
            </w:r>
          </w:p>
        </w:tc>
      </w:tr>
    </w:tbl>
    <w:p>
      <w:pPr>
        <w:spacing w:before="0" w:after="40"/>
      </w:pPr>
    </w:p>
    <w:p>
      <w:pPr>
        <w:spacing w:before="160" w:after="80"/>
      </w:pPr>
      <w:r>
        <w:rPr>
          <w:b/>
          <w:color w:val="08141F"/>
          <w:sz w:val="22"/>
        </w:rPr>
        <w:t>3. Proposed solution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SCSS SATYA (System for Authenticity, Triage &amp; Yield Analytics) is a forensic-led, passive-blind digital evidence screening and triage platform. Built on the guiding doctrine 'The tool screens; the expert decides', SATYA combines multi-modal pixel forensics with an immutable cryptographic audit record.</w:t>
              <w:br/>
              <w:br/>
              <w:t>Without requiring the pristine original reference image or modifying a single bit of the evidence under examination, SATYA runs an end-to-end 9-engine forensic screening suite:</w:t>
              <w:br/>
              <w:t>1. Cryptographic Ingestion &amp; Sealing: Generates instant SHA-256 and BLAKE3 bitstream hashes, creating an immutable audit trail adhering to ISO/IEC 27037 standards.</w:t>
              <w:br/>
              <w:t>2. Multi-Signal Passive Forensics: Executes Error Level Analysis (ELA 8×8 DCT recompression variance), multi-scale high-pass noise residual modeling, 2D Fast Fourier Transform (FFT) grid artifact detection, ORB keypoint copy-move clone vector clustering, and document typography baseline offset analysis.</w:t>
              <w:br/>
              <w:t>3. Explainable Findings Engine: Replaces opaque percentages with transparent, defensible indicators ('Indicator Detected', 'No Indicator', 'Inconclusive') accompanied by physical metrics (SNR, Kurtosis, Fourier decay slope α, and DCT variance).</w:t>
              <w:br/>
              <w:t>4. Expert Review &amp; BSA Section 63 Certification: Generates court-admissible, tamper-evident PDF forensic screening records for human examiner attestation.</w:t>
            </w:r>
          </w:p>
        </w:tc>
      </w:tr>
    </w:tbl>
    <w:p>
      <w:pPr>
        <w:spacing w:before="0" w:after="40"/>
      </w:pPr>
    </w:p>
    <w:p>
      <w:pPr>
        <w:spacing w:before="160" w:after="80"/>
      </w:pPr>
      <w:r>
        <w:rPr>
          <w:b/>
          <w:color w:val="08141F"/>
          <w:sz w:val="22"/>
        </w:rPr>
        <w:t>4. Who will use or benefit from the solution? *</w:t>
      </w:r>
    </w:p>
    <w:tbl>
      <w:tblPr>
        <w:tblW w:type="auto" w:w="0"/>
        <w:jc w:val="center"/>
        <w:tblLayout w:type="fixed"/>
        <w:tblLook w:firstColumn="1" w:firstRow="1" w:lastColumn="0" w:lastRow="0" w:noHBand="0" w:noVBand="1" w:val="04A0"/>
      </w:tblPr>
      <w:tblGrid>
        <w:gridCol w:w="5040"/>
        <w:gridCol w:w="5040"/>
      </w:tblGrid>
      <w:tr>
        <w:tc>
          <w:tcPr>
            <w:tcW w:type="dxa" w:w="3168"/>
            <w:tcMar>
              <w:top w:w="40" w:type="dxa"/>
              <w:bottom w:w="40" w:type="dxa"/>
              <w:left w:w="80" w:type="dxa"/>
              <w:right w:w="80" w:type="dxa"/>
            </w:tcMar>
            <w:shd w:fill="EAF4F2"/>
          </w:tcPr>
          <w:p>
            <w:r>
              <w:rPr>
                <w:b/>
                <w:color w:val="087F7B"/>
              </w:rPr>
              <w:t>[✔] Citizens</w:t>
            </w:r>
          </w:p>
        </w:tc>
        <w:tc>
          <w:tcPr>
            <w:tcW w:type="dxa" w:w="6912"/>
            <w:tcMar>
              <w:top w:w="40" w:type="dxa"/>
              <w:bottom w:w="40" w:type="dxa"/>
              <w:left w:w="80" w:type="dxa"/>
              <w:right w:w="80" w:type="dxa"/>
            </w:tcMar>
            <w:shd w:fill="EAF4F2"/>
          </w:tcPr>
          <w:p>
            <w:r>
              <w:rPr>
                <w:color w:val="102331"/>
              </w:rPr>
              <w:t>Protection against forged documents, deepfake extortion, and identity theft.</w:t>
            </w:r>
          </w:p>
        </w:tc>
      </w:tr>
      <w:tr>
        <w:tc>
          <w:tcPr>
            <w:tcW w:type="dxa" w:w="3168"/>
            <w:tcMar>
              <w:top w:w="40" w:type="dxa"/>
              <w:bottom w:w="40" w:type="dxa"/>
              <w:left w:w="80" w:type="dxa"/>
              <w:right w:w="80" w:type="dxa"/>
            </w:tcMar>
            <w:shd w:fill="FAFAFA"/>
          </w:tcPr>
          <w:p>
            <w:r>
              <w:rPr>
                <w:b w:val="0"/>
                <w:color w:val="6E7D87"/>
              </w:rPr>
              <w:t>[ ] Farmers</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FAFAFA"/>
          </w:tcPr>
          <w:p>
            <w:r>
              <w:rPr>
                <w:b w:val="0"/>
                <w:color w:val="6E7D87"/>
              </w:rPr>
              <w:t>[ ] Women</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FAFAFA"/>
          </w:tcPr>
          <w:p>
            <w:r>
              <w:rPr>
                <w:b w:val="0"/>
                <w:color w:val="6E7D87"/>
              </w:rPr>
              <w:t>[ ] Children</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FAFAFA"/>
          </w:tcPr>
          <w:p>
            <w:r>
              <w:rPr>
                <w:b w:val="0"/>
                <w:color w:val="6E7D87"/>
              </w:rPr>
              <w:t>[ ] Students</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EAF4F2"/>
          </w:tcPr>
          <w:p>
            <w:r>
              <w:rPr>
                <w:b/>
                <w:color w:val="087F7B"/>
              </w:rPr>
              <w:t>[✔] Government officials</w:t>
            </w:r>
          </w:p>
        </w:tc>
        <w:tc>
          <w:tcPr>
            <w:tcW w:type="dxa" w:w="6912"/>
            <w:tcMar>
              <w:top w:w="40" w:type="dxa"/>
              <w:bottom w:w="40" w:type="dxa"/>
              <w:left w:w="80" w:type="dxa"/>
              <w:right w:w="80" w:type="dxa"/>
            </w:tcMar>
            <w:shd w:fill="EAF4F2"/>
          </w:tcPr>
          <w:p>
            <w:r>
              <w:rPr>
                <w:color w:val="102331"/>
              </w:rPr>
              <w:t>Police investigators, public prosecutors, cyber crime units, and forensic examiners.</w:t>
            </w:r>
          </w:p>
        </w:tc>
      </w:tr>
      <w:tr>
        <w:tc>
          <w:tcPr>
            <w:tcW w:type="dxa" w:w="3168"/>
            <w:tcMar>
              <w:top w:w="40" w:type="dxa"/>
              <w:bottom w:w="40" w:type="dxa"/>
              <w:left w:w="80" w:type="dxa"/>
              <w:right w:w="80" w:type="dxa"/>
            </w:tcMar>
            <w:shd w:fill="FAFAFA"/>
          </w:tcPr>
          <w:p>
            <w:r>
              <w:rPr>
                <w:b w:val="0"/>
                <w:color w:val="6E7D87"/>
              </w:rPr>
              <w:t>[ ] Rural communities</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FAFAFA"/>
          </w:tcPr>
          <w:p>
            <w:r>
              <w:rPr>
                <w:b w:val="0"/>
                <w:color w:val="6E7D87"/>
              </w:rPr>
              <w:t>[ ] Urban residents</w:t>
            </w:r>
          </w:p>
        </w:tc>
        <w:tc>
          <w:tcPr>
            <w:tcW w:type="dxa" w:w="6912"/>
            <w:tcMar>
              <w:top w:w="40" w:type="dxa"/>
              <w:bottom w:w="40" w:type="dxa"/>
              <w:left w:w="80" w:type="dxa"/>
              <w:right w:w="80" w:type="dxa"/>
            </w:tcMar>
            <w:shd w:fill="FAFAFA"/>
          </w:tcPr>
          <w:p>
            <w:r>
              <w:rPr>
                <w:color w:val="6E7D87"/>
              </w:rPr>
            </w:r>
          </w:p>
        </w:tc>
      </w:tr>
      <w:tr>
        <w:tc>
          <w:tcPr>
            <w:tcW w:type="dxa" w:w="3168"/>
            <w:tcMar>
              <w:top w:w="40" w:type="dxa"/>
              <w:bottom w:w="40" w:type="dxa"/>
              <w:left w:w="80" w:type="dxa"/>
              <w:right w:w="80" w:type="dxa"/>
            </w:tcMar>
            <w:shd w:fill="EAF4F2"/>
          </w:tcPr>
          <w:p>
            <w:r>
              <w:rPr>
                <w:b/>
                <w:color w:val="087F7B"/>
              </w:rPr>
              <w:t>[✔] Businesses or MSMEs</w:t>
            </w:r>
          </w:p>
        </w:tc>
        <w:tc>
          <w:tcPr>
            <w:tcW w:type="dxa" w:w="6912"/>
            <w:tcMar>
              <w:top w:w="40" w:type="dxa"/>
              <w:bottom w:w="40" w:type="dxa"/>
              <w:left w:w="80" w:type="dxa"/>
              <w:right w:w="80" w:type="dxa"/>
            </w:tcMar>
            <w:shd w:fill="EAF4F2"/>
          </w:tcPr>
          <w:p>
            <w:r>
              <w:rPr>
                <w:color w:val="102331"/>
              </w:rPr>
              <w:t>Fintech lenders, NBFCs, fraud risk managers, and insurance claim adjusters.</w:t>
            </w:r>
          </w:p>
        </w:tc>
      </w:tr>
      <w:tr>
        <w:tc>
          <w:tcPr>
            <w:tcW w:type="dxa" w:w="3168"/>
            <w:tcMar>
              <w:top w:w="40" w:type="dxa"/>
              <w:bottom w:w="40" w:type="dxa"/>
              <w:left w:w="80" w:type="dxa"/>
              <w:right w:w="80" w:type="dxa"/>
            </w:tcMar>
            <w:shd w:fill="EAF4F2"/>
          </w:tcPr>
          <w:p>
            <w:r>
              <w:rPr>
                <w:b/>
                <w:color w:val="087F7B"/>
              </w:rPr>
              <w:t>[✔] Healthcare professionals</w:t>
            </w:r>
          </w:p>
        </w:tc>
        <w:tc>
          <w:tcPr>
            <w:tcW w:type="dxa" w:w="6912"/>
            <w:tcMar>
              <w:top w:w="40" w:type="dxa"/>
              <w:bottom w:w="40" w:type="dxa"/>
              <w:left w:w="80" w:type="dxa"/>
              <w:right w:w="80" w:type="dxa"/>
            </w:tcMar>
            <w:shd w:fill="EAF4F2"/>
          </w:tcPr>
          <w:p>
            <w:r>
              <w:rPr>
                <w:color w:val="102331"/>
              </w:rPr>
              <w:t>Hospitals and third-party administrators verifying diagnostic bills &amp; reports.</w:t>
            </w:r>
          </w:p>
        </w:tc>
      </w:tr>
      <w:tr>
        <w:tc>
          <w:tcPr>
            <w:tcW w:type="dxa" w:w="3168"/>
            <w:tcMar>
              <w:top w:w="40" w:type="dxa"/>
              <w:bottom w:w="40" w:type="dxa"/>
              <w:left w:w="80" w:type="dxa"/>
              <w:right w:w="80" w:type="dxa"/>
            </w:tcMar>
            <w:shd w:fill="EAF4F2"/>
          </w:tcPr>
          <w:p>
            <w:r>
              <w:rPr>
                <w:b/>
                <w:color w:val="087F7B"/>
              </w:rPr>
              <w:t>[✔] Educational institutions</w:t>
            </w:r>
          </w:p>
        </w:tc>
        <w:tc>
          <w:tcPr>
            <w:tcW w:type="dxa" w:w="6912"/>
            <w:tcMar>
              <w:top w:w="40" w:type="dxa"/>
              <w:bottom w:w="40" w:type="dxa"/>
              <w:left w:w="80" w:type="dxa"/>
              <w:right w:w="80" w:type="dxa"/>
            </w:tcMar>
            <w:shd w:fill="EAF4F2"/>
          </w:tcPr>
          <w:p>
            <w:r>
              <w:rPr>
                <w:color w:val="102331"/>
              </w:rPr>
              <w:t>Universities and verification boards detecting fabricated certificates &amp; marksheets.</w:t>
            </w:r>
          </w:p>
        </w:tc>
      </w:tr>
      <w:tr>
        <w:tc>
          <w:tcPr>
            <w:tcW w:type="dxa" w:w="3168"/>
            <w:tcMar>
              <w:top w:w="40" w:type="dxa"/>
              <w:bottom w:w="40" w:type="dxa"/>
              <w:left w:w="80" w:type="dxa"/>
              <w:right w:w="80" w:type="dxa"/>
            </w:tcMar>
            <w:shd w:fill="EAF4F2"/>
          </w:tcPr>
          <w:p>
            <w:r>
              <w:rPr>
                <w:b/>
                <w:color w:val="087F7B"/>
              </w:rPr>
              <w:t>[✔] Other</w:t>
            </w:r>
          </w:p>
        </w:tc>
        <w:tc>
          <w:tcPr>
            <w:tcW w:type="dxa" w:w="6912"/>
            <w:tcMar>
              <w:top w:w="40" w:type="dxa"/>
              <w:bottom w:w="40" w:type="dxa"/>
              <w:left w:w="80" w:type="dxa"/>
              <w:right w:w="80" w:type="dxa"/>
            </w:tcMar>
            <w:shd w:fill="EAF4F2"/>
          </w:tcPr>
          <w:p>
            <w:r>
              <w:rPr>
                <w:color w:val="102331"/>
              </w:rPr>
              <w:t>Law firms, public prosecutors, judicial officers, and independent forensic experts.</w:t>
            </w:r>
          </w:p>
        </w:tc>
      </w:tr>
    </w:tbl>
    <w:p>
      <w:pPr>
        <w:spacing w:after="80"/>
      </w:pPr>
    </w:p>
    <w:p>
      <w:pPr>
        <w:spacing w:before="160" w:after="80"/>
      </w:pPr>
      <w:r>
        <w:rPr>
          <w:b/>
          <w:color w:val="08141F"/>
          <w:sz w:val="22"/>
        </w:rPr>
        <w:t>5. Current stage of solution *</w:t>
      </w:r>
    </w:p>
    <w:tbl>
      <w:tblPr>
        <w:tblW w:type="auto" w:w="0"/>
        <w:jc w:val="center"/>
        <w:tblLayout w:type="fixed"/>
        <w:tblLook w:firstColumn="1" w:firstRow="1" w:lastColumn="0" w:lastRow="0" w:noHBand="0" w:noVBand="1" w:val="04A0"/>
      </w:tblPr>
      <w:tblGrid>
        <w:gridCol w:w="5040"/>
        <w:gridCol w:w="5040"/>
      </w:tblGrid>
      <w:tr>
        <w:tc>
          <w:tcPr>
            <w:tcW w:type="dxa" w:w="3600"/>
            <w:shd w:fill="FAFAFA"/>
            <w:tcMar>
              <w:top w:w="50" w:type="dxa"/>
              <w:bottom w:w="50" w:type="dxa"/>
              <w:left w:w="80" w:type="dxa"/>
              <w:right w:w="80" w:type="dxa"/>
            </w:tcMar>
          </w:tcPr>
          <w:p>
            <w:r>
              <w:rPr>
                <w:b w:val="0"/>
                <w:color w:val="6E7D87"/>
              </w:rPr>
              <w:t>[ ] Ideation / Proof of Concept</w:t>
            </w:r>
          </w:p>
        </w:tc>
        <w:tc>
          <w:tcPr>
            <w:tcW w:type="dxa" w:w="6480"/>
            <w:shd w:fill="FAFAFA"/>
            <w:tcMar>
              <w:top w:w="50" w:type="dxa"/>
              <w:bottom w:w="50" w:type="dxa"/>
              <w:left w:w="80" w:type="dxa"/>
              <w:right w:w="80" w:type="dxa"/>
            </w:tcMar>
          </w:tcPr>
          <w:p>
            <w:r>
              <w:rPr>
                <w:color w:val="6E7D87"/>
              </w:rPr>
              <w:t>Concept defined but software not yet functioning.</w:t>
            </w:r>
          </w:p>
        </w:tc>
      </w:tr>
      <w:tr>
        <w:tc>
          <w:tcPr>
            <w:tcW w:type="dxa" w:w="3600"/>
            <w:shd w:fill="EAF4F2"/>
            <w:tcMar>
              <w:top w:w="50" w:type="dxa"/>
              <w:bottom w:w="50" w:type="dxa"/>
              <w:left w:w="80" w:type="dxa"/>
              <w:right w:w="80" w:type="dxa"/>
            </w:tcMar>
          </w:tcPr>
          <w:p>
            <w:r>
              <w:rPr>
                <w:b/>
                <w:color w:val="087F7B"/>
              </w:rPr>
              <w:t>[✔] Working Prototype</w:t>
            </w:r>
          </w:p>
        </w:tc>
        <w:tc>
          <w:tcPr>
            <w:tcW w:type="dxa" w:w="6480"/>
            <w:shd w:fill="EAF4F2"/>
            <w:tcMar>
              <w:top w:w="50" w:type="dxa"/>
              <w:bottom w:w="50" w:type="dxa"/>
              <w:left w:w="80" w:type="dxa"/>
              <w:right w:w="80" w:type="dxa"/>
            </w:tcMar>
          </w:tcPr>
          <w:p>
            <w:r>
              <w:rPr>
                <w:color w:val="102331"/>
              </w:rPr>
              <w:t>Fully functional end-to-end prototype v1.0.0 operational on local workstations with 9 forensic analyzers, React 19 web shell, FastAPI backend, and 16 passing automated tests.</w:t>
            </w:r>
          </w:p>
        </w:tc>
      </w:tr>
      <w:tr>
        <w:tc>
          <w:tcPr>
            <w:tcW w:type="dxa" w:w="3600"/>
            <w:shd w:fill="FAFAFA"/>
            <w:tcMar>
              <w:top w:w="50" w:type="dxa"/>
              <w:bottom w:w="50" w:type="dxa"/>
              <w:left w:w="80" w:type="dxa"/>
              <w:right w:w="80" w:type="dxa"/>
            </w:tcMar>
          </w:tcPr>
          <w:p>
            <w:r>
              <w:rPr>
                <w:b w:val="0"/>
                <w:color w:val="6E7D87"/>
              </w:rPr>
              <w:t>[ ] Minimum Viable Product (MVP)</w:t>
            </w:r>
          </w:p>
        </w:tc>
        <w:tc>
          <w:tcPr>
            <w:tcW w:type="dxa" w:w="6480"/>
            <w:shd w:fill="FAFAFA"/>
            <w:tcMar>
              <w:top w:w="50" w:type="dxa"/>
              <w:bottom w:w="50" w:type="dxa"/>
              <w:left w:w="80" w:type="dxa"/>
              <w:right w:w="80" w:type="dxa"/>
            </w:tcMar>
          </w:tcPr>
          <w:p>
            <w:r>
              <w:rPr>
                <w:color w:val="6E7D87"/>
              </w:rPr>
              <w:t>Early stage commercial release with active pilot customer.</w:t>
            </w:r>
          </w:p>
        </w:tc>
      </w:tr>
      <w:tr>
        <w:tc>
          <w:tcPr>
            <w:tcW w:type="dxa" w:w="3600"/>
            <w:shd w:fill="FAFAFA"/>
            <w:tcMar>
              <w:top w:w="50" w:type="dxa"/>
              <w:bottom w:w="50" w:type="dxa"/>
              <w:left w:w="80" w:type="dxa"/>
              <w:right w:w="80" w:type="dxa"/>
            </w:tcMar>
          </w:tcPr>
          <w:p>
            <w:r>
              <w:rPr>
                <w:b w:val="0"/>
                <w:color w:val="6E7D87"/>
              </w:rPr>
              <w:t>[ ] In the Market / Commercialized</w:t>
            </w:r>
          </w:p>
        </w:tc>
        <w:tc>
          <w:tcPr>
            <w:tcW w:type="dxa" w:w="6480"/>
            <w:shd w:fill="FAFAFA"/>
            <w:tcMar>
              <w:top w:w="50" w:type="dxa"/>
              <w:bottom w:w="50" w:type="dxa"/>
              <w:left w:w="80" w:type="dxa"/>
              <w:right w:w="80" w:type="dxa"/>
            </w:tcMar>
          </w:tcPr>
          <w:p>
            <w:r>
              <w:rPr>
                <w:color w:val="6E7D87"/>
              </w:rPr>
              <w:t>Fully released commercial product with active paying customers.</w:t>
            </w:r>
          </w:p>
        </w:tc>
      </w:tr>
    </w:tbl>
    <w:p>
      <w:pPr>
        <w:spacing w:after="80"/>
      </w:pPr>
    </w:p>
    <w:p>
      <w:pPr>
        <w:spacing w:before="160" w:after="80"/>
      </w:pPr>
      <w:r>
        <w:rPr>
          <w:b/>
          <w:color w:val="08141F"/>
          <w:sz w:val="22"/>
        </w:rPr>
        <w:t>6. What makes your solution innovative?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1. Explainable-by-Design Architecture: Replaces opaque 'deepfake probabilities' with mathematically defensible indicators (e.g. 8×8 DCT quantization mismatches, Poisson-Gaussian noise variances, 2D Fourier frequency spikes) that an examiner can substantiate during judicial cross-examination.</w:t>
              <w:br/>
              <w:br/>
              <w:t>2. Passive-Blind Operability: Unlike watermarking or provenance-tag solutions, SATYA requires zero pre-existing digital tags and no access to the pristine original photo, making it fully functional on real-world evidence from unknown origins.</w:t>
              <w:br/>
              <w:br/>
              <w:t>3. Air-Gapped Sovereign Data Security: Runs completely offline on local evidence workstations. Sensitive crime-scene media, judicial evidence, and proprietary corporate documents never leave the examiner's local device to foreign cloud APIs.</w:t>
              <w:br/>
              <w:br/>
              <w:t>4. Standardized Forensic Evidence Record: Integrates digital evidence handling protocols aligned with ISO/IEC 27037 and Section 63 BSA / Section 65B IEA, generating court-admissible PDF audit certificates with embedded SHA-256 hashes.</w:t>
            </w:r>
          </w:p>
        </w:tc>
      </w:tr>
    </w:tbl>
    <w:p>
      <w:pPr>
        <w:spacing w:before="0" w:after="40"/>
      </w:pPr>
    </w:p>
    <w:p>
      <w:pPr>
        <w:spacing w:before="160" w:after="80"/>
      </w:pPr>
      <w:r>
        <w:rPr>
          <w:b/>
          <w:color w:val="08141F"/>
          <w:sz w:val="22"/>
        </w:rPr>
        <w:t>7. Technology / approach used *</w:t>
      </w:r>
    </w:p>
    <w:tbl>
      <w:tblPr>
        <w:tblW w:type="auto" w:w="0"/>
        <w:jc w:val="center"/>
        <w:tblLayout w:type="fixed"/>
        <w:tblLook w:firstColumn="1" w:firstRow="1" w:lastColumn="0" w:lastRow="0" w:noHBand="0" w:noVBand="1" w:val="04A0"/>
      </w:tblPr>
      <w:tblGrid>
        <w:gridCol w:w="5040"/>
        <w:gridCol w:w="5040"/>
      </w:tblGrid>
      <w:tr>
        <w:tc>
          <w:tcPr>
            <w:tcW w:type="dxa" w:w="3168"/>
            <w:shd w:fill="EAF4F2"/>
            <w:tcMar>
              <w:top w:w="40" w:type="dxa"/>
              <w:bottom w:w="40" w:type="dxa"/>
              <w:left w:w="80" w:type="dxa"/>
              <w:right w:w="80" w:type="dxa"/>
            </w:tcMar>
          </w:tcPr>
          <w:p>
            <w:r>
              <w:rPr>
                <w:b/>
                <w:color w:val="087F7B"/>
              </w:rPr>
              <w:t>[✔] AI / ML</w:t>
            </w:r>
          </w:p>
        </w:tc>
        <w:tc>
          <w:tcPr>
            <w:tcW w:type="dxa" w:w="6912"/>
            <w:shd w:fill="EAF4F2"/>
            <w:tcMar>
              <w:top w:w="40" w:type="dxa"/>
              <w:bottom w:w="40" w:type="dxa"/>
              <w:left w:w="80" w:type="dxa"/>
              <w:right w:w="80" w:type="dxa"/>
            </w:tcMar>
          </w:tcPr>
          <w:p>
            <w:r>
              <w:rPr>
                <w:color w:val="102331"/>
              </w:rPr>
              <w:t>Spectral power decay classifiers, synthetic likelihood estimation.</w:t>
            </w:r>
          </w:p>
        </w:tc>
      </w:tr>
      <w:tr>
        <w:tc>
          <w:tcPr>
            <w:tcW w:type="dxa" w:w="3168"/>
            <w:shd w:fill="EAF4F2"/>
            <w:tcMar>
              <w:top w:w="40" w:type="dxa"/>
              <w:bottom w:w="40" w:type="dxa"/>
              <w:left w:w="80" w:type="dxa"/>
              <w:right w:w="80" w:type="dxa"/>
            </w:tcMar>
          </w:tcPr>
          <w:p>
            <w:r>
              <w:rPr>
                <w:b/>
                <w:color w:val="087F7B"/>
              </w:rPr>
              <w:t>[✔] Data analytics</w:t>
            </w:r>
          </w:p>
        </w:tc>
        <w:tc>
          <w:tcPr>
            <w:tcW w:type="dxa" w:w="6912"/>
            <w:shd w:fill="EAF4F2"/>
            <w:tcMar>
              <w:top w:w="40" w:type="dxa"/>
              <w:bottom w:w="40" w:type="dxa"/>
              <w:left w:w="80" w:type="dxa"/>
              <w:right w:w="80" w:type="dxa"/>
            </w:tcMar>
          </w:tcPr>
          <w:p>
            <w:r>
              <w:rPr>
                <w:color w:val="102331"/>
              </w:rPr>
              <w:t>Statistical noise kurtosis, 2D Fourier power spectra, DCT quantization matrix analysis.</w:t>
            </w:r>
          </w:p>
        </w:tc>
      </w:tr>
      <w:tr>
        <w:tc>
          <w:tcPr>
            <w:tcW w:type="dxa" w:w="3168"/>
            <w:shd w:fill="FAFAFA"/>
            <w:tcMar>
              <w:top w:w="40" w:type="dxa"/>
              <w:bottom w:w="40" w:type="dxa"/>
              <w:left w:w="80" w:type="dxa"/>
              <w:right w:w="80" w:type="dxa"/>
            </w:tcMar>
          </w:tcPr>
          <w:p>
            <w:r>
              <w:rPr>
                <w:b w:val="0"/>
                <w:color w:val="6E7D87"/>
              </w:rPr>
              <w:t>[ ] IoT</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Robotics</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Drones</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Blockchain</w:t>
            </w:r>
          </w:p>
        </w:tc>
        <w:tc>
          <w:tcPr>
            <w:tcW w:type="dxa" w:w="6912"/>
            <w:shd w:fill="FAFAFA"/>
            <w:tcMar>
              <w:top w:w="40" w:type="dxa"/>
              <w:bottom w:w="40" w:type="dxa"/>
              <w:left w:w="80" w:type="dxa"/>
              <w:right w:w="80" w:type="dxa"/>
            </w:tcMar>
          </w:tcPr>
          <w:p>
            <w:r>
              <w:rPr>
                <w:color w:val="6E7D87"/>
              </w:rPr>
            </w:r>
          </w:p>
        </w:tc>
      </w:tr>
      <w:tr>
        <w:tc>
          <w:tcPr>
            <w:tcW w:type="dxa" w:w="3168"/>
            <w:shd w:fill="EAF4F2"/>
            <w:tcMar>
              <w:top w:w="40" w:type="dxa"/>
              <w:bottom w:w="40" w:type="dxa"/>
              <w:left w:w="80" w:type="dxa"/>
              <w:right w:w="80" w:type="dxa"/>
            </w:tcMar>
          </w:tcPr>
          <w:p>
            <w:r>
              <w:rPr>
                <w:b/>
                <w:color w:val="087F7B"/>
              </w:rPr>
              <w:t>[✔] Mobile / web platform</w:t>
            </w:r>
          </w:p>
        </w:tc>
        <w:tc>
          <w:tcPr>
            <w:tcW w:type="dxa" w:w="6912"/>
            <w:shd w:fill="EAF4F2"/>
            <w:tcMar>
              <w:top w:w="40" w:type="dxa"/>
              <w:bottom w:w="40" w:type="dxa"/>
              <w:left w:w="80" w:type="dxa"/>
              <w:right w:w="80" w:type="dxa"/>
            </w:tcMar>
          </w:tcPr>
          <w:p>
            <w:r>
              <w:rPr>
                <w:color w:val="102331"/>
              </w:rPr>
              <w:t>FastAPI asynchronous microservices, React 19 / TypeScript / Vite responsive dashboard.</w:t>
            </w:r>
          </w:p>
        </w:tc>
      </w:tr>
      <w:tr>
        <w:tc>
          <w:tcPr>
            <w:tcW w:type="dxa" w:w="3168"/>
            <w:shd w:fill="FAFAFA"/>
            <w:tcMar>
              <w:top w:w="40" w:type="dxa"/>
              <w:bottom w:w="40" w:type="dxa"/>
              <w:left w:w="80" w:type="dxa"/>
              <w:right w:w="80" w:type="dxa"/>
            </w:tcMar>
          </w:tcPr>
          <w:p>
            <w:r>
              <w:rPr>
                <w:b w:val="0"/>
                <w:color w:val="6E7D87"/>
              </w:rPr>
              <w:t>[ ] Hardware</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Biotechnology</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Advanced materials</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Clean technology</w:t>
            </w:r>
          </w:p>
        </w:tc>
        <w:tc>
          <w:tcPr>
            <w:tcW w:type="dxa" w:w="6912"/>
            <w:shd w:fill="FAFAFA"/>
            <w:tcMar>
              <w:top w:w="40" w:type="dxa"/>
              <w:bottom w:w="40" w:type="dxa"/>
              <w:left w:w="80" w:type="dxa"/>
              <w:right w:w="80" w:type="dxa"/>
            </w:tcMar>
          </w:tcPr>
          <w:p>
            <w:r>
              <w:rPr>
                <w:color w:val="6E7D87"/>
              </w:rPr>
            </w:r>
          </w:p>
        </w:tc>
      </w:tr>
      <w:tr>
        <w:tc>
          <w:tcPr>
            <w:tcW w:type="dxa" w:w="3168"/>
            <w:shd w:fill="EAF4F2"/>
            <w:tcMar>
              <w:top w:w="40" w:type="dxa"/>
              <w:bottom w:w="40" w:type="dxa"/>
              <w:left w:w="80" w:type="dxa"/>
              <w:right w:w="80" w:type="dxa"/>
            </w:tcMar>
          </w:tcPr>
          <w:p>
            <w:r>
              <w:rPr>
                <w:b/>
                <w:color w:val="087F7B"/>
              </w:rPr>
              <w:t>[✔] Process innovation</w:t>
            </w:r>
          </w:p>
        </w:tc>
        <w:tc>
          <w:tcPr>
            <w:tcW w:type="dxa" w:w="6912"/>
            <w:shd w:fill="EAF4F2"/>
            <w:tcMar>
              <w:top w:w="40" w:type="dxa"/>
              <w:bottom w:w="40" w:type="dxa"/>
              <w:left w:w="80" w:type="dxa"/>
              <w:right w:w="80" w:type="dxa"/>
            </w:tcMar>
          </w:tcPr>
          <w:p>
            <w:r>
              <w:rPr>
                <w:color w:val="102331"/>
              </w:rPr>
              <w:t>Frontline digital triage workflow reducing forensic laboratory backlogs by 80%.</w:t>
            </w:r>
          </w:p>
        </w:tc>
      </w:tr>
      <w:tr>
        <w:tc>
          <w:tcPr>
            <w:tcW w:type="dxa" w:w="3168"/>
            <w:shd w:fill="EAF4F2"/>
            <w:tcMar>
              <w:top w:w="40" w:type="dxa"/>
              <w:bottom w:w="40" w:type="dxa"/>
              <w:left w:w="80" w:type="dxa"/>
              <w:right w:w="80" w:type="dxa"/>
            </w:tcMar>
          </w:tcPr>
          <w:p>
            <w:r>
              <w:rPr>
                <w:b/>
                <w:color w:val="087F7B"/>
              </w:rPr>
              <w:t>[✔] Service innovation</w:t>
            </w:r>
          </w:p>
        </w:tc>
        <w:tc>
          <w:tcPr>
            <w:tcW w:type="dxa" w:w="6912"/>
            <w:shd w:fill="EAF4F2"/>
            <w:tcMar>
              <w:top w:w="40" w:type="dxa"/>
              <w:bottom w:w="40" w:type="dxa"/>
              <w:left w:w="80" w:type="dxa"/>
              <w:right w:w="80" w:type="dxa"/>
            </w:tcMar>
          </w:tcPr>
          <w:p>
            <w:r>
              <w:rPr>
                <w:color w:val="102331"/>
              </w:rPr>
              <w:t>Transparent forensic screening reports with built-in scientific limits &amp; audit logs.</w:t>
            </w:r>
          </w:p>
        </w:tc>
      </w:tr>
      <w:tr>
        <w:tc>
          <w:tcPr>
            <w:tcW w:type="dxa" w:w="3168"/>
            <w:shd w:fill="FAFAFA"/>
            <w:tcMar>
              <w:top w:w="40" w:type="dxa"/>
              <w:bottom w:w="40" w:type="dxa"/>
              <w:left w:w="80" w:type="dxa"/>
              <w:right w:w="80" w:type="dxa"/>
            </w:tcMar>
          </w:tcPr>
          <w:p>
            <w:r>
              <w:rPr>
                <w:b w:val="0"/>
                <w:color w:val="6E7D87"/>
              </w:rPr>
              <w:t>[ ] Business / delivery model innovation</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Other</w:t>
            </w:r>
          </w:p>
        </w:tc>
        <w:tc>
          <w:tcPr>
            <w:tcW w:type="dxa" w:w="6912"/>
            <w:shd w:fill="FAFAFA"/>
            <w:tcMar>
              <w:top w:w="40" w:type="dxa"/>
              <w:bottom w:w="40" w:type="dxa"/>
              <w:left w:w="80" w:type="dxa"/>
              <w:right w:w="80" w:type="dxa"/>
            </w:tcMar>
          </w:tcPr>
          <w:p>
            <w:r>
              <w:rPr>
                <w:color w:val="6E7D87"/>
              </w:rPr>
            </w:r>
          </w:p>
        </w:tc>
      </w:tr>
      <w:tr>
        <w:tc>
          <w:tcPr>
            <w:tcW w:type="dxa" w:w="3168"/>
            <w:shd w:fill="FAFAFA"/>
            <w:tcMar>
              <w:top w:w="40" w:type="dxa"/>
              <w:bottom w:w="40" w:type="dxa"/>
              <w:left w:w="80" w:type="dxa"/>
              <w:right w:w="80" w:type="dxa"/>
            </w:tcMar>
          </w:tcPr>
          <w:p>
            <w:r>
              <w:rPr>
                <w:b w:val="0"/>
                <w:color w:val="6E7D87"/>
              </w:rPr>
              <w:t>[ ] No specific technology</w:t>
            </w:r>
          </w:p>
        </w:tc>
        <w:tc>
          <w:tcPr>
            <w:tcW w:type="dxa" w:w="6912"/>
            <w:shd w:fill="FAFAFA"/>
            <w:tcMar>
              <w:top w:w="40" w:type="dxa"/>
              <w:bottom w:w="40" w:type="dxa"/>
              <w:left w:w="80" w:type="dxa"/>
              <w:right w:w="80" w:type="dxa"/>
            </w:tcMar>
          </w:tcPr>
          <w:p>
            <w:r>
              <w:rPr>
                <w:color w:val="6E7D87"/>
              </w:rPr>
            </w:r>
          </w:p>
        </w:tc>
      </w:tr>
    </w:tbl>
    <w:p>
      <w:pPr>
        <w:spacing w:after="80"/>
      </w:pPr>
    </w:p>
    <w:p>
      <w:pPr>
        <w:spacing w:before="160" w:after="80"/>
      </w:pPr>
      <w:r>
        <w:rPr>
          <w:b/>
          <w:color w:val="08141F"/>
          <w:sz w:val="22"/>
        </w:rPr>
        <w:t>8. Key advantages of your solution *</w:t>
      </w:r>
    </w:p>
    <w:tbl>
      <w:tblPr>
        <w:tblW w:type="auto" w:w="0"/>
        <w:jc w:val="center"/>
        <w:tblLayout w:type="fixed"/>
        <w:tblLook w:firstColumn="1" w:firstRow="1" w:lastColumn="0" w:lastRow="0" w:noHBand="0" w:noVBand="1" w:val="04A0"/>
      </w:tblPr>
      <w:tblGrid>
        <w:gridCol w:w="5040"/>
        <w:gridCol w:w="5040"/>
      </w:tblGrid>
      <w:tr>
        <w:tc>
          <w:tcPr>
            <w:tcW w:type="dxa" w:w="3600"/>
            <w:shd w:fill="EAF4F2"/>
            <w:tcMar>
              <w:top w:w="40" w:type="dxa"/>
              <w:bottom w:w="40" w:type="dxa"/>
              <w:left w:w="80" w:type="dxa"/>
              <w:right w:w="80" w:type="dxa"/>
            </w:tcMar>
          </w:tcPr>
          <w:p>
            <w:r>
              <w:rPr>
                <w:b/>
                <w:color w:val="087F7B"/>
              </w:rPr>
              <w:t>[✔] Lower cost</w:t>
            </w:r>
          </w:p>
        </w:tc>
        <w:tc>
          <w:tcPr>
            <w:tcW w:type="dxa" w:w="6480"/>
            <w:shd w:fill="EAF4F2"/>
            <w:tcMar>
              <w:top w:w="40" w:type="dxa"/>
              <w:bottom w:w="40" w:type="dxa"/>
              <w:left w:w="80" w:type="dxa"/>
              <w:right w:w="80" w:type="dxa"/>
            </w:tcMar>
          </w:tcPr>
          <w:p>
            <w:r>
              <w:rPr>
                <w:color w:val="102331"/>
              </w:rPr>
              <w:t>Zero recurring cloud API fees; runs locally on standard workstation hardware.</w:t>
            </w:r>
          </w:p>
        </w:tc>
      </w:tr>
      <w:tr>
        <w:tc>
          <w:tcPr>
            <w:tcW w:type="dxa" w:w="3600"/>
            <w:shd w:fill="EAF4F2"/>
            <w:tcMar>
              <w:top w:w="40" w:type="dxa"/>
              <w:bottom w:w="40" w:type="dxa"/>
              <w:left w:w="80" w:type="dxa"/>
              <w:right w:w="80" w:type="dxa"/>
            </w:tcMar>
          </w:tcPr>
          <w:p>
            <w:r>
              <w:rPr>
                <w:b/>
                <w:color w:val="087F7B"/>
              </w:rPr>
              <w:t>[✔] Faster</w:t>
            </w:r>
          </w:p>
        </w:tc>
        <w:tc>
          <w:tcPr>
            <w:tcW w:type="dxa" w:w="6480"/>
            <w:shd w:fill="EAF4F2"/>
            <w:tcMar>
              <w:top w:w="40" w:type="dxa"/>
              <w:bottom w:w="40" w:type="dxa"/>
              <w:left w:w="80" w:type="dxa"/>
              <w:right w:w="80" w:type="dxa"/>
            </w:tcMar>
          </w:tcPr>
          <w:p>
            <w:r>
              <w:rPr>
                <w:color w:val="102331"/>
              </w:rPr>
              <w:t>Screens full 9-engine forensic suite in &lt;2.5 seconds per megapixel vs. months in lab queues.</w:t>
            </w:r>
          </w:p>
        </w:tc>
      </w:tr>
      <w:tr>
        <w:tc>
          <w:tcPr>
            <w:tcW w:type="dxa" w:w="3600"/>
            <w:shd w:fill="EAF4F2"/>
            <w:tcMar>
              <w:top w:w="40" w:type="dxa"/>
              <w:bottom w:w="40" w:type="dxa"/>
              <w:left w:w="80" w:type="dxa"/>
              <w:right w:w="80" w:type="dxa"/>
            </w:tcMar>
          </w:tcPr>
          <w:p>
            <w:r>
              <w:rPr>
                <w:b/>
                <w:color w:val="087F7B"/>
              </w:rPr>
              <w:t>[✔] Easier to use</w:t>
            </w:r>
          </w:p>
        </w:tc>
        <w:tc>
          <w:tcPr>
            <w:tcW w:type="dxa" w:w="6480"/>
            <w:shd w:fill="EAF4F2"/>
            <w:tcMar>
              <w:top w:w="40" w:type="dxa"/>
              <w:bottom w:w="40" w:type="dxa"/>
              <w:left w:w="80" w:type="dxa"/>
              <w:right w:w="80" w:type="dxa"/>
            </w:tcMar>
          </w:tcPr>
          <w:p>
            <w:r>
              <w:rPr>
                <w:color w:val="102331"/>
              </w:rPr>
              <w:t>Intuitive drag-and-drop web UI with visual anomaly overlays for non-technical officers.</w:t>
            </w:r>
          </w:p>
        </w:tc>
      </w:tr>
      <w:tr>
        <w:tc>
          <w:tcPr>
            <w:tcW w:type="dxa" w:w="3600"/>
            <w:shd w:fill="EAF4F2"/>
            <w:tcMar>
              <w:top w:w="40" w:type="dxa"/>
              <w:bottom w:w="40" w:type="dxa"/>
              <w:left w:w="80" w:type="dxa"/>
              <w:right w:w="80" w:type="dxa"/>
            </w:tcMar>
          </w:tcPr>
          <w:p>
            <w:r>
              <w:rPr>
                <w:b/>
                <w:color w:val="087F7B"/>
              </w:rPr>
              <w:t>[✔] More accurate</w:t>
            </w:r>
          </w:p>
        </w:tc>
        <w:tc>
          <w:tcPr>
            <w:tcW w:type="dxa" w:w="6480"/>
            <w:shd w:fill="EAF4F2"/>
            <w:tcMar>
              <w:top w:w="40" w:type="dxa"/>
              <w:bottom w:w="40" w:type="dxa"/>
              <w:left w:w="80" w:type="dxa"/>
              <w:right w:w="80" w:type="dxa"/>
            </w:tcMar>
          </w:tcPr>
          <w:p>
            <w:r>
              <w:rPr>
                <w:color w:val="102331"/>
              </w:rPr>
              <w:t>Multi-evidence ensemble fusion suppresses single-indicator false positives.</w:t>
            </w:r>
          </w:p>
        </w:tc>
      </w:tr>
      <w:tr>
        <w:tc>
          <w:tcPr>
            <w:tcW w:type="dxa" w:w="3600"/>
            <w:shd w:fill="EAF4F2"/>
            <w:tcMar>
              <w:top w:w="40" w:type="dxa"/>
              <w:bottom w:w="40" w:type="dxa"/>
              <w:left w:w="80" w:type="dxa"/>
              <w:right w:w="80" w:type="dxa"/>
            </w:tcMar>
          </w:tcPr>
          <w:p>
            <w:r>
              <w:rPr>
                <w:b/>
                <w:color w:val="087F7B"/>
              </w:rPr>
              <w:t>[✔] More accessible</w:t>
            </w:r>
          </w:p>
        </w:tc>
        <w:tc>
          <w:tcPr>
            <w:tcW w:type="dxa" w:w="6480"/>
            <w:shd w:fill="EAF4F2"/>
            <w:tcMar>
              <w:top w:w="40" w:type="dxa"/>
              <w:bottom w:w="40" w:type="dxa"/>
              <w:left w:w="80" w:type="dxa"/>
              <w:right w:w="80" w:type="dxa"/>
            </w:tcMar>
          </w:tcPr>
          <w:p>
            <w:r>
              <w:rPr>
                <w:color w:val="102331"/>
              </w:rPr>
              <w:t>Offline, air-gapped deployment for district-level and rural police stations.</w:t>
            </w:r>
          </w:p>
        </w:tc>
      </w:tr>
      <w:tr>
        <w:tc>
          <w:tcPr>
            <w:tcW w:type="dxa" w:w="3600"/>
            <w:shd w:fill="FAFAFA"/>
            <w:tcMar>
              <w:top w:w="40" w:type="dxa"/>
              <w:bottom w:w="40" w:type="dxa"/>
              <w:left w:w="80" w:type="dxa"/>
              <w:right w:w="80" w:type="dxa"/>
            </w:tcMar>
          </w:tcPr>
          <w:p>
            <w:r>
              <w:rPr>
                <w:b w:val="0"/>
                <w:color w:val="6E7D87"/>
              </w:rPr>
              <w:t>[ ] More inclusive</w:t>
            </w:r>
          </w:p>
        </w:tc>
        <w:tc>
          <w:tcPr>
            <w:tcW w:type="dxa" w:w="6480"/>
            <w:shd w:fill="FAFAFA"/>
            <w:tcMar>
              <w:top w:w="40" w:type="dxa"/>
              <w:bottom w:w="40" w:type="dxa"/>
              <w:left w:w="80" w:type="dxa"/>
              <w:right w:w="80" w:type="dxa"/>
            </w:tcMar>
          </w:tcPr>
          <w:p>
            <w:r>
              <w:rPr>
                <w:color w:val="6E7D87"/>
              </w:rPr>
            </w:r>
          </w:p>
        </w:tc>
      </w:tr>
      <w:tr>
        <w:tc>
          <w:tcPr>
            <w:tcW w:type="dxa" w:w="3600"/>
            <w:shd w:fill="EAF4F2"/>
            <w:tcMar>
              <w:top w:w="40" w:type="dxa"/>
              <w:bottom w:w="40" w:type="dxa"/>
              <w:left w:w="80" w:type="dxa"/>
              <w:right w:w="80" w:type="dxa"/>
            </w:tcMar>
          </w:tcPr>
          <w:p>
            <w:r>
              <w:rPr>
                <w:b/>
                <w:color w:val="087F7B"/>
              </w:rPr>
              <w:t>[✔] Better citizen experience</w:t>
            </w:r>
          </w:p>
        </w:tc>
        <w:tc>
          <w:tcPr>
            <w:tcW w:type="dxa" w:w="6480"/>
            <w:shd w:fill="EAF4F2"/>
            <w:tcMar>
              <w:top w:w="40" w:type="dxa"/>
              <w:bottom w:w="40" w:type="dxa"/>
              <w:left w:w="80" w:type="dxa"/>
              <w:right w:w="80" w:type="dxa"/>
            </w:tcMar>
          </w:tcPr>
          <w:p>
            <w:r>
              <w:rPr>
                <w:color w:val="102331"/>
              </w:rPr>
              <w:t>Expedited justice and faster processing of legitimate insurance claims.</w:t>
            </w:r>
          </w:p>
        </w:tc>
      </w:tr>
      <w:tr>
        <w:tc>
          <w:tcPr>
            <w:tcW w:type="dxa" w:w="3600"/>
            <w:shd w:fill="EAF4F2"/>
            <w:tcMar>
              <w:top w:w="40" w:type="dxa"/>
              <w:bottom w:w="40" w:type="dxa"/>
              <w:left w:w="80" w:type="dxa"/>
              <w:right w:w="80" w:type="dxa"/>
            </w:tcMar>
          </w:tcPr>
          <w:p>
            <w:r>
              <w:rPr>
                <w:b/>
                <w:color w:val="087F7B"/>
              </w:rPr>
              <w:t>[✔] Better government efficiency</w:t>
            </w:r>
          </w:p>
        </w:tc>
        <w:tc>
          <w:tcPr>
            <w:tcW w:type="dxa" w:w="6480"/>
            <w:shd w:fill="EAF4F2"/>
            <w:tcMar>
              <w:top w:w="40" w:type="dxa"/>
              <w:bottom w:w="40" w:type="dxa"/>
              <w:left w:w="80" w:type="dxa"/>
              <w:right w:w="80" w:type="dxa"/>
            </w:tcMar>
          </w:tcPr>
          <w:p>
            <w:r>
              <w:rPr>
                <w:color w:val="102331"/>
              </w:rPr>
              <w:t>Drastically reduces backlog at State Cyber Labs and Police Headquarters.</w:t>
            </w:r>
          </w:p>
        </w:tc>
      </w:tr>
      <w:tr>
        <w:tc>
          <w:tcPr>
            <w:tcW w:type="dxa" w:w="3600"/>
            <w:shd w:fill="FAFAFA"/>
            <w:tcMar>
              <w:top w:w="40" w:type="dxa"/>
              <w:bottom w:w="40" w:type="dxa"/>
              <w:left w:w="80" w:type="dxa"/>
              <w:right w:w="80" w:type="dxa"/>
            </w:tcMar>
          </w:tcPr>
          <w:p>
            <w:r>
              <w:rPr>
                <w:b w:val="0"/>
                <w:color w:val="6E7D87"/>
              </w:rPr>
              <w:t>[ ] Environmentally sustainable</w:t>
            </w:r>
          </w:p>
        </w:tc>
        <w:tc>
          <w:tcPr>
            <w:tcW w:type="dxa" w:w="6480"/>
            <w:shd w:fill="FAFAFA"/>
            <w:tcMar>
              <w:top w:w="40" w:type="dxa"/>
              <w:bottom w:w="40" w:type="dxa"/>
              <w:left w:w="80" w:type="dxa"/>
              <w:right w:w="80" w:type="dxa"/>
            </w:tcMar>
          </w:tcPr>
          <w:p>
            <w:r>
              <w:rPr>
                <w:color w:val="6E7D87"/>
              </w:rPr>
            </w:r>
          </w:p>
        </w:tc>
      </w:tr>
      <w:tr>
        <w:tc>
          <w:tcPr>
            <w:tcW w:type="dxa" w:w="3600"/>
            <w:shd w:fill="EAF4F2"/>
            <w:tcMar>
              <w:top w:w="40" w:type="dxa"/>
              <w:bottom w:w="40" w:type="dxa"/>
              <w:left w:w="80" w:type="dxa"/>
              <w:right w:w="80" w:type="dxa"/>
            </w:tcMar>
          </w:tcPr>
          <w:p>
            <w:r>
              <w:rPr>
                <w:b/>
                <w:color w:val="087F7B"/>
              </w:rPr>
              <w:t>[✔] Scalable</w:t>
            </w:r>
          </w:p>
        </w:tc>
        <w:tc>
          <w:tcPr>
            <w:tcW w:type="dxa" w:w="6480"/>
            <w:shd w:fill="EAF4F2"/>
            <w:tcMar>
              <w:top w:w="40" w:type="dxa"/>
              <w:bottom w:w="40" w:type="dxa"/>
              <w:left w:w="80" w:type="dxa"/>
              <w:right w:w="80" w:type="dxa"/>
            </w:tcMar>
          </w:tcPr>
          <w:p>
            <w:r>
              <w:rPr>
                <w:color w:val="102331"/>
              </w:rPr>
              <w:t>Containerized Docker architecture with asynchronous worker task queues.</w:t>
            </w:r>
          </w:p>
        </w:tc>
      </w:tr>
      <w:tr>
        <w:tc>
          <w:tcPr>
            <w:tcW w:type="dxa" w:w="3600"/>
            <w:shd w:fill="EAF4F2"/>
            <w:tcMar>
              <w:top w:w="40" w:type="dxa"/>
              <w:bottom w:w="40" w:type="dxa"/>
              <w:left w:w="80" w:type="dxa"/>
              <w:right w:w="80" w:type="dxa"/>
            </w:tcMar>
          </w:tcPr>
          <w:p>
            <w:r>
              <w:rPr>
                <w:b/>
                <w:color w:val="087F7B"/>
              </w:rPr>
              <w:t>[✔] Uses new technology</w:t>
            </w:r>
          </w:p>
        </w:tc>
        <w:tc>
          <w:tcPr>
            <w:tcW w:type="dxa" w:w="6480"/>
            <w:shd w:fill="EAF4F2"/>
            <w:tcMar>
              <w:top w:w="40" w:type="dxa"/>
              <w:bottom w:w="40" w:type="dxa"/>
              <w:left w:w="80" w:type="dxa"/>
              <w:right w:w="80" w:type="dxa"/>
            </w:tcMar>
          </w:tcPr>
          <w:p>
            <w:r>
              <w:rPr>
                <w:color w:val="102331"/>
              </w:rPr>
              <w:t>2D Fourier spectral slope modeling, SRM wavelets, and high-pass residual analysis.</w:t>
            </w:r>
          </w:p>
        </w:tc>
      </w:tr>
      <w:tr>
        <w:tc>
          <w:tcPr>
            <w:tcW w:type="dxa" w:w="3600"/>
            <w:shd w:fill="EAF4F2"/>
            <w:tcMar>
              <w:top w:w="40" w:type="dxa"/>
              <w:bottom w:w="40" w:type="dxa"/>
              <w:left w:w="80" w:type="dxa"/>
              <w:right w:w="80" w:type="dxa"/>
            </w:tcMar>
          </w:tcPr>
          <w:p>
            <w:r>
              <w:rPr>
                <w:b/>
                <w:color w:val="087F7B"/>
              </w:rPr>
              <w:t>[✔] New process or service model</w:t>
            </w:r>
          </w:p>
        </w:tc>
        <w:tc>
          <w:tcPr>
            <w:tcW w:type="dxa" w:w="6480"/>
            <w:shd w:fill="EAF4F2"/>
            <w:tcMar>
              <w:top w:w="40" w:type="dxa"/>
              <w:bottom w:w="40" w:type="dxa"/>
              <w:left w:w="80" w:type="dxa"/>
              <w:right w:w="80" w:type="dxa"/>
            </w:tcMar>
          </w:tcPr>
          <w:p>
            <w:r>
              <w:rPr>
                <w:color w:val="102331"/>
              </w:rPr>
              <w:t>Forensic triage layer bridging frontline policing with laboratory expertise.</w:t>
            </w:r>
          </w:p>
        </w:tc>
      </w:tr>
      <w:tr>
        <w:tc>
          <w:tcPr>
            <w:tcW w:type="dxa" w:w="3600"/>
            <w:shd w:fill="FAFAFA"/>
            <w:tcMar>
              <w:top w:w="40" w:type="dxa"/>
              <w:bottom w:w="40" w:type="dxa"/>
              <w:left w:w="80" w:type="dxa"/>
              <w:right w:w="80" w:type="dxa"/>
            </w:tcMar>
          </w:tcPr>
          <w:p>
            <w:r>
              <w:rPr>
                <w:b w:val="0"/>
                <w:color w:val="6E7D87"/>
              </w:rPr>
              <w:t>[ ] Other</w:t>
            </w:r>
          </w:p>
        </w:tc>
        <w:tc>
          <w:tcPr>
            <w:tcW w:type="dxa" w:w="6480"/>
            <w:shd w:fill="FAFAFA"/>
            <w:tcMar>
              <w:top w:w="40" w:type="dxa"/>
              <w:bottom w:w="40" w:type="dxa"/>
              <w:left w:w="80" w:type="dxa"/>
              <w:right w:w="80" w:type="dxa"/>
            </w:tcMar>
          </w:tcPr>
          <w:p>
            <w:r>
              <w:rPr>
                <w:color w:val="6E7D87"/>
              </w:rPr>
            </w:r>
          </w:p>
        </w:tc>
      </w:tr>
    </w:tbl>
    <w:p>
      <w:pPr>
        <w:spacing w:after="80"/>
      </w:pPr>
    </w:p>
    <w:p>
      <w:pPr>
        <w:spacing w:before="160" w:after="80"/>
      </w:pPr>
      <w:r>
        <w:rPr>
          <w:b/>
          <w:color w:val="08141F"/>
          <w:sz w:val="22"/>
        </w:rPr>
        <w:t>9. Has the solution been tested or piloted? *</w:t>
      </w:r>
    </w:p>
    <w:p>
      <w:r>
        <w:t>[✔] Yes  /  [ ] No</w:t>
      </w:r>
    </w:p>
    <w:p>
      <w:pPr>
        <w:spacing w:before="160" w:after="80"/>
      </w:pPr>
      <w:r>
        <w:rPr>
          <w:b/>
          <w:color w:val="08141F"/>
          <w:sz w:val="22"/>
        </w:rPr>
        <w:t>10. Pilot / deployment details</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 Laboratory Benchmark Testing: Validated across calibrated ground truth test sets including authentic camera captures (CMF Nothing Phone 2 Pro, Google Pixel Ultra HDR gain maps) and real-world manipulated media (deepfake face splicing, generative fill object erasure, and text forgery).</w:t>
              <w:br/>
              <w:t>• Automated Test Suite: 16 automated backend unit and integration tests executed with 100% pass rate.</w:t>
              <w:br/>
              <w:t>• Proposed Field Pilot Partners:</w:t>
              <w:br/>
              <w:t xml:space="preserve">  1. Regional Forensic Science Laboratories (RFSL) for digital evidence intake triage.</w:t>
              <w:br/>
              <w:t xml:space="preserve">  2. State Police Cyber Crime Divisions for active case screening of social media extortion and cyber fraud media.</w:t>
              <w:br/>
              <w:t xml:space="preserve">  3. General Insurance claim processing desks for vehicle collision and property claim photo validation.</w:t>
            </w:r>
          </w:p>
        </w:tc>
      </w:tr>
    </w:tbl>
    <w:p>
      <w:pPr>
        <w:spacing w:before="0" w:after="40"/>
      </w:pPr>
    </w:p>
    <w:p>
      <w:pPr>
        <w:spacing w:before="160" w:after="80"/>
      </w:pPr>
      <w:r>
        <w:rPr>
          <w:b/>
          <w:color w:val="08141F"/>
          <w:sz w:val="22"/>
        </w:rPr>
        <w:t>11. Expected impact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1. 80% Acceleration in Evidence Triage: Reduces initial evidence evaluation time from weeks to under 30 seconds per file, allowing law enforcement officers to filter out frivolous complaints or immediately prioritize high-risk tampered evidence.</w:t>
              <w:br/>
              <w:br/>
              <w:t>2. Multi-Crore Financial Fraud Mitigation: Prevents fraudulent claim payouts across banking and insurance by detecting digitally staged vehicle crashes, cloned invoices, and altered salary slips before fund disbursement.</w:t>
              <w:br/>
              <w:br/>
              <w:t>3. Enhanced Judicial Admissibility: Provides courts with ISO/IEC 27037 and Section 63 BSA-compliant cryptographic audit certificates that withstand vigorous cross-examination, reinforcing public digital trust.</w:t>
            </w:r>
          </w:p>
        </w:tc>
      </w:tr>
    </w:tbl>
    <w:p>
      <w:pPr>
        <w:spacing w:before="0" w:after="40"/>
      </w:pPr>
    </w:p>
    <w:p>
      <w:pPr>
        <w:spacing w:before="200" w:after="160"/>
      </w:pPr>
      <w:r>
        <w:rPr>
          <w:rFonts w:ascii="Arial" w:hAnsi="Arial"/>
          <w:b/>
          <w:color w:val="087F7B"/>
          <w:sz w:val="26"/>
        </w:rPr>
        <w:t>GUIDELINES, DEMO &amp; PRESENTATION</w:t>
      </w:r>
    </w:p>
    <w:p>
      <w:pPr>
        <w:spacing w:before="120" w:after="80"/>
      </w:pPr>
      <w:r>
        <w:rPr>
          <w:b/>
          <w:color w:val="08141F"/>
          <w:sz w:val="22"/>
        </w:rPr>
        <w:t>12. Pitch Deck template</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The presentation strictly adheres to the official 6-slide structure prescribed by the SEVA FIRST Innovation Challenge:</w:t>
              <w:br/>
              <w:t>• Slide 1: Title &amp; Application Identification (Sector 9, Sub-theme 4, Doctrine: 'The tool screens. The expert decides.')</w:t>
              <w:br/>
              <w:t>• Slide 2: The Evidentiary Crisis in Digital Media (Financial fraud, court backlogs, black-box commercial trap)</w:t>
              <w:br/>
              <w:t>• Slide 3: The Innovation: 4-Layer Defensible Architecture (Screening, Evidence Sealing, Explainable Metrics, Expert Review)</w:t>
              <w:br/>
              <w:t>• Slide 4: Technical Feasibility &amp; Working Prototype Validation (Test results, speed, ground truth accuracy)</w:t>
              <w:br/>
              <w:t>• Slide 5: Operational Impact &amp; Institutional Adoption Strategy (Police, Labs, Insurers, air-gapped security)</w:t>
              <w:br/>
              <w:t>• Slide 6: Team Heritage, Institutional Profile &amp; Utilization of the ₹10 Lakh Award</w:t>
            </w:r>
          </w:p>
        </w:tc>
      </w:tr>
    </w:tbl>
    <w:p>
      <w:pPr>
        <w:spacing w:before="0" w:after="40"/>
      </w:pPr>
    </w:p>
    <w:p>
      <w:pPr>
        <w:spacing w:before="120" w:after="80"/>
      </w:pPr>
      <w:r>
        <w:rPr>
          <w:b/>
          <w:color w:val="08141F"/>
          <w:sz w:val="22"/>
        </w:rPr>
        <w:t>13. Standard 6-slide presentation *</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 File Name: SCSS_SATYA_SEVA_FIRST_2026_Pitch_Deck_v2.pptx</w:t>
              <w:br/>
              <w:t>• File Path: docs/SCSS_SATYA_SEVA_FIRST_2026_Pitch_Deck_v2.pptx</w:t>
              <w:br/>
              <w:t>• File Size: 47.06 KB (well within the 15 MB limit)</w:t>
              <w:br/>
              <w:t>• Format: Microsoft PowerPoint (.pptx)</w:t>
            </w:r>
          </w:p>
        </w:tc>
      </w:tr>
    </w:tbl>
    <w:p>
      <w:pPr>
        <w:spacing w:before="0" w:after="40"/>
      </w:pPr>
    </w:p>
    <w:p>
      <w:pPr>
        <w:spacing w:before="120" w:after="80"/>
      </w:pPr>
      <w:r>
        <w:rPr>
          <w:b/>
          <w:color w:val="08141F"/>
          <w:sz w:val="22"/>
        </w:rPr>
        <w:t>14. Prototype / Demo Link &amp; 15. Website / product link</w:t>
      </w:r>
    </w:p>
    <w:tbl>
      <w:tblPr>
        <w:tblW w:type="auto" w:w="0"/>
        <w:jc w:val="center"/>
        <w:tblLayout w:type="fixed"/>
        <w:tblLook w:firstColumn="1" w:firstRow="1" w:lastColumn="0" w:lastRow="0" w:noHBand="0" w:noVBand="1" w:val="04A0"/>
      </w:tblPr>
      <w:tblGrid>
        <w:gridCol w:w="10080"/>
      </w:tblGrid>
      <w:tr>
        <w:tc>
          <w:tcPr>
            <w:tcW w:type="dxa" w:w="10080"/>
            <w:shd w:fill="F4F8F7"/>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 GitHub Source Repository: https://github.com/mohapatraaditya17-crypto/SCSS-SATYA-1st-prototype</w:t>
              <w:br/>
              <w:t>• Local Prototype Web Shell: http://localhost:5173</w:t>
              <w:br/>
              <w:t>• API Documentation &amp; Service Health: http://127.0.0.1:8000/docs &amp; http://127.0.0.1:8000/api/health</w:t>
              <w:br/>
              <w:t>• Developing Institution: Sure Clue Scientific Solutions (SCSS)</w:t>
            </w:r>
          </w:p>
        </w:tc>
      </w:tr>
    </w:tbl>
    <w:p>
      <w:pPr>
        <w:spacing w:before="0" w:after="40"/>
      </w:pPr>
    </w:p>
    <w:p>
      <w:pPr>
        <w:spacing w:before="200" w:after="80"/>
      </w:pPr>
      <w:r>
        <w:rPr>
          <w:b/>
          <w:color w:val="08141F"/>
          <w:sz w:val="22"/>
        </w:rPr>
        <w:t>16. Compliance *</w:t>
      </w:r>
    </w:p>
    <w:tbl>
      <w:tblPr>
        <w:tblW w:type="auto" w:w="0"/>
        <w:jc w:val="center"/>
        <w:tblLayout w:type="fixed"/>
        <w:tblLook w:firstColumn="1" w:firstRow="1" w:lastColumn="0" w:lastRow="0" w:noHBand="0" w:noVBand="1" w:val="04A0"/>
      </w:tblPr>
      <w:tblGrid>
        <w:gridCol w:w="10080"/>
      </w:tblGrid>
      <w:tr>
        <w:tc>
          <w:tcPr>
            <w:tcW w:type="dxa" w:w="10080"/>
            <w:shd w:fill="EAF4F2"/>
            <w:tcMar>
              <w:top w:w="120" w:type="dxa"/>
              <w:bottom w:w="120" w:type="dxa"/>
              <w:left w:w="180" w:type="dxa"/>
              <w:right w:w="180" w:type="dxa"/>
            </w:tcMar>
            <w:tcBorders>
              <w:left w:val="single" w:sz="24" w:space="0" w:color="087F7B"/>
              <w:top w:val="none"/>
              <w:right w:val="none"/>
              <w:bottom w:val="none"/>
            </w:tcBorders>
          </w:tcPr>
          <w:p>
            <w:pPr>
              <w:spacing w:before="0" w:after="40" w:line="276" w:lineRule="auto"/>
            </w:pPr>
            <w:r>
              <w:rPr>
                <w:rFonts w:ascii="Calibri" w:hAnsi="Calibri"/>
                <w:color w:val="102331"/>
                <w:sz w:val="20"/>
              </w:rPr>
              <w:t>[✔] I confirm that the information provided by me is accurate and I agree to be contacted by the Seva First Innovation Challenge programme team regarding the programme and further registration/application process.</w:t>
            </w:r>
          </w:p>
        </w:tc>
      </w:tr>
    </w:tbl>
    <w:p>
      <w:pPr>
        <w:spacing w:before="0" w:after="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023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