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34A5" w14:textId="77777777" w:rsidR="00DA6DE1" w:rsidRPr="00DA6DE1" w:rsidRDefault="00DA6DE1" w:rsidP="00DA6DE1">
      <w:pPr>
        <w:rPr>
          <w:b/>
          <w:bCs/>
          <w:lang w:val="en-KE"/>
        </w:rPr>
      </w:pPr>
      <w:proofErr w:type="spellStart"/>
      <w:r w:rsidRPr="00DA6DE1">
        <w:rPr>
          <w:b/>
          <w:bCs/>
          <w:lang w:val="en-KE"/>
        </w:rPr>
        <w:t>AhadiIQ</w:t>
      </w:r>
      <w:proofErr w:type="spellEnd"/>
    </w:p>
    <w:p w14:paraId="79C98D35" w14:textId="77777777" w:rsidR="00DA6DE1" w:rsidRPr="00DA6DE1" w:rsidRDefault="00DA6DE1" w:rsidP="00DA6DE1">
      <w:pPr>
        <w:rPr>
          <w:b/>
          <w:bCs/>
          <w:lang w:val="en-KE"/>
        </w:rPr>
      </w:pPr>
      <w:r w:rsidRPr="00DA6DE1">
        <w:rPr>
          <w:b/>
          <w:bCs/>
          <w:lang w:val="en-KE"/>
        </w:rPr>
        <w:t>Transform agreements into actionable obligations.</w:t>
      </w:r>
    </w:p>
    <w:p w14:paraId="443B206A" w14:textId="77777777" w:rsidR="00DA6DE1" w:rsidRPr="00DA6DE1" w:rsidRDefault="00DA6DE1" w:rsidP="00DA6DE1">
      <w:pPr>
        <w:rPr>
          <w:lang w:val="en-KE"/>
        </w:rPr>
      </w:pPr>
      <w:proofErr w:type="spellStart"/>
      <w:r w:rsidRPr="00DA6DE1">
        <w:rPr>
          <w:lang w:val="en-KE"/>
        </w:rPr>
        <w:t>AhadiIQ</w:t>
      </w:r>
      <w:proofErr w:type="spellEnd"/>
      <w:r w:rsidRPr="00DA6DE1">
        <w:rPr>
          <w:lang w:val="en-KE"/>
        </w:rPr>
        <w:t xml:space="preserve"> is a multi-tenant Agreement Intelligence and Obligation Tracking Platform designed to help organizations identify, track, and manage commitments hidden within contracts, leases, service agreements, procurement agreements, employment contracts, and other legally binding documents. In many organizations, agreements are drafted, negotiated, signed, scanned, and stored in document repositories, shared drives, or email archives. While the documents themselves are retained, the obligations contained within them—including renewal deadlines, notice periods, payment commitments, compliance requirements, reporting obligations, maintenance activities, contract reviews, and termination conditions—are often managed through spreadsheets, calendar reminders, email chains, or manual follow-ups. As agreement volumes increase, these approaches become increasingly difficult to maintain, resulting in missed obligations, unintended renewals, financial penalties, compliance risks, and operational disruption.</w:t>
      </w:r>
    </w:p>
    <w:p w14:paraId="2B576D95" w14:textId="77777777" w:rsidR="00DA6DE1" w:rsidRPr="00DA6DE1" w:rsidRDefault="00DA6DE1" w:rsidP="00DA6DE1">
      <w:pPr>
        <w:rPr>
          <w:lang w:val="en-KE"/>
        </w:rPr>
      </w:pPr>
      <w:proofErr w:type="spellStart"/>
      <w:r w:rsidRPr="00DA6DE1">
        <w:rPr>
          <w:lang w:val="en-KE"/>
        </w:rPr>
        <w:t>AhadiIQ</w:t>
      </w:r>
      <w:proofErr w:type="spellEnd"/>
      <w:r w:rsidRPr="00DA6DE1">
        <w:rPr>
          <w:lang w:val="en-KE"/>
        </w:rPr>
        <w:t xml:space="preserve"> addresses this challenge by transforming static agreements into structured operational records that can be monitored, assigned, audited, searched, and acted upon throughout their lifecycle. Rather than functioning as a document repository or contract summarization tool, the platform focuses on a specific operational problem: ensuring that commitments contained within agreements are identified early, assigned to responsible personnel, tracked continuously, and acted upon before critical deadlines are missed.</w:t>
      </w:r>
    </w:p>
    <w:p w14:paraId="5413B642" w14:textId="77777777" w:rsidR="00DA6DE1" w:rsidRPr="00DA6DE1" w:rsidRDefault="00DA6DE1" w:rsidP="00DA6DE1">
      <w:pPr>
        <w:rPr>
          <w:lang w:val="en-KE"/>
        </w:rPr>
      </w:pPr>
      <w:r w:rsidRPr="00DA6DE1">
        <w:rPr>
          <w:lang w:val="en-KE"/>
        </w:rPr>
        <w:t>Users authenticate through federated single sign-on using Amazon Cognito, eliminating the need for locally managed credentials while supporting secure tenant isolation. Agreements are uploaded through a secure web application and stored in Amazon S3, which serves as the system of record for original documents. Initial document metadata, including file name, document owner, upload timestamp, tenant information, storage location, and processing status, is stored in PostgreSQL. This metadata exists independently of contractual information extracted from the document and enables the platform to track each agreement throughout the processing lifecycle.</w:t>
      </w:r>
    </w:p>
    <w:p w14:paraId="1343E69C" w14:textId="77777777" w:rsidR="00DA6DE1" w:rsidRPr="00DA6DE1" w:rsidRDefault="00DA6DE1" w:rsidP="00DA6DE1">
      <w:pPr>
        <w:rPr>
          <w:lang w:val="en-KE"/>
        </w:rPr>
      </w:pPr>
      <w:r w:rsidRPr="00DA6DE1">
        <w:rPr>
          <w:lang w:val="en-KE"/>
        </w:rPr>
        <w:t xml:space="preserve">Document processing is performed asynchronously to decouple user interactions from computationally intensive workloads. When an agreement is uploaded, a processing request is placed onto Amazon SQS and consumed by a containerized </w:t>
      </w:r>
      <w:proofErr w:type="spellStart"/>
      <w:r w:rsidRPr="00DA6DE1">
        <w:rPr>
          <w:lang w:val="en-KE"/>
        </w:rPr>
        <w:t>FastAPI</w:t>
      </w:r>
      <w:proofErr w:type="spellEnd"/>
      <w:r w:rsidRPr="00DA6DE1">
        <w:rPr>
          <w:lang w:val="en-KE"/>
        </w:rPr>
        <w:t>-based processing service running on Amazon ECS. This architecture allows users to upload documents and continue working immediately while analysis occurs in the background. The asynchronous design improves scalability, fault isolation, and operational resilience while supporting future horizontal scaling through additional processing workers.</w:t>
      </w:r>
    </w:p>
    <w:p w14:paraId="2EF29FFA" w14:textId="77777777" w:rsidR="00DA6DE1" w:rsidRPr="00DA6DE1" w:rsidRDefault="00DA6DE1" w:rsidP="00DA6DE1">
      <w:pPr>
        <w:rPr>
          <w:lang w:val="en-KE"/>
        </w:rPr>
      </w:pPr>
      <w:r w:rsidRPr="00DA6DE1">
        <w:rPr>
          <w:lang w:val="en-KE"/>
        </w:rPr>
        <w:t xml:space="preserve">The processing pipeline begins with text extraction using Amazon </w:t>
      </w:r>
      <w:proofErr w:type="spellStart"/>
      <w:r w:rsidRPr="00DA6DE1">
        <w:rPr>
          <w:lang w:val="en-KE"/>
        </w:rPr>
        <w:t>Textract</w:t>
      </w:r>
      <w:proofErr w:type="spellEnd"/>
      <w:r w:rsidRPr="00DA6DE1">
        <w:rPr>
          <w:lang w:val="en-KE"/>
        </w:rPr>
        <w:t xml:space="preserve">. </w:t>
      </w:r>
      <w:proofErr w:type="spellStart"/>
      <w:r w:rsidRPr="00DA6DE1">
        <w:rPr>
          <w:lang w:val="en-KE"/>
        </w:rPr>
        <w:t>Textract</w:t>
      </w:r>
      <w:proofErr w:type="spellEnd"/>
      <w:r w:rsidRPr="00DA6DE1">
        <w:rPr>
          <w:lang w:val="en-KE"/>
        </w:rPr>
        <w:t xml:space="preserve"> was selected because it supports scanned documents, structured forms, and handwritten content while integrating natively with AWS-managed services. The extracted text is stored </w:t>
      </w:r>
      <w:r w:rsidRPr="00DA6DE1">
        <w:rPr>
          <w:lang w:val="en-KE"/>
        </w:rPr>
        <w:lastRenderedPageBreak/>
        <w:t>separately from the original document, creating an auditable processing trail and allowing agreements to be reprocessed in the future without requiring users to upload documents again. Storing OCR output also simplifies troubleshooting by allowing extracted text to be compared directly against subsequent extraction results and validation outcomes.</w:t>
      </w:r>
    </w:p>
    <w:p w14:paraId="2CF0013A" w14:textId="77777777" w:rsidR="00DA6DE1" w:rsidRPr="00DA6DE1" w:rsidRDefault="00DA6DE1" w:rsidP="00DA6DE1">
      <w:pPr>
        <w:rPr>
          <w:lang w:val="en-KE"/>
        </w:rPr>
      </w:pPr>
      <w:r w:rsidRPr="00DA6DE1">
        <w:rPr>
          <w:lang w:val="en-KE"/>
        </w:rPr>
        <w:t xml:space="preserve">Following OCR, </w:t>
      </w:r>
      <w:proofErr w:type="spellStart"/>
      <w:r w:rsidRPr="00DA6DE1">
        <w:rPr>
          <w:lang w:val="en-KE"/>
        </w:rPr>
        <w:t>AhadiIQ</w:t>
      </w:r>
      <w:proofErr w:type="spellEnd"/>
      <w:r w:rsidRPr="00DA6DE1">
        <w:rPr>
          <w:lang w:val="en-KE"/>
        </w:rPr>
        <w:t xml:space="preserve"> performs document classification to determine the agreement type. Supported categories include leases, vendor agreements, service agreements, procurement agreements, employment contracts, and other contractual document types. Classification enables the platform to apply document-specific extraction logic, validation rules, and obligation-generation workflows that are tailored to the characteristics of each agreement type.</w:t>
      </w:r>
    </w:p>
    <w:p w14:paraId="0E6BEBE2" w14:textId="77777777" w:rsidR="00DA6DE1" w:rsidRPr="00DA6DE1" w:rsidRDefault="00DA6DE1" w:rsidP="00DA6DE1">
      <w:pPr>
        <w:rPr>
          <w:lang w:val="en-KE"/>
        </w:rPr>
      </w:pPr>
      <w:r w:rsidRPr="00DA6DE1">
        <w:rPr>
          <w:lang w:val="en-KE"/>
        </w:rPr>
        <w:t xml:space="preserve">Once classified, the extracted text is </w:t>
      </w:r>
      <w:proofErr w:type="spellStart"/>
      <w:r w:rsidRPr="00DA6DE1">
        <w:rPr>
          <w:lang w:val="en-KE"/>
        </w:rPr>
        <w:t>analyzed</w:t>
      </w:r>
      <w:proofErr w:type="spellEnd"/>
      <w:r w:rsidRPr="00DA6DE1">
        <w:rPr>
          <w:lang w:val="en-KE"/>
        </w:rPr>
        <w:t xml:space="preserve"> using Amazon Bedrock. Bedrock was selected as the model access layer because it allows the platform to leverage multiple foundation models through a single managed AWS service without coupling business logic to a specific AI provider. The initial implementation uses Claude Sonnet through Bedrock for structured information extraction and clause classification. Claude Sonnet was selected because of its strong document understanding capabilities, reliable structured output generation, and ability to accurately identify contractual language within long-form agreements.</w:t>
      </w:r>
    </w:p>
    <w:p w14:paraId="5D450076" w14:textId="77777777" w:rsidR="00DA6DE1" w:rsidRPr="00DA6DE1" w:rsidRDefault="00DA6DE1" w:rsidP="00DA6DE1">
      <w:pPr>
        <w:rPr>
          <w:lang w:val="en-KE"/>
        </w:rPr>
      </w:pPr>
      <w:r w:rsidRPr="00DA6DE1">
        <w:rPr>
          <w:lang w:val="en-KE"/>
        </w:rPr>
        <w:t>The AI layer is responsible for converting unstructured text into structured candidate data. The model is prompted to return strictly formatted JSON containing agreement attributes such as parties, effective dates, expiry dates, notice periods, renewal conditions, payment commitments, reporting requirements, and other contractually significant information. The AI is not responsible for legal interpretation, compliance decisions, risk assessment, or legal advice. Its role is limited to extracting information and identifying contractual clauses that can subsequently be validated and transformed into operational records.</w:t>
      </w:r>
    </w:p>
    <w:p w14:paraId="3B2F9405" w14:textId="77777777" w:rsidR="00DA6DE1" w:rsidRPr="00DA6DE1" w:rsidRDefault="00DA6DE1" w:rsidP="00DA6DE1">
      <w:pPr>
        <w:rPr>
          <w:lang w:val="en-KE"/>
        </w:rPr>
      </w:pPr>
      <w:r w:rsidRPr="00DA6DE1">
        <w:rPr>
          <w:lang w:val="en-KE"/>
        </w:rPr>
        <w:t xml:space="preserve">A key design principle of </w:t>
      </w:r>
      <w:proofErr w:type="spellStart"/>
      <w:r w:rsidRPr="00DA6DE1">
        <w:rPr>
          <w:lang w:val="en-KE"/>
        </w:rPr>
        <w:t>AhadiIQ</w:t>
      </w:r>
      <w:proofErr w:type="spellEnd"/>
      <w:r w:rsidRPr="00DA6DE1">
        <w:rPr>
          <w:lang w:val="en-KE"/>
        </w:rPr>
        <w:t xml:space="preserve"> is explainability. Rather than generating obligations directly from AI output, the platform first extracts and classifies contractual clauses. Clauses represent the original contractual language from which obligations, deadlines, and risks are derived. Examples include renewal clauses, payment clauses, reporting clauses, compliance clauses, termination clauses, maintenance clauses, and penalty clauses. Each clause is stored as an independent entity and classified according to its business purpose. This creates traceability between the source agreement and every operational artifact generated by the platform.</w:t>
      </w:r>
    </w:p>
    <w:p w14:paraId="2B4E65E6" w14:textId="77777777" w:rsidR="00DA6DE1" w:rsidRPr="00DA6DE1" w:rsidRDefault="00DA6DE1" w:rsidP="00DA6DE1">
      <w:pPr>
        <w:rPr>
          <w:lang w:val="en-KE"/>
        </w:rPr>
      </w:pPr>
      <w:r w:rsidRPr="00DA6DE1">
        <w:rPr>
          <w:lang w:val="en-KE"/>
        </w:rPr>
        <w:t xml:space="preserve">Obligations are generated from validated clauses rather than directly from AI output. For example, a clause requiring ninety days' notice prior to lease expiry may generate an obligation to issue a renewal notice before a calculated due date. Every obligation maintains a direct relationship to the originating clause, allowing users to understand precisely why an obligation exists, which contractual language created it, and how its due date was calculated. </w:t>
      </w:r>
      <w:r w:rsidRPr="00DA6DE1">
        <w:rPr>
          <w:lang w:val="en-KE"/>
        </w:rPr>
        <w:lastRenderedPageBreak/>
        <w:t>This traceability improves transparency, auditability, user trust, and operational accountability while reducing reliance on opaque AI-generated outputs.</w:t>
      </w:r>
    </w:p>
    <w:p w14:paraId="79A7F979" w14:textId="77777777" w:rsidR="00DA6DE1" w:rsidRPr="00DA6DE1" w:rsidRDefault="00DA6DE1" w:rsidP="00DA6DE1">
      <w:pPr>
        <w:rPr>
          <w:lang w:val="en-KE"/>
        </w:rPr>
      </w:pPr>
      <w:r w:rsidRPr="00DA6DE1">
        <w:rPr>
          <w:lang w:val="en-KE"/>
        </w:rPr>
        <w:t xml:space="preserve">To improve reliability, </w:t>
      </w:r>
      <w:proofErr w:type="spellStart"/>
      <w:r w:rsidRPr="00DA6DE1">
        <w:rPr>
          <w:lang w:val="en-KE"/>
        </w:rPr>
        <w:t>AhadiIQ</w:t>
      </w:r>
      <w:proofErr w:type="spellEnd"/>
      <w:r w:rsidRPr="00DA6DE1">
        <w:rPr>
          <w:lang w:val="en-KE"/>
        </w:rPr>
        <w:t xml:space="preserve"> implements a validation layer between information extraction and obligation activation. The platform does not rely on model-generated confidence values. Instead, confidence scores are calculated using multiple validation mechanisms including </w:t>
      </w:r>
      <w:proofErr w:type="spellStart"/>
      <w:r w:rsidRPr="00DA6DE1">
        <w:rPr>
          <w:lang w:val="en-KE"/>
        </w:rPr>
        <w:t>Textract</w:t>
      </w:r>
      <w:proofErr w:type="spellEnd"/>
      <w:r w:rsidRPr="00DA6DE1">
        <w:rPr>
          <w:lang w:val="en-KE"/>
        </w:rPr>
        <w:t xml:space="preserve"> OCR confidence scores, schema validation, field completeness checks, pattern matching, data format validation, cross-field consistency verification, and document-specific business rules. For example, extracted dates must conform to valid date formats, notice periods must correspond to values present within the source text, and calculated deadlines must align with agreement timelines. High-confidence results may be accepted automatically, while lower-confidence extractions are routed for human review and approval before obligations become active records. This human-in-the-loop workflow reduces the risk of incorrect obligations being created due to OCR errors, ambiguous language, incomplete extraction, or model inaccuracies.</w:t>
      </w:r>
    </w:p>
    <w:p w14:paraId="3C1A9DC1" w14:textId="77777777" w:rsidR="00DA6DE1" w:rsidRPr="00DA6DE1" w:rsidRDefault="00DA6DE1" w:rsidP="00DA6DE1">
      <w:pPr>
        <w:rPr>
          <w:lang w:val="en-KE"/>
        </w:rPr>
      </w:pPr>
      <w:r w:rsidRPr="00DA6DE1">
        <w:rPr>
          <w:lang w:val="en-KE"/>
        </w:rPr>
        <w:t xml:space="preserve">Once validated, </w:t>
      </w:r>
      <w:proofErr w:type="spellStart"/>
      <w:r w:rsidRPr="00DA6DE1">
        <w:rPr>
          <w:lang w:val="en-KE"/>
        </w:rPr>
        <w:t>AhadiIQ</w:t>
      </w:r>
      <w:proofErr w:type="spellEnd"/>
      <w:r w:rsidRPr="00DA6DE1">
        <w:rPr>
          <w:lang w:val="en-KE"/>
        </w:rPr>
        <w:t xml:space="preserve"> transforms extracted information into structured business entities including agreements, clauses, obligations, risks, notifications, ownership assignments, deadlines, and audit records. Obligations are categorized into operational types such as renewals, payments, compliance activities, reporting requirements, maintenance activities, reviews, and termination actions. Each obligation is assigned to a responsible user and enters an active lifecycle that includes monitoring, notification, escalation, completion tracking, and audit logging.</w:t>
      </w:r>
    </w:p>
    <w:p w14:paraId="6422C642" w14:textId="77777777" w:rsidR="00DA6DE1" w:rsidRPr="00DA6DE1" w:rsidRDefault="00DA6DE1" w:rsidP="00DA6DE1">
      <w:pPr>
        <w:rPr>
          <w:lang w:val="en-KE"/>
        </w:rPr>
      </w:pPr>
      <w:r w:rsidRPr="00DA6DE1">
        <w:rPr>
          <w:lang w:val="en-KE"/>
        </w:rPr>
        <w:t xml:space="preserve">Risk assessment is intentionally separated from AI-generated conclusions. Rather than asking a foundation model to determine whether an agreement is risky, </w:t>
      </w:r>
      <w:proofErr w:type="spellStart"/>
      <w:r w:rsidRPr="00DA6DE1">
        <w:rPr>
          <w:lang w:val="en-KE"/>
        </w:rPr>
        <w:t>AhadiIQ</w:t>
      </w:r>
      <w:proofErr w:type="spellEnd"/>
      <w:r w:rsidRPr="00DA6DE1">
        <w:rPr>
          <w:lang w:val="en-KE"/>
        </w:rPr>
        <w:t xml:space="preserve"> applies deterministic business rules to measurable agreement characteristics identified during processing. Examples include auto-renewal clauses, financial penalty clauses, restrictive termination conditions, short notice periods, missing expiry dates, and other predefined risk indicators. Each factor contributes to a cumulative risk score while the platform records the specific clauses and business rules responsible for the assessment. This ensures that risk classifications remain transparent, explainable, auditable, and reproducible rather than relying on subjective model-generated opinions.</w:t>
      </w:r>
    </w:p>
    <w:p w14:paraId="251CC751" w14:textId="77777777" w:rsidR="00DA6DE1" w:rsidRPr="00DA6DE1" w:rsidRDefault="00DA6DE1" w:rsidP="00DA6DE1">
      <w:pPr>
        <w:rPr>
          <w:lang w:val="en-KE"/>
        </w:rPr>
      </w:pPr>
      <w:r w:rsidRPr="00DA6DE1">
        <w:rPr>
          <w:lang w:val="en-KE"/>
        </w:rPr>
        <w:t xml:space="preserve">The platform continuously monitors obligations through scheduled workflows orchestrated using Amazon </w:t>
      </w:r>
      <w:proofErr w:type="spellStart"/>
      <w:r w:rsidRPr="00DA6DE1">
        <w:rPr>
          <w:lang w:val="en-KE"/>
        </w:rPr>
        <w:t>EventBridge</w:t>
      </w:r>
      <w:proofErr w:type="spellEnd"/>
      <w:r w:rsidRPr="00DA6DE1">
        <w:rPr>
          <w:lang w:val="en-KE"/>
        </w:rPr>
        <w:t xml:space="preserve">. Reminder schedules are configurable according to obligation type and support multiple notification windows prior to critical deadlines. Notifications are delivered through Amazon SNS and can escalate to additional stakeholders when obligations remain incomplete as due dates approach. Users access personalized dashboards displaying agreements under their ownership, upcoming obligations, overdue commitments, expiring agreements, active risks, notification history, processing status, and audit records. Search capabilities allow users to locate agreements containing specific clause types, identify </w:t>
      </w:r>
      <w:r w:rsidRPr="00DA6DE1">
        <w:rPr>
          <w:lang w:val="en-KE"/>
        </w:rPr>
        <w:lastRenderedPageBreak/>
        <w:t>agreements approaching expiry, review high-risk agreements, and track obligations assigned to individual users, departments, or business units.</w:t>
      </w:r>
    </w:p>
    <w:p w14:paraId="5C173322" w14:textId="77777777" w:rsidR="00DA6DE1" w:rsidRPr="00DA6DE1" w:rsidRDefault="00DA6DE1" w:rsidP="00DA6DE1">
      <w:pPr>
        <w:rPr>
          <w:lang w:val="en-KE"/>
        </w:rPr>
      </w:pPr>
      <w:r w:rsidRPr="00DA6DE1">
        <w:rPr>
          <w:lang w:val="en-KE"/>
        </w:rPr>
        <w:t>Operational reliability is supported through retry and failure-handling mechanisms. Failed processing tasks are automatically retried through Amazon SQS, while persistent failures are routed to a dead-letter queue for investigation without affecting unrelated agreements. Audit records capture significant events throughout the agreement lifecycle, including document uploads, OCR completion, clause extraction, user approvals, obligation creation, risk updates, notification delivery, and status changes. This provides traceability for operational support, troubleshooting, compliance reporting, and future system enhancements.</w:t>
      </w:r>
    </w:p>
    <w:p w14:paraId="01118ED9" w14:textId="77777777" w:rsidR="00DA6DE1" w:rsidRPr="00DA6DE1" w:rsidRDefault="00DA6DE1" w:rsidP="00DA6DE1">
      <w:pPr>
        <w:rPr>
          <w:lang w:val="en-KE"/>
        </w:rPr>
      </w:pPr>
      <w:r w:rsidRPr="00DA6DE1">
        <w:rPr>
          <w:lang w:val="en-KE"/>
        </w:rPr>
        <w:t xml:space="preserve">The target architecture is designed to support high availability through </w:t>
      </w:r>
      <w:proofErr w:type="gramStart"/>
      <w:r w:rsidRPr="00DA6DE1">
        <w:rPr>
          <w:lang w:val="en-KE"/>
        </w:rPr>
        <w:t>Multi-AZ</w:t>
      </w:r>
      <w:proofErr w:type="gramEnd"/>
      <w:r w:rsidRPr="00DA6DE1">
        <w:rPr>
          <w:lang w:val="en-KE"/>
        </w:rPr>
        <w:t xml:space="preserve"> deployment patterns, multiple ECS tasks distributed across Availability Zones, horizontally scalable processing workers, and managed AWS services. To remain cost-effective during the pilot phase, the MVP deployment intentionally uses a single ECS API task, a single ECS processing worker, and a single PostgreSQL instance while preserving a clear migration path toward a highly available production deployment as adoption grows.</w:t>
      </w:r>
    </w:p>
    <w:p w14:paraId="19A1D91A" w14:textId="77777777" w:rsidR="00DA6DE1" w:rsidRPr="00DA6DE1" w:rsidRDefault="00DA6DE1" w:rsidP="00DA6DE1">
      <w:pPr>
        <w:rPr>
          <w:lang w:val="en-KE"/>
        </w:rPr>
      </w:pPr>
      <w:proofErr w:type="spellStart"/>
      <w:r w:rsidRPr="00DA6DE1">
        <w:rPr>
          <w:lang w:val="en-KE"/>
        </w:rPr>
        <w:t>AhadiIQ</w:t>
      </w:r>
      <w:proofErr w:type="spellEnd"/>
      <w:r w:rsidRPr="00DA6DE1">
        <w:rPr>
          <w:lang w:val="en-KE"/>
        </w:rPr>
        <w:t xml:space="preserve"> helps organizations transform agreements from passive documents into actively managed commitments. By combining clause intelligence, structured information extraction, explainable risk assessment, ownership tracking, and proactive notifications, the platform enables organizations to identify, understand, and fulfill contractual obligations before critical deadlines are missed.</w:t>
      </w:r>
    </w:p>
    <w:p w14:paraId="6D4937F5" w14:textId="77777777" w:rsidR="00B10800" w:rsidRDefault="00B10800" w:rsidP="00B10800">
      <w:r>
        <w:t>Login</w:t>
      </w:r>
    </w:p>
    <w:p w14:paraId="2CF49669" w14:textId="77777777" w:rsidR="00B10800" w:rsidRDefault="00B10800" w:rsidP="00B10800">
      <w:r>
        <w:t xml:space="preserve"> ↓</w:t>
      </w:r>
    </w:p>
    <w:p w14:paraId="3E3AFCE8" w14:textId="77777777" w:rsidR="00B10800" w:rsidRDefault="00B10800" w:rsidP="00B10800">
      <w:r>
        <w:t>Dashboard</w:t>
      </w:r>
    </w:p>
    <w:p w14:paraId="7805240C" w14:textId="77777777" w:rsidR="00B10800" w:rsidRDefault="00B10800" w:rsidP="00B10800">
      <w:r>
        <w:t xml:space="preserve"> ↓</w:t>
      </w:r>
    </w:p>
    <w:p w14:paraId="7844E368" w14:textId="77777777" w:rsidR="00B10800" w:rsidRDefault="00B10800" w:rsidP="00B10800">
      <w:r>
        <w:t>Upload Agreement</w:t>
      </w:r>
    </w:p>
    <w:p w14:paraId="05D50126" w14:textId="77777777" w:rsidR="00B10800" w:rsidRDefault="00B10800" w:rsidP="00B10800">
      <w:r>
        <w:t xml:space="preserve"> ↓</w:t>
      </w:r>
    </w:p>
    <w:p w14:paraId="5799C5BA" w14:textId="77777777" w:rsidR="00B10800" w:rsidRDefault="00B10800" w:rsidP="00B10800">
      <w:r>
        <w:t>Store in S3</w:t>
      </w:r>
    </w:p>
    <w:p w14:paraId="41434FE1" w14:textId="77777777" w:rsidR="00B10800" w:rsidRDefault="00B10800" w:rsidP="00B10800">
      <w:r>
        <w:t xml:space="preserve"> ↓</w:t>
      </w:r>
    </w:p>
    <w:p w14:paraId="4E5C4660" w14:textId="77777777" w:rsidR="00B10800" w:rsidRDefault="00B10800" w:rsidP="00B10800">
      <w:r>
        <w:t>Create Processing Job</w:t>
      </w:r>
    </w:p>
    <w:p w14:paraId="4504B055" w14:textId="77777777" w:rsidR="00B10800" w:rsidRDefault="00B10800" w:rsidP="00B10800">
      <w:r>
        <w:t xml:space="preserve"> ↓</w:t>
      </w:r>
    </w:p>
    <w:p w14:paraId="5FED9674" w14:textId="77777777" w:rsidR="00B10800" w:rsidRDefault="00B10800" w:rsidP="00B10800">
      <w:r>
        <w:t>SQS</w:t>
      </w:r>
    </w:p>
    <w:p w14:paraId="38B1B75C" w14:textId="77777777" w:rsidR="00B10800" w:rsidRDefault="00B10800" w:rsidP="00B10800">
      <w:r>
        <w:t xml:space="preserve"> ↓</w:t>
      </w:r>
    </w:p>
    <w:p w14:paraId="14D40863" w14:textId="77777777" w:rsidR="00B10800" w:rsidRDefault="00B10800" w:rsidP="00B10800">
      <w:r>
        <w:lastRenderedPageBreak/>
        <w:t>Worker</w:t>
      </w:r>
    </w:p>
    <w:p w14:paraId="255267C7" w14:textId="77777777" w:rsidR="00B10800" w:rsidRDefault="00B10800" w:rsidP="00B10800">
      <w:r>
        <w:t xml:space="preserve"> ↓</w:t>
      </w:r>
    </w:p>
    <w:p w14:paraId="6563FE67" w14:textId="77777777" w:rsidR="00B10800" w:rsidRDefault="00B10800" w:rsidP="00B10800">
      <w:proofErr w:type="spellStart"/>
      <w:r>
        <w:t>Textract</w:t>
      </w:r>
      <w:proofErr w:type="spellEnd"/>
    </w:p>
    <w:p w14:paraId="4823AFB3" w14:textId="77777777" w:rsidR="00B10800" w:rsidRDefault="00B10800" w:rsidP="00B10800">
      <w:r>
        <w:t xml:space="preserve"> ↓</w:t>
      </w:r>
    </w:p>
    <w:p w14:paraId="1C1850A7" w14:textId="77777777" w:rsidR="00B10800" w:rsidRDefault="00B10800" w:rsidP="00B10800">
      <w:r>
        <w:t>OCR Text</w:t>
      </w:r>
    </w:p>
    <w:p w14:paraId="6BDADC59" w14:textId="77777777" w:rsidR="00B10800" w:rsidRDefault="00B10800" w:rsidP="00B10800">
      <w:r>
        <w:t xml:space="preserve"> ↓</w:t>
      </w:r>
    </w:p>
    <w:p w14:paraId="46443FB0" w14:textId="77777777" w:rsidR="00B10800" w:rsidRDefault="00B10800" w:rsidP="00B10800">
      <w:r>
        <w:t>Bedrock</w:t>
      </w:r>
    </w:p>
    <w:p w14:paraId="434C186E" w14:textId="77777777" w:rsidR="00B10800" w:rsidRDefault="00B10800" w:rsidP="00B10800">
      <w:r>
        <w:t xml:space="preserve"> ↓</w:t>
      </w:r>
    </w:p>
    <w:p w14:paraId="59521777" w14:textId="77777777" w:rsidR="00B10800" w:rsidRDefault="00B10800" w:rsidP="00B10800">
      <w:r>
        <w:t>Clause Extraction</w:t>
      </w:r>
    </w:p>
    <w:p w14:paraId="3D5B1276" w14:textId="77777777" w:rsidR="00B10800" w:rsidRDefault="00B10800" w:rsidP="00B10800">
      <w:r>
        <w:t xml:space="preserve"> ↓</w:t>
      </w:r>
    </w:p>
    <w:p w14:paraId="69E017B9" w14:textId="77777777" w:rsidR="00B10800" w:rsidRDefault="00B10800" w:rsidP="00B10800">
      <w:r>
        <w:t>Validation</w:t>
      </w:r>
    </w:p>
    <w:p w14:paraId="54FB12C3" w14:textId="77777777" w:rsidR="00B10800" w:rsidRDefault="00B10800" w:rsidP="00B10800">
      <w:r>
        <w:t xml:space="preserve"> ↓</w:t>
      </w:r>
    </w:p>
    <w:p w14:paraId="3F0B94A9" w14:textId="77777777" w:rsidR="00B10800" w:rsidRDefault="00B10800" w:rsidP="00B10800">
      <w:r>
        <w:t>Human Review (Optional)</w:t>
      </w:r>
    </w:p>
    <w:p w14:paraId="3A52FEB9" w14:textId="77777777" w:rsidR="00B10800" w:rsidRDefault="00B10800" w:rsidP="00B10800">
      <w:r>
        <w:t xml:space="preserve"> ↓</w:t>
      </w:r>
    </w:p>
    <w:p w14:paraId="1D02C531" w14:textId="77777777" w:rsidR="00B10800" w:rsidRDefault="00B10800" w:rsidP="00B10800">
      <w:r>
        <w:t>Generate Obligations</w:t>
      </w:r>
    </w:p>
    <w:p w14:paraId="0E53B54E" w14:textId="77777777" w:rsidR="00B10800" w:rsidRDefault="00B10800" w:rsidP="00B10800">
      <w:r>
        <w:t xml:space="preserve"> ↓</w:t>
      </w:r>
    </w:p>
    <w:p w14:paraId="3C5F3645" w14:textId="77777777" w:rsidR="00B10800" w:rsidRDefault="00B10800" w:rsidP="00B10800">
      <w:r>
        <w:t>Generate Risks</w:t>
      </w:r>
    </w:p>
    <w:p w14:paraId="2BB1D31A" w14:textId="77777777" w:rsidR="00B10800" w:rsidRDefault="00B10800" w:rsidP="00B10800">
      <w:r>
        <w:t xml:space="preserve"> ↓</w:t>
      </w:r>
    </w:p>
    <w:p w14:paraId="5FFC64B6" w14:textId="77777777" w:rsidR="00B10800" w:rsidRDefault="00B10800" w:rsidP="00B10800">
      <w:r>
        <w:t>Store in PostgreSQL</w:t>
      </w:r>
    </w:p>
    <w:p w14:paraId="70B072E8" w14:textId="77777777" w:rsidR="00B10800" w:rsidRDefault="00B10800" w:rsidP="00B10800">
      <w:r>
        <w:t xml:space="preserve"> ↓</w:t>
      </w:r>
    </w:p>
    <w:p w14:paraId="3C35117D" w14:textId="77777777" w:rsidR="00B10800" w:rsidRDefault="00B10800" w:rsidP="00B10800">
      <w:r>
        <w:t>Display Dashboard</w:t>
      </w:r>
    </w:p>
    <w:p w14:paraId="5AECAEC4" w14:textId="77777777" w:rsidR="00B10800" w:rsidRDefault="00B10800" w:rsidP="00B10800">
      <w:r>
        <w:t xml:space="preserve"> ↓</w:t>
      </w:r>
    </w:p>
    <w:p w14:paraId="44F9848C" w14:textId="77777777" w:rsidR="00B10800" w:rsidRDefault="00B10800" w:rsidP="00B10800">
      <w:proofErr w:type="spellStart"/>
      <w:r>
        <w:t>EventBridge</w:t>
      </w:r>
      <w:proofErr w:type="spellEnd"/>
    </w:p>
    <w:p w14:paraId="335EC58D" w14:textId="77777777" w:rsidR="00B10800" w:rsidRDefault="00B10800" w:rsidP="00B10800">
      <w:r>
        <w:t xml:space="preserve"> ↓</w:t>
      </w:r>
    </w:p>
    <w:p w14:paraId="55CD9221" w14:textId="77777777" w:rsidR="00B10800" w:rsidRDefault="00B10800" w:rsidP="00B10800">
      <w:r>
        <w:t>SNS Reminder</w:t>
      </w:r>
    </w:p>
    <w:p w14:paraId="4A6BE902" w14:textId="77777777" w:rsidR="00B10800" w:rsidRDefault="00B10800" w:rsidP="00B10800">
      <w:r>
        <w:t xml:space="preserve"> ↓</w:t>
      </w:r>
    </w:p>
    <w:p w14:paraId="28D6D695" w14:textId="77777777" w:rsidR="00B10800" w:rsidRDefault="00B10800" w:rsidP="00B10800">
      <w:r>
        <w:t>User Action</w:t>
      </w:r>
    </w:p>
    <w:p w14:paraId="54F2D856" w14:textId="77777777" w:rsidR="00B10800" w:rsidRDefault="00B10800" w:rsidP="00B10800">
      <w:r>
        <w:t xml:space="preserve"> ↓</w:t>
      </w:r>
    </w:p>
    <w:p w14:paraId="1BD35AAF" w14:textId="03623CA7" w:rsidR="000D2946" w:rsidRDefault="00B10800" w:rsidP="00B10800">
      <w:r>
        <w:lastRenderedPageBreak/>
        <w:t>Audit Trail</w:t>
      </w:r>
    </w:p>
    <w:sectPr w:rsidR="000D2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E1"/>
    <w:rsid w:val="000D2946"/>
    <w:rsid w:val="00180C1C"/>
    <w:rsid w:val="002859DB"/>
    <w:rsid w:val="0063227F"/>
    <w:rsid w:val="00B10800"/>
    <w:rsid w:val="00BC36C7"/>
    <w:rsid w:val="00C63998"/>
    <w:rsid w:val="00DA6DE1"/>
    <w:rsid w:val="00F5770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4CAE"/>
  <w15:chartTrackingRefBased/>
  <w15:docId w15:val="{154463C6-374B-4FE2-B54D-0E2A5B2F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DE1"/>
    <w:rPr>
      <w:rFonts w:eastAsiaTheme="majorEastAsia" w:cstheme="majorBidi"/>
      <w:color w:val="272727" w:themeColor="text1" w:themeTint="D8"/>
    </w:rPr>
  </w:style>
  <w:style w:type="paragraph" w:styleId="Title">
    <w:name w:val="Title"/>
    <w:basedOn w:val="Normal"/>
    <w:next w:val="Normal"/>
    <w:link w:val="TitleChar"/>
    <w:uiPriority w:val="10"/>
    <w:qFormat/>
    <w:rsid w:val="00DA6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DE1"/>
    <w:pPr>
      <w:spacing w:before="160"/>
      <w:jc w:val="center"/>
    </w:pPr>
    <w:rPr>
      <w:i/>
      <w:iCs/>
      <w:color w:val="404040" w:themeColor="text1" w:themeTint="BF"/>
    </w:rPr>
  </w:style>
  <w:style w:type="character" w:customStyle="1" w:styleId="QuoteChar">
    <w:name w:val="Quote Char"/>
    <w:basedOn w:val="DefaultParagraphFont"/>
    <w:link w:val="Quote"/>
    <w:uiPriority w:val="29"/>
    <w:rsid w:val="00DA6DE1"/>
    <w:rPr>
      <w:i/>
      <w:iCs/>
      <w:color w:val="404040" w:themeColor="text1" w:themeTint="BF"/>
    </w:rPr>
  </w:style>
  <w:style w:type="paragraph" w:styleId="ListParagraph">
    <w:name w:val="List Paragraph"/>
    <w:basedOn w:val="Normal"/>
    <w:uiPriority w:val="34"/>
    <w:qFormat/>
    <w:rsid w:val="00DA6DE1"/>
    <w:pPr>
      <w:ind w:left="720"/>
      <w:contextualSpacing/>
    </w:pPr>
  </w:style>
  <w:style w:type="character" w:styleId="IntenseEmphasis">
    <w:name w:val="Intense Emphasis"/>
    <w:basedOn w:val="DefaultParagraphFont"/>
    <w:uiPriority w:val="21"/>
    <w:qFormat/>
    <w:rsid w:val="00DA6DE1"/>
    <w:rPr>
      <w:i/>
      <w:iCs/>
      <w:color w:val="2F5496" w:themeColor="accent1" w:themeShade="BF"/>
    </w:rPr>
  </w:style>
  <w:style w:type="paragraph" w:styleId="IntenseQuote">
    <w:name w:val="Intense Quote"/>
    <w:basedOn w:val="Normal"/>
    <w:next w:val="Normal"/>
    <w:link w:val="IntenseQuoteChar"/>
    <w:uiPriority w:val="30"/>
    <w:qFormat/>
    <w:rsid w:val="00DA6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DE1"/>
    <w:rPr>
      <w:i/>
      <w:iCs/>
      <w:color w:val="2F5496" w:themeColor="accent1" w:themeShade="BF"/>
    </w:rPr>
  </w:style>
  <w:style w:type="character" w:styleId="IntenseReference">
    <w:name w:val="Intense Reference"/>
    <w:basedOn w:val="DefaultParagraphFont"/>
    <w:uiPriority w:val="32"/>
    <w:qFormat/>
    <w:rsid w:val="00DA6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6</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Mohamud Mohamud Rashid</dc:creator>
  <cp:keywords/>
  <dc:description/>
  <cp:lastModifiedBy>Mohamud Mohamud Rashid</cp:lastModifiedBy>
  <cp:revision>1</cp:revision>
  <dcterms:created xsi:type="dcterms:W3CDTF">2026-06-15T10:59:00Z</dcterms:created>
  <dcterms:modified xsi:type="dcterms:W3CDTF">2026-06-19T20:30:00Z</dcterms:modified>
</cp:coreProperties>
</file>