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0B1F3A" w:color="auto" w:val="clear"/>
            <w:tcMar>
              <w:top w:type="dxa" w:w="300"/>
              <w:left w:type="dxa" w:w="300"/>
              <w:bottom w:type="dxa" w:w="300"/>
              <w:right w:type="dxa" w:w="300"/>
            </w:tcMar>
          </w:tcPr>
          <w:p>
            <w:r>
              <w:rPr>
                <w:rFonts w:ascii="Calibri" w:cs="Calibri" w:eastAsia="Calibri" w:hAnsi="Calibri"/>
                <w:b/>
                <w:bCs/>
                <w:color w:val="00B4D8"/>
                <w:sz w:val="44"/>
                <w:szCs w:val="44"/>
              </w:rPr>
              <w:t xml:space="preserve">XLab IC</w:t>
            </w:r>
          </w:p>
          <w:p>
            <w:r>
              <w:rPr>
                <w:rFonts w:ascii="Calibri" w:cs="Calibri" w:eastAsia="Calibri" w:hAnsi="Calibri"/>
                <w:color w:val="FFFFFF"/>
                <w:sz w:val="22"/>
                <w:szCs w:val="22"/>
              </w:rPr>
              <w:t xml:space="preserve">Projets Arduino / ESP32 — Packs PFE</w:t>
            </w:r>
          </w:p>
        </w:tc>
      </w:tr>
    </w:tbl>
    <w:p/>
    <w:p/>
    <w:p/>
    <w:p>
      <w:pPr>
        <w:spacing w:after="120"/>
        <w:jc w:val="center"/>
      </w:pPr>
      <w:r>
        <w:rPr>
          <w:rFonts w:ascii="Calibri" w:cs="Calibri" w:eastAsia="Calibri" w:hAnsi="Calibri"/>
          <w:color w:val="5A6B7B"/>
          <w:sz w:val="26"/>
          <w:szCs w:val="26"/>
        </w:rPr>
        <w:t xml:space="preserve">Projet de fin d’études</w:t>
      </w:r>
    </w:p>
    <w:p>
      <w:pPr>
        <w:spacing w:after="160"/>
        <w:jc w:val="center"/>
      </w:pPr>
      <w:r>
        <w:rPr>
          <w:rFonts w:ascii="Calibri" w:cs="Calibri" w:eastAsia="Calibri" w:hAnsi="Calibri"/>
          <w:b/>
          <w:bCs/>
          <w:color w:val="0B1F3A"/>
          <w:sz w:val="52"/>
          <w:szCs w:val="52"/>
        </w:rPr>
        <w:t xml:space="preserve">Parking intelligent à barrière automatique</w:t>
      </w:r>
    </w:p>
    <w:p>
      <w:pPr>
        <w:spacing w:after="400"/>
        <w:jc w:val="center"/>
      </w:pPr>
      <w:r>
        <w:rPr>
          <w:rFonts w:ascii="Calibri" w:cs="Calibri" w:eastAsia="Calibri" w:hAnsi="Calibri"/>
          <w:color w:val="0A6E8A"/>
          <w:sz w:val="30"/>
          <w:szCs w:val="30"/>
        </w:rPr>
        <w:t xml:space="preserve">Cahier des charges</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Établissement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Filière / spécialité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Nom et prénom de l’étudiant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Encadrant(e)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Année universitaire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bl>
    <w:p/>
    <w:p/>
    <w:p>
      <w:pPr>
        <w:jc w:val="center"/>
      </w:pPr>
      <w:r>
        <w:rPr>
          <w:rFonts w:ascii="Calibri" w:cs="Calibri" w:eastAsia="Calibri" w:hAnsi="Calibri"/>
          <w:i/>
          <w:iCs/>
          <w:color w:val="5A6B7B"/>
          <w:sz w:val="18"/>
          <w:szCs w:val="18"/>
        </w:rPr>
        <w:t xml:space="preserve">Les champs ci-dessus sont à compléter par l’étudiant.</w:t>
      </w:r>
    </w:p>
    <w:p>
      <w:r>
        <w:br w:type="page"/>
      </w:r>
    </w:p>
    <w:p>
      <w:pPr>
        <w:pStyle w:val="Heading1"/>
        <w:pBdr>
          <w:bottom w:val="single" w:color="00B4D8" w:sz="8" w:space="4"/>
        </w:pBdr>
        <w:spacing w:after="160" w:before="360"/>
      </w:pPr>
      <w:r>
        <w:rPr>
          <w:rFonts w:ascii="Calibri" w:cs="Calibri" w:eastAsia="Calibri" w:hAnsi="Calibri"/>
          <w:b/>
          <w:bCs/>
          <w:color w:val="0B1F3A"/>
          <w:sz w:val="32"/>
          <w:szCs w:val="32"/>
        </w:rPr>
        <w:t xml:space="preserve">1. Contexte et problématique</w:t>
      </w:r>
    </w:p>
    <w:p>
      <w:pPr>
        <w:spacing w:after="120" w:line="300"/>
        <w:jc w:val="both"/>
      </w:pPr>
      <w:r>
        <w:rPr>
          <w:rFonts w:ascii="Calibri" w:cs="Calibri" w:eastAsia="Calibri" w:hAnsi="Calibri"/>
          <w:sz w:val="22"/>
          <w:szCs w:val="22"/>
        </w:rPr>
        <w:t xml:space="preserve">Dans de nombreux petits parkings (résidences, établissements scolaires, commerces), l’accès est géré manuellement par un gardien ou n’est pas contrôlé. Les conducteurs ignorent s’il reste des places, ce qui provoque des attentes inutiles, des manœuvres et des encombrements à l’entrée.</w:t>
      </w:r>
    </w:p>
    <w:p>
      <w:pPr>
        <w:spacing w:after="120" w:line="300"/>
        <w:jc w:val="both"/>
      </w:pPr>
      <w:r>
        <w:rPr>
          <w:rFonts w:ascii="Calibri" w:cs="Calibri" w:eastAsia="Calibri" w:hAnsi="Calibri"/>
          <w:sz w:val="22"/>
          <w:szCs w:val="22"/>
        </w:rPr>
        <w:t xml:space="preserve">Ce projet propose un système embarqué à faible coût qui détecte l’arrivée et le départ des véhicules, compte les places libres, affiche l’information et commande une barrière automatique.</w:t>
      </w:r>
    </w:p>
    <w:p>
      <w:pPr>
        <w:pStyle w:val="Heading1"/>
        <w:pBdr>
          <w:bottom w:val="single" w:color="00B4D8" w:sz="8" w:space="4"/>
        </w:pBdr>
        <w:spacing w:after="160" w:before="360"/>
      </w:pPr>
      <w:r>
        <w:rPr>
          <w:rFonts w:ascii="Calibri" w:cs="Calibri" w:eastAsia="Calibri" w:hAnsi="Calibri"/>
          <w:b/>
          <w:bCs/>
          <w:color w:val="0B1F3A"/>
          <w:sz w:val="32"/>
          <w:szCs w:val="32"/>
        </w:rPr>
        <w:t xml:space="preserve">2. Objectifs</w:t>
      </w:r>
    </w:p>
    <w:p>
      <w:pPr>
        <w:pStyle w:val="Heading2"/>
        <w:spacing w:after="100" w:before="240"/>
      </w:pPr>
      <w:r>
        <w:rPr>
          <w:rFonts w:ascii="Calibri" w:cs="Calibri" w:eastAsia="Calibri" w:hAnsi="Calibri"/>
          <w:b/>
          <w:bCs/>
          <w:color w:val="0A6E8A"/>
          <w:sz w:val="26"/>
          <w:szCs w:val="26"/>
        </w:rPr>
        <w:t xml:space="preserve">2.1 Objectif général</w:t>
      </w:r>
    </w:p>
    <w:p>
      <w:pPr>
        <w:spacing w:after="120" w:line="300"/>
        <w:jc w:val="both"/>
      </w:pPr>
      <w:r>
        <w:rPr>
          <w:rFonts w:ascii="Calibri" w:cs="Calibri" w:eastAsia="Calibri" w:hAnsi="Calibri"/>
          <w:sz w:val="22"/>
          <w:szCs w:val="22"/>
        </w:rPr>
        <w:t xml:space="preserve">Concevoir, réaliser et simuler un prototype de parking intelligent basé sur une carte Arduino Uno.</w:t>
      </w:r>
    </w:p>
    <w:p>
      <w:pPr>
        <w:pStyle w:val="Heading2"/>
        <w:spacing w:after="100" w:before="240"/>
      </w:pPr>
      <w:r>
        <w:rPr>
          <w:rFonts w:ascii="Calibri" w:cs="Calibri" w:eastAsia="Calibri" w:hAnsi="Calibri"/>
          <w:b/>
          <w:bCs/>
          <w:color w:val="0A6E8A"/>
          <w:sz w:val="26"/>
          <w:szCs w:val="26"/>
        </w:rPr>
        <w:t xml:space="preserve">2.2 Objectifs spécifiques</w:t>
      </w:r>
    </w:p>
    <w:p>
      <w:pPr>
        <w:pStyle w:val="ListParagraph"/>
        <w:numPr>
          <w:ilvl w:val="0"/>
          <w:numId w:val="2"/>
        </w:numPr>
        <w:spacing w:after="60"/>
      </w:pPr>
      <w:r>
        <w:rPr>
          <w:rFonts w:ascii="Calibri" w:cs="Calibri" w:eastAsia="Calibri" w:hAnsi="Calibri"/>
          <w:sz w:val="22"/>
          <w:szCs w:val="22"/>
        </w:rPr>
        <w:t xml:space="preserve">Détecter un véhicule à l’entrée et à la sortie à l’aide de capteurs à ultrasons.</w:t>
      </w:r>
    </w:p>
    <w:p>
      <w:pPr>
        <w:pStyle w:val="ListParagraph"/>
        <w:numPr>
          <w:ilvl w:val="0"/>
          <w:numId w:val="2"/>
        </w:numPr>
        <w:spacing w:after="60"/>
      </w:pPr>
      <w:r>
        <w:rPr>
          <w:rFonts w:ascii="Calibri" w:cs="Calibri" w:eastAsia="Calibri" w:hAnsi="Calibri"/>
          <w:sz w:val="22"/>
          <w:szCs w:val="22"/>
        </w:rPr>
        <w:t xml:space="preserve">Compter automatiquement les places disponibles (capacité configurable, 4 places par défaut).</w:t>
      </w:r>
    </w:p>
    <w:p>
      <w:pPr>
        <w:pStyle w:val="ListParagraph"/>
        <w:numPr>
          <w:ilvl w:val="0"/>
          <w:numId w:val="2"/>
        </w:numPr>
        <w:spacing w:after="60"/>
      </w:pPr>
      <w:r>
        <w:rPr>
          <w:rFonts w:ascii="Calibri" w:cs="Calibri" w:eastAsia="Calibri" w:hAnsi="Calibri"/>
          <w:sz w:val="22"/>
          <w:szCs w:val="22"/>
        </w:rPr>
        <w:t xml:space="preserve">Commander l’ouverture et la fermeture d’une barrière par servomoteur.</w:t>
      </w:r>
    </w:p>
    <w:p>
      <w:pPr>
        <w:pStyle w:val="ListParagraph"/>
        <w:numPr>
          <w:ilvl w:val="0"/>
          <w:numId w:val="2"/>
        </w:numPr>
        <w:spacing w:after="60"/>
      </w:pPr>
      <w:r>
        <w:rPr>
          <w:rFonts w:ascii="Calibri" w:cs="Calibri" w:eastAsia="Calibri" w:hAnsi="Calibri"/>
          <w:sz w:val="22"/>
          <w:szCs w:val="22"/>
        </w:rPr>
        <w:t xml:space="preserve">Afficher le nombre de places et l’état du parking sur un écran LCD 16×2, avec LED verte/rouge.</w:t>
      </w:r>
    </w:p>
    <w:p>
      <w:pPr>
        <w:pStyle w:val="ListParagraph"/>
        <w:numPr>
          <w:ilvl w:val="0"/>
          <w:numId w:val="2"/>
        </w:numPr>
        <w:spacing w:after="60"/>
      </w:pPr>
      <w:r>
        <w:rPr>
          <w:rFonts w:ascii="Calibri" w:cs="Calibri" w:eastAsia="Calibri" w:hAnsi="Calibri"/>
          <w:sz w:val="22"/>
          <w:szCs w:val="22"/>
        </w:rPr>
        <w:t xml:space="preserve">Signaler par un buzzer l’acceptation ou le refus d’un véhicule (parking complet).</w:t>
      </w:r>
    </w:p>
    <w:p>
      <w:pPr>
        <w:pStyle w:val="ListParagraph"/>
        <w:numPr>
          <w:ilvl w:val="0"/>
          <w:numId w:val="2"/>
        </w:numPr>
        <w:spacing w:after="60"/>
      </w:pPr>
      <w:r>
        <w:rPr>
          <w:rFonts w:ascii="Calibri" w:cs="Calibri" w:eastAsia="Calibri" w:hAnsi="Calibri"/>
          <w:sz w:val="22"/>
          <w:szCs w:val="22"/>
        </w:rPr>
        <w:t xml:space="preserve">Valider le fonctionnement par simulation (Wokwi / Proteus) avant tout montage réel.</w:t>
      </w:r>
    </w:p>
    <w:p>
      <w:pPr>
        <w:pStyle w:val="Heading1"/>
        <w:pBdr>
          <w:bottom w:val="single" w:color="00B4D8" w:sz="8" w:space="4"/>
        </w:pBdr>
        <w:spacing w:after="160" w:before="360"/>
      </w:pPr>
      <w:r>
        <w:rPr>
          <w:rFonts w:ascii="Calibri" w:cs="Calibri" w:eastAsia="Calibri" w:hAnsi="Calibri"/>
          <w:b/>
          <w:bCs/>
          <w:color w:val="0B1F3A"/>
          <w:sz w:val="32"/>
          <w:szCs w:val="32"/>
        </w:rPr>
        <w:t xml:space="preserve">3.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Inclus</w:t>
            </w:r>
          </w:p>
        </w:tc>
        <w:tc>
          <w:tcPr>
            <w:tcW w:type="dxa" w:w="4819"/>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Hors périmètre</w:t>
            </w:r>
          </w:p>
        </w:tc>
      </w:tr>
      <w:tr>
        <w:trPr>
          <w:tblHeader w:val="off"/>
        </w:trPr>
        <w:tc>
          <w:tcPr>
            <w:tcW w:type="dxa" w:w="4819"/>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Comptage entrée/sortie, barrière, affichage, alertes</w:t>
            </w:r>
          </w:p>
        </w:tc>
        <w:tc>
          <w:tcPr>
            <w:tcW w:type="dxa" w:w="4819"/>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Paiement, reconnaissance de plaques, application mobile</w:t>
            </w:r>
          </w:p>
        </w:tc>
      </w:tr>
      <w:tr>
        <w:trPr>
          <w:tblHeader w:val="off"/>
        </w:trPr>
        <w:tc>
          <w:tcPr>
            <w:tcW w:type="dxa" w:w="4819"/>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Prototype à l’échelle (maquette)</w:t>
            </w:r>
          </w:p>
        </w:tc>
        <w:tc>
          <w:tcPr>
            <w:tcW w:type="dxa" w:w="4819"/>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Installation en conditions réelles (chaussée, intempéries)</w:t>
            </w:r>
          </w:p>
        </w:tc>
      </w:tr>
      <w:tr>
        <w:trPr>
          <w:tblHeader w:val="off"/>
        </w:trPr>
        <w:tc>
          <w:tcPr>
            <w:tcW w:type="dxa" w:w="4819"/>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Code source commenté, schémas, documentation</w:t>
            </w:r>
          </w:p>
        </w:tc>
        <w:tc>
          <w:tcPr>
            <w:tcW w:type="dxa" w:w="4819"/>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Gestion de plusieurs niveaux ou de plusieurs entrées</w:t>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4.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tblHeader/>
        </w:trPr>
        <w:tc>
          <w:tcPr>
            <w:tcW w:type="dxa" w:w="9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Réf.</w:t>
            </w:r>
          </w:p>
        </w:tc>
        <w:tc>
          <w:tcPr>
            <w:tcW w:type="dxa" w:w="57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Exigence</w:t>
            </w:r>
          </w:p>
        </w:tc>
        <w:tc>
          <w:tcPr>
            <w:tcW w:type="dxa" w:w="30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Priorité</w:t>
            </w:r>
          </w:p>
        </w:tc>
      </w:tr>
      <w:tr>
        <w:trPr>
          <w:tblHeader w:val="off"/>
        </w:trPr>
        <w:tc>
          <w:tcPr>
            <w:tcW w:type="dxa" w:w="9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EF1</w:t>
            </w:r>
          </w:p>
        </w:tc>
        <w:tc>
          <w:tcPr>
            <w:tcW w:type="dxa" w:w="57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Le système détecte un véhicule à moins de 15 cm du capteur d’entrée (confirmation sur 3 mesures consécutives).</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EF2</w:t>
            </w:r>
          </w:p>
        </w:tc>
        <w:tc>
          <w:tcPr>
            <w:tcW w:type="dxa" w:w="57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Si le nombre de places est supérieur à 0, l’arrivée d’un véhicule décrémente le compteur et ouvre la barrière.</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EF3</w:t>
            </w:r>
          </w:p>
        </w:tc>
        <w:tc>
          <w:tcPr>
            <w:tcW w:type="dxa" w:w="57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Si le parking est complet, la barrière reste fermée et un bip long retentit.</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EF4</w:t>
            </w:r>
          </w:p>
        </w:tc>
        <w:tc>
          <w:tcPr>
            <w:tcW w:type="dxa" w:w="57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Le départ d’un véhicule (capteur de sortie) incrémente le compteur sans dépasser la capacité.</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EF5</w:t>
            </w:r>
          </w:p>
        </w:tc>
        <w:tc>
          <w:tcPr>
            <w:tcW w:type="dxa" w:w="57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La barrière se referme automatiquement 2 secondes après que les deux zones de détection sont libres.</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EF6</w:t>
            </w:r>
          </w:p>
        </w:tc>
        <w:tc>
          <w:tcPr>
            <w:tcW w:type="dxa" w:w="57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L’écran LCD affiche « Places : n/4 » et « BIENVENUE » ou « PARKING COMPLET ».</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EF7</w:t>
            </w:r>
          </w:p>
        </w:tc>
        <w:tc>
          <w:tcPr>
            <w:tcW w:type="dxa" w:w="57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La LED verte indique des places disponibles, la LED rouge un parking complet.</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Obligatoire</w:t>
            </w:r>
          </w:p>
        </w:tc>
      </w:tr>
      <w:tr>
        <w:trPr>
          <w:tblHeader w:val="off"/>
        </w:trPr>
        <w:tc>
          <w:tcPr>
            <w:tcW w:type="dxa" w:w="9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EF8</w:t>
            </w:r>
          </w:p>
        </w:tc>
        <w:tc>
          <w:tcPr>
            <w:tcW w:type="dxa" w:w="57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La capacité et les seuils de détection se modifient en changeant des constantes dans le code.</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Souhaitable</w:t>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5. Exigences non fonctionnelles</w:t>
      </w:r>
    </w:p>
    <w:p>
      <w:pPr>
        <w:pStyle w:val="ListParagraph"/>
        <w:numPr>
          <w:ilvl w:val="0"/>
          <w:numId w:val="2"/>
        </w:numPr>
        <w:spacing w:after="60"/>
      </w:pPr>
      <w:r>
        <w:rPr>
          <w:rFonts w:ascii="Calibri" w:cs="Calibri" w:eastAsia="Calibri" w:hAnsi="Calibri"/>
          <w:sz w:val="22"/>
          <w:szCs w:val="22"/>
        </w:rPr>
        <w:t xml:space="preserve">Coût du matériel limité (voir la nomenclature du rapport technique).</w:t>
      </w:r>
    </w:p>
    <w:p>
      <w:pPr>
        <w:pStyle w:val="ListParagraph"/>
        <w:numPr>
          <w:ilvl w:val="0"/>
          <w:numId w:val="2"/>
        </w:numPr>
        <w:spacing w:after="60"/>
      </w:pPr>
      <w:r>
        <w:rPr>
          <w:rFonts w:ascii="Calibri" w:cs="Calibri" w:eastAsia="Calibri" w:hAnsi="Calibri"/>
          <w:sz w:val="22"/>
          <w:szCs w:val="22"/>
        </w:rPr>
        <w:t xml:space="preserve">Alimentation 5 V par port USB, sans composant de puissance.</w:t>
      </w:r>
    </w:p>
    <w:p>
      <w:pPr>
        <w:pStyle w:val="ListParagraph"/>
        <w:numPr>
          <w:ilvl w:val="0"/>
          <w:numId w:val="2"/>
        </w:numPr>
        <w:spacing w:after="60"/>
      </w:pPr>
      <w:r>
        <w:rPr>
          <w:rFonts w:ascii="Calibri" w:cs="Calibri" w:eastAsia="Calibri" w:hAnsi="Calibri"/>
          <w:sz w:val="22"/>
          <w:szCs w:val="22"/>
        </w:rPr>
        <w:t xml:space="preserve">Code lisible, commenté, sans bibliothèque externe autre que Servo et LiquidCrystal (fournies avec l’IDE Arduino).</w:t>
      </w:r>
    </w:p>
    <w:p>
      <w:pPr>
        <w:pStyle w:val="ListParagraph"/>
        <w:numPr>
          <w:ilvl w:val="0"/>
          <w:numId w:val="2"/>
        </w:numPr>
        <w:spacing w:after="60"/>
      </w:pPr>
      <w:r>
        <w:rPr>
          <w:rFonts w:ascii="Calibri" w:cs="Calibri" w:eastAsia="Calibri" w:hAnsi="Calibri"/>
          <w:sz w:val="22"/>
          <w:szCs w:val="22"/>
        </w:rPr>
        <w:t xml:space="preserve">Programme non bloquant : aucune attente active longue dans la boucle principale.</w:t>
      </w:r>
    </w:p>
    <w:p>
      <w:pPr>
        <w:pStyle w:val="ListParagraph"/>
        <w:numPr>
          <w:ilvl w:val="0"/>
          <w:numId w:val="2"/>
        </w:numPr>
        <w:spacing w:after="60"/>
      </w:pPr>
      <w:r>
        <w:rPr>
          <w:rFonts w:ascii="Calibri" w:cs="Calibri" w:eastAsia="Calibri" w:hAnsi="Calibri"/>
          <w:sz w:val="22"/>
          <w:szCs w:val="22"/>
        </w:rPr>
        <w:t xml:space="preserve">Documentation en français, schémas clairs et reproductibles.</w:t>
      </w:r>
    </w:p>
    <w:p>
      <w:pPr>
        <w:pStyle w:val="Heading1"/>
        <w:pBdr>
          <w:bottom w:val="single" w:color="00B4D8" w:sz="8" w:space="4"/>
        </w:pBdr>
        <w:spacing w:after="160" w:before="360"/>
      </w:pPr>
      <w:r>
        <w:rPr>
          <w:rFonts w:ascii="Calibri" w:cs="Calibri" w:eastAsia="Calibri" w:hAnsi="Calibri"/>
          <w:b/>
          <w:bCs/>
          <w:color w:val="0B1F3A"/>
          <w:sz w:val="32"/>
          <w:szCs w:val="32"/>
        </w:rPr>
        <w:t xml:space="preserve">6. Contraintes</w:t>
      </w:r>
    </w:p>
    <w:p>
      <w:pPr>
        <w:pStyle w:val="ListParagraph"/>
        <w:numPr>
          <w:ilvl w:val="0"/>
          <w:numId w:val="2"/>
        </w:numPr>
        <w:spacing w:after="60"/>
      </w:pPr>
      <w:r>
        <w:rPr>
          <w:rFonts w:ascii="Calibri" w:cs="Calibri" w:eastAsia="Calibri" w:hAnsi="Calibri"/>
          <w:sz w:val="22"/>
          <w:szCs w:val="22"/>
        </w:rPr>
        <w:t xml:space="preserve">Carte : Arduino Uno (ATmega328P, 16 MHz, 32 Ko de mémoire flash).</w:t>
      </w:r>
    </w:p>
    <w:p>
      <w:pPr>
        <w:pStyle w:val="ListParagraph"/>
        <w:numPr>
          <w:ilvl w:val="0"/>
          <w:numId w:val="2"/>
        </w:numPr>
        <w:spacing w:after="60"/>
      </w:pPr>
      <w:r>
        <w:rPr>
          <w:rFonts w:ascii="Calibri" w:cs="Calibri" w:eastAsia="Calibri" w:hAnsi="Calibri"/>
          <w:sz w:val="22"/>
          <w:szCs w:val="22"/>
        </w:rPr>
        <w:t xml:space="preserve">Portée utile des capteurs HC-SR04 : environ 2 cm à 4 m (précision de l’ordre du centimètre).</w:t>
      </w:r>
    </w:p>
    <w:p>
      <w:pPr>
        <w:pStyle w:val="ListParagraph"/>
        <w:numPr>
          <w:ilvl w:val="0"/>
          <w:numId w:val="2"/>
        </w:numPr>
        <w:spacing w:after="60"/>
      </w:pPr>
      <w:r>
        <w:rPr>
          <w:rFonts w:ascii="Calibri" w:cs="Calibri" w:eastAsia="Calibri" w:hAnsi="Calibri"/>
          <w:sz w:val="22"/>
          <w:szCs w:val="22"/>
        </w:rPr>
        <w:t xml:space="preserve">Les deux capteurs sont interrogés à tour de rôle (délai de 30 ms) pour éviter les interférences.</w:t>
      </w:r>
    </w:p>
    <w:p>
      <w:pPr>
        <w:pStyle w:val="ListParagraph"/>
        <w:numPr>
          <w:ilvl w:val="0"/>
          <w:numId w:val="2"/>
        </w:numPr>
        <w:spacing w:after="60"/>
      </w:pPr>
      <w:r>
        <w:rPr>
          <w:rFonts w:ascii="Calibri" w:cs="Calibri" w:eastAsia="Calibri" w:hAnsi="Calibri"/>
          <w:sz w:val="22"/>
          <w:szCs w:val="22"/>
        </w:rPr>
        <w:t xml:space="preserve">Le servomoteur SG90 est alimenté par la carte ; une alimentation externe peut être nécessaire si des à-coups apparaissent.</w:t>
      </w:r>
    </w:p>
    <w:p>
      <w:pPr>
        <w:pStyle w:val="Heading1"/>
        <w:pBdr>
          <w:bottom w:val="single" w:color="00B4D8" w:sz="8" w:space="4"/>
        </w:pBdr>
        <w:spacing w:after="160" w:before="360"/>
      </w:pPr>
      <w:r>
        <w:rPr>
          <w:rFonts w:ascii="Calibri" w:cs="Calibri" w:eastAsia="Calibri" w:hAnsi="Calibri"/>
          <w:b/>
          <w:bCs/>
          <w:color w:val="0B1F3A"/>
          <w:sz w:val="32"/>
          <w:szCs w:val="32"/>
        </w:rPr>
        <w:t xml:space="preserve">7.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Livrable</w:t>
            </w:r>
          </w:p>
        </w:tc>
        <w:tc>
          <w:tcPr>
            <w:tcW w:type="dxa" w:w="64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Contenu</w:t>
            </w:r>
          </w:p>
        </w:tc>
      </w:tr>
      <w:tr>
        <w:trPr>
          <w:tblHeader w:val="off"/>
        </w:trPr>
        <w:tc>
          <w:tcPr>
            <w:tcW w:type="dxa" w:w="3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Cahier des charges</w:t>
            </w:r>
          </w:p>
        </w:tc>
        <w:tc>
          <w:tcPr>
            <w:tcW w:type="dxa" w:w="64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Le présent document</w:t>
            </w:r>
          </w:p>
        </w:tc>
      </w:tr>
      <w:tr>
        <w:trPr>
          <w:tblHeader w:val="off"/>
        </w:trPr>
        <w:tc>
          <w:tcPr>
            <w:tcW w:type="dxa" w:w="3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Rapport technique</w:t>
            </w:r>
          </w:p>
        </w:tc>
        <w:tc>
          <w:tcPr>
            <w:tcW w:type="dxa" w:w="64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Étude, conception, câblage, logiciel, tests, code complet en annexe</w:t>
            </w:r>
          </w:p>
        </w:tc>
      </w:tr>
      <w:tr>
        <w:trPr>
          <w:tblHeader w:val="off"/>
        </w:trPr>
        <w:tc>
          <w:tcPr>
            <w:tcW w:type="dxa" w:w="3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Présentation de soutenance</w:t>
            </w:r>
          </w:p>
        </w:tc>
        <w:tc>
          <w:tcPr>
            <w:tcW w:type="dxa" w:w="64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Diaporama avec notes de l’orateur</w:t>
            </w:r>
          </w:p>
        </w:tc>
      </w:tr>
      <w:tr>
        <w:trPr>
          <w:tblHeader w:val="off"/>
        </w:trPr>
        <w:tc>
          <w:tcPr>
            <w:tcW w:type="dxa" w:w="3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Guide de soutenance</w:t>
            </w:r>
          </w:p>
        </w:tc>
        <w:tc>
          <w:tcPr>
            <w:tcW w:type="dxa" w:w="64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Questions probables du jury et éléments de réponse</w:t>
            </w:r>
          </w:p>
        </w:tc>
      </w:tr>
      <w:tr>
        <w:trPr>
          <w:tblHeader w:val="off"/>
        </w:trPr>
        <w:tc>
          <w:tcPr>
            <w:tcW w:type="dxa" w:w="3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Guide de simulation</w:t>
            </w:r>
          </w:p>
        </w:tc>
        <w:tc>
          <w:tcPr>
            <w:tcW w:type="dxa" w:w="64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Procédure Proteus et projet Wokwi prêt à ouvrir</w:t>
            </w:r>
          </w:p>
        </w:tc>
      </w:tr>
      <w:tr>
        <w:trPr>
          <w:tblHeader w:val="off"/>
        </w:trPr>
        <w:tc>
          <w:tcPr>
            <w:tcW w:type="dxa" w:w="3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Code et schémas</w:t>
            </w:r>
          </w:p>
        </w:tc>
        <w:tc>
          <w:tcPr>
            <w:tcW w:type="dxa" w:w="64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Croquis Arduino, fichier HEX compilé, schémas de câblage et organigramme</w:t>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8. Planning prévisionnel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rPr>
          <w:tblHeader/>
        </w:trPr>
        <w:tc>
          <w:tcPr>
            <w:tcW w:type="dxa" w:w="18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Étape</w:t>
            </w:r>
          </w:p>
        </w:tc>
        <w:tc>
          <w:tcPr>
            <w:tcW w:type="dxa" w:w="52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Tâches</w:t>
            </w:r>
          </w:p>
        </w:tc>
        <w:tc>
          <w:tcPr>
            <w:tcW w:type="dxa" w:w="26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Durée indicative</w:t>
            </w:r>
          </w:p>
        </w:tc>
      </w:tr>
      <w:tr>
        <w:trPr>
          <w:tblHeader w:val="off"/>
        </w:trPr>
        <w:tc>
          <w:tcPr>
            <w:tcW w:type="dxa" w:w="1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52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Étude du besoin, choix des composants</w:t>
            </w:r>
          </w:p>
        </w:tc>
        <w:tc>
          <w:tcPr>
            <w:tcW w:type="dxa" w:w="2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2 jours</w:t>
            </w:r>
          </w:p>
        </w:tc>
      </w:tr>
      <w:tr>
        <w:trPr>
          <w:tblHeader w:val="off"/>
        </w:trPr>
        <w:tc>
          <w:tcPr>
            <w:tcW w:type="dxa" w:w="1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2</w:t>
            </w:r>
          </w:p>
        </w:tc>
        <w:tc>
          <w:tcPr>
            <w:tcW w:type="dxa" w:w="52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Programmation et mise au point du code</w:t>
            </w:r>
          </w:p>
        </w:tc>
        <w:tc>
          <w:tcPr>
            <w:tcW w:type="dxa" w:w="2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3 jours</w:t>
            </w:r>
          </w:p>
        </w:tc>
      </w:tr>
      <w:tr>
        <w:trPr>
          <w:tblHeader w:val="off"/>
        </w:trPr>
        <w:tc>
          <w:tcPr>
            <w:tcW w:type="dxa" w:w="1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3</w:t>
            </w:r>
          </w:p>
        </w:tc>
        <w:tc>
          <w:tcPr>
            <w:tcW w:type="dxa" w:w="52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Simulation (Wokwi, Proteus)</w:t>
            </w:r>
          </w:p>
        </w:tc>
        <w:tc>
          <w:tcPr>
            <w:tcW w:type="dxa" w:w="2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2 jours</w:t>
            </w:r>
          </w:p>
        </w:tc>
      </w:tr>
      <w:tr>
        <w:trPr>
          <w:tblHeader w:val="off"/>
        </w:trPr>
        <w:tc>
          <w:tcPr>
            <w:tcW w:type="dxa" w:w="1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4</w:t>
            </w:r>
          </w:p>
        </w:tc>
        <w:tc>
          <w:tcPr>
            <w:tcW w:type="dxa" w:w="52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Montage sur platine et essais</w:t>
            </w:r>
          </w:p>
        </w:tc>
        <w:tc>
          <w:tcPr>
            <w:tcW w:type="dxa" w:w="2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3 jours</w:t>
            </w:r>
          </w:p>
        </w:tc>
      </w:tr>
      <w:tr>
        <w:trPr>
          <w:tblHeader w:val="off"/>
        </w:trPr>
        <w:tc>
          <w:tcPr>
            <w:tcW w:type="dxa" w:w="1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5</w:t>
            </w:r>
          </w:p>
        </w:tc>
        <w:tc>
          <w:tcPr>
            <w:tcW w:type="dxa" w:w="52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Rédaction du rapport et préparation de la soutenance</w:t>
            </w:r>
          </w:p>
        </w:tc>
        <w:tc>
          <w:tcPr>
            <w:tcW w:type="dxa" w:w="2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5 jours</w:t>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9. Critères de validation</w:t>
      </w:r>
    </w:p>
    <w:p>
      <w:pPr>
        <w:spacing w:after="120" w:line="300"/>
        <w:jc w:val="both"/>
      </w:pPr>
      <w:r>
        <w:rPr>
          <w:rFonts w:ascii="Calibri" w:cs="Calibri" w:eastAsia="Calibri" w:hAnsi="Calibri"/>
          <w:sz w:val="22"/>
          <w:szCs w:val="22"/>
        </w:rPr>
        <w:t xml:space="preserve">Les résultats ci-dessous sont des résultats attendus. L’étudiant doit les vérifier lui-même en simulation puis sur son montage et consigner les valeurs réellement mesurées dans son rapport.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300"/>
        <w:gridCol w:w="1938"/>
      </w:tblGrid>
      <w:tr>
        <w:trPr>
          <w:tblHeader/>
        </w:trPr>
        <w:tc>
          <w:tcPr>
            <w:tcW w:type="dxa" w:w="8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Réf.</w:t>
            </w:r>
          </w:p>
        </w:tc>
        <w:tc>
          <w:tcPr>
            <w:tcW w:type="dxa" w:w="36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Essai</w:t>
            </w:r>
          </w:p>
        </w:tc>
        <w:tc>
          <w:tcPr>
            <w:tcW w:type="dxa" w:w="33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Résultat attendu</w:t>
            </w:r>
          </w:p>
        </w:tc>
        <w:tc>
          <w:tcPr>
            <w:tcW w:type="dxa" w:w="19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Mesuré</w:t>
            </w:r>
          </w:p>
        </w:tc>
      </w:tr>
      <w:tr>
        <w:trPr>
          <w:tblHeader w:val="off"/>
        </w:trPr>
        <w:tc>
          <w:tcPr>
            <w:tcW w:type="dxa" w:w="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T1</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Mise sous tension</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LCD : « Places : 4/4 », « BIENVENUE », LED verte allumée, barrière fermée</w:t>
            </w:r>
          </w:p>
        </w:tc>
        <w:tc>
          <w:tcPr>
            <w:tcW w:type="dxa" w:w="19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T2</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Véhicule à l’entrée (&lt; 15 cm)</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Compteur 3/4, barrière ouverte, bip court</w:t>
            </w:r>
          </w:p>
        </w:tc>
        <w:tc>
          <w:tcPr>
            <w:tcW w:type="dxa" w:w="19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T3</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Zones dégagées pendant 2 s</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Barrière refermée</w:t>
            </w:r>
          </w:p>
        </w:tc>
        <w:tc>
          <w:tcPr>
            <w:tcW w:type="dxa" w:w="19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T4</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Véhicule à la sortie</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Compteur +1, barrière ouverte puis refermée</w:t>
            </w:r>
          </w:p>
        </w:tc>
        <w:tc>
          <w:tcPr>
            <w:tcW w:type="dxa" w:w="19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T5</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4 véhicules entrent</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LCD « PARKING COMPLET », LED rouge, bip</w:t>
            </w:r>
          </w:p>
        </w:tc>
        <w:tc>
          <w:tcPr>
            <w:tcW w:type="dxa" w:w="19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T6</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5e véhicule à l’entrée</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Barrière reste fermée, bip long</w:t>
            </w:r>
          </w:p>
        </w:tc>
        <w:tc>
          <w:tcPr>
            <w:tcW w:type="dxa" w:w="19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10. Risques et parades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Risque</w:t>
            </w:r>
          </w:p>
        </w:tc>
        <w:tc>
          <w:tcPr>
            <w:tcW w:type="dxa" w:w="33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Conséquence</w:t>
            </w:r>
          </w:p>
        </w:tc>
        <w:tc>
          <w:tcPr>
            <w:tcW w:type="dxa" w:w="33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Parade</w:t>
            </w:r>
          </w:p>
        </w:tc>
      </w:tr>
      <w:tr>
        <w:trPr>
          <w:tblHeader w:val="off"/>
        </w:trPr>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Faux positifs des capteurs</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Comptage erroné</w:t>
            </w:r>
          </w:p>
        </w:tc>
        <w:tc>
          <w:tcPr>
            <w:tcW w:type="dxa" w:w="3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Confirmation sur 3 mesures, verrou anti-double comptage</w:t>
            </w:r>
          </w:p>
        </w:tc>
      </w:tr>
      <w:tr>
        <w:trPr>
          <w:tblHeader w:val="off"/>
        </w:trPr>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Interférence entre les deux capteurs</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Mesures instables</w:t>
            </w:r>
          </w:p>
        </w:tc>
        <w:tc>
          <w:tcPr>
            <w:tcW w:type="dxa" w:w="3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Lecture séquentielle avec délai de 30 ms</w:t>
            </w:r>
          </w:p>
        </w:tc>
      </w:tr>
      <w:tr>
        <w:trPr>
          <w:tblHeader w:val="off"/>
        </w:trPr>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Chute de tension du servomoteur</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Redémarrage de la carte</w:t>
            </w:r>
          </w:p>
        </w:tc>
        <w:tc>
          <w:tcPr>
            <w:tcW w:type="dxa" w:w="3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Alimentation séparée du servo, masse commune</w:t>
            </w:r>
          </w:p>
        </w:tc>
      </w:tr>
      <w:tr>
        <w:trPr>
          <w:tblHeader w:val="off"/>
        </w:trPr>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Écran illisible</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Affichage vide</w:t>
            </w:r>
          </w:p>
        </w:tc>
        <w:tc>
          <w:tcPr>
            <w:tcW w:type="dxa" w:w="3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Régler le contraste (potentiomètre sur V0)</w:t>
            </w:r>
          </w:p>
        </w:tc>
      </w:tr>
    </w:tbl>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7"/>
        <w:szCs w:val="17"/>
      </w:rPr>
      <w:t xml:space="preserve">Parking intelligent — Page </w:t>
    </w:r>
    <w:r>
      <w:rPr>
        <w:rFonts w:ascii="Calibri" w:cs="Calibri" w:eastAsia="Calibri" w:hAnsi="Calibri"/>
        <w:color w:val="5A6B7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7"/>
        <w:szCs w:val="17"/>
      </w:rPr>
      <w:t xml:space="preserve">XLab IC  |  Cahier des charges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creator>XLab IC</dc:creator>
  <cp:lastModifiedBy>Un-named</cp:lastModifiedBy>
  <cp:revision>1</cp:revision>
  <dcterms:created xsi:type="dcterms:W3CDTF">2026-10-24T21:38:54.232Z</dcterms:created>
  <dcterms:modified xsi:type="dcterms:W3CDTF">2026-10-24T21:38:54.232Z</dcterms:modified>
</cp:coreProperties>
</file>

<file path=docProps/custom.xml><?xml version="1.0" encoding="utf-8"?>
<Properties xmlns="http://schemas.openxmlformats.org/officeDocument/2006/custom-properties" xmlns:vt="http://schemas.openxmlformats.org/officeDocument/2006/docPropsVTypes"/>
</file>