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F9" w:rsidRDefault="000669F9" w:rsidP="00EB22CE">
      <w:pPr>
        <w:spacing w:after="0" w:line="240" w:lineRule="auto"/>
        <w:contextualSpacing/>
        <w:rPr>
          <w:b/>
          <w:sz w:val="28"/>
        </w:rPr>
      </w:pPr>
      <w:r w:rsidRPr="000669F9">
        <w:rPr>
          <w:b/>
          <w:sz w:val="28"/>
        </w:rPr>
        <w:t>Expertise Training for Big Data (Hadoop Eco System</w:t>
      </w:r>
      <w:r>
        <w:rPr>
          <w:b/>
          <w:sz w:val="28"/>
        </w:rPr>
        <w:t xml:space="preserve"> + Spark</w:t>
      </w:r>
      <w:r w:rsidR="00D06710">
        <w:rPr>
          <w:b/>
          <w:sz w:val="28"/>
        </w:rPr>
        <w:t xml:space="preserve"> + Cloud</w:t>
      </w:r>
      <w:r w:rsidRPr="000669F9">
        <w:rPr>
          <w:b/>
          <w:sz w:val="28"/>
        </w:rPr>
        <w:t>)</w:t>
      </w:r>
    </w:p>
    <w:p w:rsidR="00C00A16" w:rsidRPr="000669F9" w:rsidRDefault="00C00A16" w:rsidP="00EB22CE">
      <w:pPr>
        <w:spacing w:after="0" w:line="240" w:lineRule="auto"/>
        <w:contextualSpacing/>
        <w:rPr>
          <w:b/>
          <w:sz w:val="28"/>
        </w:rPr>
      </w:pPr>
    </w:p>
    <w:p w:rsidR="000669F9" w:rsidRDefault="000669F9" w:rsidP="00EB22CE">
      <w:pPr>
        <w:pStyle w:val="ListParagraph"/>
        <w:numPr>
          <w:ilvl w:val="0"/>
          <w:numId w:val="1"/>
        </w:numPr>
        <w:spacing w:after="0" w:line="240" w:lineRule="auto"/>
      </w:pPr>
      <w:r>
        <w:t>Kick Start your Big Career with BigData using our training</w:t>
      </w:r>
    </w:p>
    <w:p w:rsidR="00C00A16" w:rsidRDefault="00C00A16" w:rsidP="00C00A16">
      <w:pPr>
        <w:pStyle w:val="ListParagraph"/>
        <w:spacing w:after="0" w:line="240" w:lineRule="auto"/>
        <w:ind w:left="1080"/>
      </w:pPr>
    </w:p>
    <w:p w:rsidR="000669F9" w:rsidRDefault="000669F9" w:rsidP="00EB22CE">
      <w:pPr>
        <w:spacing w:after="0" w:line="240" w:lineRule="auto"/>
        <w:ind w:firstLine="720"/>
        <w:contextualSpacing/>
      </w:pPr>
      <w:r>
        <w:t>We offer training for Big Data Technologies such as Hadoop Eco System, NoSQL DataStores</w:t>
      </w:r>
      <w:r w:rsidR="00635BD3">
        <w:t>, Apache Spark, Apache Storm,</w:t>
      </w:r>
      <w:r>
        <w:t xml:space="preserve"> Search Technologies</w:t>
      </w:r>
      <w:r w:rsidR="00635BD3">
        <w:t xml:space="preserve"> and Cloud Services like Azure and AWS</w:t>
      </w:r>
      <w:r>
        <w:t>. We also provide customized, private trainings on any Big Data Technologies.</w:t>
      </w:r>
    </w:p>
    <w:p w:rsidR="00C00A16" w:rsidRDefault="00C00A16" w:rsidP="00EB22CE">
      <w:pPr>
        <w:spacing w:after="0" w:line="240" w:lineRule="auto"/>
        <w:ind w:firstLine="720"/>
        <w:contextualSpacing/>
      </w:pPr>
    </w:p>
    <w:p w:rsidR="00226891" w:rsidRDefault="00226891" w:rsidP="00EB22CE">
      <w:pPr>
        <w:spacing w:after="0" w:line="240" w:lineRule="auto"/>
        <w:contextualSpacing/>
        <w:rPr>
          <w:b/>
          <w:sz w:val="28"/>
        </w:rPr>
      </w:pPr>
      <w:r w:rsidRPr="00226891">
        <w:rPr>
          <w:b/>
          <w:sz w:val="28"/>
        </w:rPr>
        <w:t>Who should go for this Course?</w:t>
      </w:r>
    </w:p>
    <w:p w:rsidR="00C00A16" w:rsidRPr="00226891" w:rsidRDefault="00C00A16" w:rsidP="00EB22CE">
      <w:pPr>
        <w:spacing w:after="0" w:line="240" w:lineRule="auto"/>
        <w:contextualSpacing/>
        <w:rPr>
          <w:b/>
          <w:sz w:val="28"/>
        </w:rPr>
      </w:pPr>
    </w:p>
    <w:p w:rsidR="00226891" w:rsidRPr="00226891" w:rsidRDefault="00226891" w:rsidP="00EB22CE">
      <w:pPr>
        <w:spacing w:after="0" w:line="240" w:lineRule="auto"/>
        <w:ind w:firstLine="720"/>
        <w:contextualSpacing/>
      </w:pPr>
      <w:r w:rsidRPr="00226891">
        <w:t xml:space="preserve">This course is a foundation to anyone who aspires to embark into the field of big data and keep abreast of the latest developments around fast and efficient processing of ever-growing data using </w:t>
      </w:r>
      <w:r>
        <w:t xml:space="preserve">Hadoop, HBase, </w:t>
      </w:r>
      <w:r w:rsidRPr="00226891">
        <w:t>Spark and related projects. The course is ideal for:</w:t>
      </w:r>
    </w:p>
    <w:p w:rsidR="00226891" w:rsidRPr="00226891" w:rsidRDefault="00226891" w:rsidP="00EB22CE">
      <w:pPr>
        <w:spacing w:after="0" w:line="240" w:lineRule="auto"/>
        <w:ind w:firstLine="720"/>
        <w:contextualSpacing/>
      </w:pPr>
      <w:r w:rsidRPr="00226891">
        <w:t>1. Big Data enthusiasts </w:t>
      </w:r>
    </w:p>
    <w:p w:rsidR="00226891" w:rsidRPr="00226891" w:rsidRDefault="00226891" w:rsidP="00EB22CE">
      <w:pPr>
        <w:spacing w:after="0" w:line="240" w:lineRule="auto"/>
        <w:ind w:firstLine="720"/>
        <w:contextualSpacing/>
      </w:pPr>
      <w:r w:rsidRPr="00226891">
        <w:t xml:space="preserve">2. </w:t>
      </w:r>
      <w:r w:rsidR="00572788">
        <w:t xml:space="preserve">Student, </w:t>
      </w:r>
      <w:r w:rsidR="00572788" w:rsidRPr="00572788">
        <w:t>Researcher</w:t>
      </w:r>
      <w:r w:rsidR="00572788">
        <w:t xml:space="preserve">, </w:t>
      </w:r>
      <w:r w:rsidRPr="00226891">
        <w:t>Software architects, engineers and developers </w:t>
      </w:r>
    </w:p>
    <w:p w:rsidR="00226891" w:rsidRDefault="00226891" w:rsidP="00EB22CE">
      <w:pPr>
        <w:spacing w:after="0" w:line="240" w:lineRule="auto"/>
        <w:ind w:firstLine="720"/>
        <w:contextualSpacing/>
      </w:pPr>
      <w:r w:rsidRPr="00226891">
        <w:t>3. Data Scientists and analytics professionals</w:t>
      </w:r>
    </w:p>
    <w:p w:rsidR="00EB22CE" w:rsidRDefault="00EB22CE" w:rsidP="00EB22CE">
      <w:pPr>
        <w:spacing w:after="0" w:line="240" w:lineRule="auto"/>
        <w:ind w:firstLine="720"/>
        <w:contextualSpacing/>
      </w:pPr>
    </w:p>
    <w:p w:rsidR="00C00A16" w:rsidRDefault="00C00A16" w:rsidP="00EB22CE">
      <w:pPr>
        <w:spacing w:after="0" w:line="240" w:lineRule="auto"/>
        <w:ind w:firstLine="720"/>
        <w:contextualSpacing/>
      </w:pP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1360"/>
        <w:gridCol w:w="3400"/>
        <w:gridCol w:w="4760"/>
      </w:tblGrid>
      <w:tr w:rsidR="00C34B35" w:rsidRPr="00776EA2" w:rsidTr="00C34B35">
        <w:trPr>
          <w:trHeight w:val="240"/>
        </w:trPr>
        <w:tc>
          <w:tcPr>
            <w:tcW w:w="9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Training Plan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Date/Duration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 Topic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Day1 -3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Big Data Knowledge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Introduction to Big Data Analytics, Linux and Hadoop Installation, Hive, Pig Installation</w:t>
            </w:r>
          </w:p>
        </w:tc>
      </w:tr>
      <w:tr w:rsidR="00C34B35" w:rsidRPr="00776EA2" w:rsidTr="00C34B35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Hadoop: Basic Concepts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Problems with traditional large-scale systems</w:t>
            </w:r>
          </w:p>
        </w:tc>
      </w:tr>
      <w:tr w:rsidR="00C34B35" w:rsidRPr="00776EA2" w:rsidTr="00C34B35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An Overview of Hadoop - Big Data (What, Why, Who)</w:t>
            </w:r>
          </w:p>
        </w:tc>
      </w:tr>
      <w:tr w:rsidR="00C34B35" w:rsidRPr="00776EA2" w:rsidTr="00C34B35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The Motivation For Hadoop</w:t>
            </w:r>
          </w:p>
        </w:tc>
      </w:tr>
      <w:tr w:rsidR="00C34B35" w:rsidRPr="00776EA2" w:rsidTr="00C34B35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Requirements for a new approach</w:t>
            </w:r>
          </w:p>
        </w:tc>
      </w:tr>
      <w:tr w:rsidR="00C34B35" w:rsidRPr="00776EA2" w:rsidTr="00C34B35">
        <w:trPr>
          <w:trHeight w:val="30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Anatomy of a Hadoop Cluster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Other Hadoop Ecosystem Components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Day2 - 3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MapReduce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Basic MapReduce API Concepts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How MapReduce Works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The MapReduce Flow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Map-Only MapReduce Jobs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Splittable File Formats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Determining the Optimal Number of Reducers/Mappers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Day3 -1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MapReduce </w:t>
            </w: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- More depth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Examining a Sample MapReduce Program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Writing a MapReduce Program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Common MapReduce Algorithms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Sorting and Searching/ The Secondary Sort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ToolRunner – Debugging(LocalJobRunner)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Indexing, Sorting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Joining Data Sets in MapReduce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CustomInputFormat – Distributed Cache – GenericOptionsParser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Map-Side Joins/Reduce-Side Joins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Day4 - 1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The Hadoop Distributed File System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HDFS Concepts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HDFS Design - Architecture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HDFS File System/Interface and CLI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Delving Deeper Into The Hadoop API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Day5 - 1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Hive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 xml:space="preserve">Hive Basics, Hive QL, Hive vs RDBMS - 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Architecture – Installation –Configuration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Tables – DDL – DML – UDF – UDAF – Partitioning – Bucketing – MetaStore</w:t>
            </w:r>
          </w:p>
        </w:tc>
      </w:tr>
      <w:tr w:rsidR="00C34B35" w:rsidRPr="00776EA2" w:rsidTr="00C34B35">
        <w:trPr>
          <w:trHeight w:val="72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Hive-Hbase Integration – Hive Web Interface – Hive</w:t>
            </w: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br/>
              <w:t>Server(JDBC,ODBC, Thrift) – File Formats (RCFile - ORCFile) – Other SQL on Hadoop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Day6 - 1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PIG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Architecture –Installation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Pig Basics, Pig grunt/editor, Hive vs Pig, Pig Latin Syntax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Data Types –Functions (Eval, Load/Store,</w:t>
            </w: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br/>
              <w:t>String, DateTime), Pig UDF and Data processing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Joins - Pig Server –Macros- UDFs Performance - Troubleshooting – Commonly Used Functions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Creating InputFormats and OutputFormats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Day7 - 1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Hbase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Hbasics, HbBase Vs RDBMS, Introduction to NoSQL – CAP Theorem – Classification of NoSQ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Hadoop Schema/Loading Data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HBASE and HDFS- Architecture (Read Path, Write Path, Compactions, Splits)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Installation – Configuration - Role of Zookeeper</w:t>
            </w:r>
          </w:p>
        </w:tc>
      </w:tr>
      <w:tr w:rsidR="00C34B35" w:rsidRPr="00776EA2" w:rsidTr="00C34B35">
        <w:trPr>
          <w:trHeight w:val="72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HBase Shell - Java Based APIs (Scan, Get, other advanced APIs )– Introduction to FiltersRowKey</w:t>
            </w: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br/>
              <w:t>Design</w:t>
            </w:r>
          </w:p>
        </w:tc>
      </w:tr>
      <w:tr w:rsidR="00C34B35" w:rsidRPr="00776EA2" w:rsidTr="00C34B35">
        <w:trPr>
          <w:trHeight w:val="72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Map reduce Integration – Performance Tuning –What’s New in HBase 0.98 – Backup and Disaster Recovery - Hands On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Day8 - 1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SQOOP </w:t>
            </w: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- Integrating Hadoop Into The Workflow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Relational Database Management Systems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Storage Systems, Exporting Data from HDFS to RDBMS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Importing Data from RDBMSs With Sqoop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Architecture , Installation</w:t>
            </w:r>
          </w:p>
        </w:tc>
      </w:tr>
      <w:tr w:rsidR="00C34B35" w:rsidRPr="00776EA2" w:rsidTr="00C34B35">
        <w:trPr>
          <w:trHeight w:val="72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Commands(Import , Hive-Import, EVal, Hbase Import, Import All tables,</w:t>
            </w: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br/>
              <w:t xml:space="preserve">Export) – Connectors to Existing DBs and DW </w:t>
            </w:r>
          </w:p>
        </w:tc>
      </w:tr>
      <w:tr w:rsidR="00C34B35" w:rsidRPr="00776EA2" w:rsidTr="00C34B35">
        <w:trPr>
          <w:trHeight w:val="72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Day9 - 1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Apache Oozie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Actions, Workflow, Trigger and Bundels,  Coordinator, Action (Mapreduce, Hive, Pig, Sqoop) – Introduction to Bundle – Mail Notifications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Architecture, Installation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846DD2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Day10 - 1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Flume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Why Flume ? - Architecture, Configuration (Agents), Sources(Exec-Avro-NetCat)</w:t>
            </w:r>
          </w:p>
        </w:tc>
      </w:tr>
      <w:tr w:rsidR="00C34B35" w:rsidRPr="00776EA2" w:rsidTr="00C34B35">
        <w:trPr>
          <w:trHeight w:val="96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Channels(File,Memory,JDBC, HBase), Sinks(Logger, Avro, HDFS, Hbase, FileRoll), Contextual Routing</w:t>
            </w: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br/>
              <w:t>(Interceptors, Channel Selectors) - Introduction to other aggregation frameworks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47427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Day11 - </w:t>
            </w:r>
            <w:r w:rsidR="0047427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</w:t>
            </w: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Practical Development Tips and Techniques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Testing with MRUnit</w:t>
            </w:r>
          </w:p>
        </w:tc>
      </w:tr>
      <w:tr w:rsidR="00C34B35" w:rsidRPr="00776EA2" w:rsidTr="00C34B35">
        <w:trPr>
          <w:trHeight w:val="225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Debugging MapReduce Code</w:t>
            </w:r>
          </w:p>
        </w:tc>
      </w:tr>
      <w:tr w:rsidR="00C34B35" w:rsidRPr="00776EA2" w:rsidTr="00C34B35">
        <w:trPr>
          <w:trHeight w:val="225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Using LocalJobRunner Mode For Easier Debugging</w:t>
            </w:r>
          </w:p>
        </w:tc>
      </w:tr>
      <w:tr w:rsidR="00C34B35" w:rsidRPr="00776EA2" w:rsidTr="00C34B35">
        <w:trPr>
          <w:trHeight w:val="225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Reducing Intermediate Data With Combiners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Retrieving Job Information with Counters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474270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Day12 - 3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 Hours Lab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Hadoop Case Study - Assignments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 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474270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 13 - 1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lastRenderedPageBreak/>
              <w:t>Administration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 Node Cluster Setup using AWS Cloud Machines –Hardware Considerations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Software Considerations - Commands (fsck, job, dfsadmin)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Schedulers in Job Tracker - RackAwareness Policy</w:t>
            </w:r>
          </w:p>
        </w:tc>
      </w:tr>
      <w:tr w:rsidR="00C34B35" w:rsidRPr="00776EA2" w:rsidTr="00C34B35">
        <w:trPr>
          <w:trHeight w:val="72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Balancing - NameNode Failure and Recovery - commissioning and Decommissioning a Node –</w:t>
            </w: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Compression Codecs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474270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Day 14 - 3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 Hour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Apache Spark &amp; Scala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Understand Scala and its implementation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Apply Control Structures, Loops, Collection, and more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Master the concepts of Traits and OOPS in Scala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Understand functional programming in Scala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Get an insight into the big data challenges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Learn how Spark acts as a solution to these challenges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sz w:val="18"/>
                <w:szCs w:val="18"/>
              </w:rPr>
              <w:t>Install Spark and implement Spark operations on Spark Shell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474270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 15 - 1</w:t>
            </w:r>
            <w:bookmarkStart w:id="0" w:name="_GoBack"/>
            <w:bookmarkEnd w:id="0"/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Hours</w:t>
            </w:r>
            <w:r w:rsidR="00C34B35" w:rsidRPr="00776EA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br/>
              <w:t>Lab - 2 Hours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>Apache Spark &amp; Scala</w:t>
            </w:r>
            <w:r w:rsidRPr="00776EA2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br/>
              <w:t>- More depth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Understand the role of RDDs in Spark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Implement Spark applications on YARN (Hadoop)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Stream data using Spark Streaming API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Implement machine learning algorithms in Spark using MLlib API</w:t>
            </w:r>
          </w:p>
        </w:tc>
      </w:tr>
      <w:tr w:rsidR="00C34B35" w:rsidRPr="00776EA2" w:rsidTr="00C34B35">
        <w:trPr>
          <w:trHeight w:val="24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Analyze Hive and Spark SQL architecture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Implement SparkSQL queries to perform several computations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Understand GraphX API and implement graph algorithms</w:t>
            </w:r>
          </w:p>
        </w:tc>
      </w:tr>
      <w:tr w:rsidR="00C34B35" w:rsidRPr="00776EA2" w:rsidTr="00C34B35">
        <w:trPr>
          <w:trHeight w:val="480"/>
        </w:trPr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C34B35" w:rsidRPr="00776EA2" w:rsidRDefault="00C34B35" w:rsidP="00EB22CE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76EA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Implement Broadcast variable and Accumulators for performance tuning</w:t>
            </w:r>
          </w:p>
        </w:tc>
      </w:tr>
    </w:tbl>
    <w:p w:rsidR="00776EA2" w:rsidRPr="00226891" w:rsidRDefault="00776EA2" w:rsidP="00EB22CE">
      <w:pPr>
        <w:spacing w:after="0" w:line="240" w:lineRule="auto"/>
        <w:ind w:firstLine="720"/>
        <w:contextualSpacing/>
      </w:pPr>
    </w:p>
    <w:p w:rsidR="00226891" w:rsidRDefault="00226891" w:rsidP="00EB22CE">
      <w:pPr>
        <w:spacing w:after="0" w:line="240" w:lineRule="auto"/>
        <w:ind w:firstLine="720"/>
        <w:contextualSpacing/>
      </w:pPr>
    </w:p>
    <w:p w:rsidR="000669F9" w:rsidRDefault="000669F9" w:rsidP="00EB22CE">
      <w:pPr>
        <w:spacing w:after="0" w:line="240" w:lineRule="auto"/>
        <w:contextualSpacing/>
      </w:pPr>
    </w:p>
    <w:p w:rsidR="000669F9" w:rsidRPr="000669F9" w:rsidRDefault="000669F9" w:rsidP="00EB22CE">
      <w:pPr>
        <w:spacing w:after="0" w:line="240" w:lineRule="auto"/>
        <w:contextualSpacing/>
      </w:pPr>
    </w:p>
    <w:sectPr w:rsidR="000669F9" w:rsidRPr="0006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89D" w:rsidRDefault="0092589D" w:rsidP="00D27476">
      <w:pPr>
        <w:spacing w:after="0" w:line="240" w:lineRule="auto"/>
      </w:pPr>
      <w:r>
        <w:separator/>
      </w:r>
    </w:p>
  </w:endnote>
  <w:endnote w:type="continuationSeparator" w:id="0">
    <w:p w:rsidR="0092589D" w:rsidRDefault="0092589D" w:rsidP="00D2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89D" w:rsidRDefault="0092589D" w:rsidP="00D27476">
      <w:pPr>
        <w:spacing w:after="0" w:line="240" w:lineRule="auto"/>
      </w:pPr>
      <w:r>
        <w:separator/>
      </w:r>
    </w:p>
  </w:footnote>
  <w:footnote w:type="continuationSeparator" w:id="0">
    <w:p w:rsidR="0092589D" w:rsidRDefault="0092589D" w:rsidP="00D2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42F1B"/>
    <w:multiLevelType w:val="hybridMultilevel"/>
    <w:tmpl w:val="FFCAA69C"/>
    <w:lvl w:ilvl="0" w:tplc="012666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19"/>
    <w:rsid w:val="00044269"/>
    <w:rsid w:val="00054392"/>
    <w:rsid w:val="000669F9"/>
    <w:rsid w:val="00076DA1"/>
    <w:rsid w:val="00077BFF"/>
    <w:rsid w:val="001630D9"/>
    <w:rsid w:val="00226891"/>
    <w:rsid w:val="002F245C"/>
    <w:rsid w:val="003276F1"/>
    <w:rsid w:val="003D46D5"/>
    <w:rsid w:val="00474270"/>
    <w:rsid w:val="004A5A82"/>
    <w:rsid w:val="00572788"/>
    <w:rsid w:val="00635BD3"/>
    <w:rsid w:val="006B01E0"/>
    <w:rsid w:val="006C35FF"/>
    <w:rsid w:val="00776EA2"/>
    <w:rsid w:val="007F2A24"/>
    <w:rsid w:val="00836A19"/>
    <w:rsid w:val="00846DD2"/>
    <w:rsid w:val="008F186B"/>
    <w:rsid w:val="0092589D"/>
    <w:rsid w:val="00C00A16"/>
    <w:rsid w:val="00C34B35"/>
    <w:rsid w:val="00D06710"/>
    <w:rsid w:val="00D12DC8"/>
    <w:rsid w:val="00D27476"/>
    <w:rsid w:val="00E27EB6"/>
    <w:rsid w:val="00EB22CE"/>
    <w:rsid w:val="00F2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E54F"/>
  <w15:docId w15:val="{5EB19A57-E99E-4995-BA9B-40A47763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68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76"/>
  </w:style>
  <w:style w:type="paragraph" w:styleId="Footer">
    <w:name w:val="footer"/>
    <w:basedOn w:val="Normal"/>
    <w:link w:val="FooterChar"/>
    <w:uiPriority w:val="99"/>
    <w:unhideWhenUsed/>
    <w:rsid w:val="00D2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76"/>
  </w:style>
  <w:style w:type="paragraph" w:styleId="ListParagraph">
    <w:name w:val="List Paragraph"/>
    <w:basedOn w:val="Normal"/>
    <w:uiPriority w:val="34"/>
    <w:qFormat/>
    <w:rsid w:val="000669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689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Hasnain</dc:creator>
  <cp:keywords/>
  <dc:description/>
  <cp:lastModifiedBy>Mohd Hasnain</cp:lastModifiedBy>
  <cp:revision>46</cp:revision>
  <dcterms:created xsi:type="dcterms:W3CDTF">2016-09-10T16:13:00Z</dcterms:created>
  <dcterms:modified xsi:type="dcterms:W3CDTF">2018-03-05T14:53:00Z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Mohd Hasnain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