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>Vani Setu Track A Reconciliation VS-RECON-TRKA-V1-001</w:t>
      </w:r>
    </w:p>
    <w:p>
      <w:r>
        <w:t>Date: 2026-05-20</w:t>
      </w:r>
    </w:p>
    <w:p>
      <w:r>
        <w:t>Run: 20260520T121349Z</w:t>
      </w:r>
    </w:p>
    <w:p>
      <w:pPr>
        <w:pStyle w:val="Heading1"/>
      </w:pPr>
      <w:r>
        <w:rPr>
          <w:b/>
        </w:rPr>
        <w:t>Scope</w:t>
      </w:r>
    </w:p>
    <w:p>
      <w:r>
        <w:t>This reconciliation records Track A integration for Reporter, Translator, frontend editor depth, ML gateway depth, and audit chain segregation. Track B committee nomenclature and behavior remain unchanged except for a syntax-only frontend build fix that terminates existing setup statements without changing behavior.</w:t>
      </w:r>
    </w:p>
    <w:p>
      <w:pPr>
        <w:pStyle w:val="Heading1"/>
      </w:pPr>
      <w:r>
        <w:rPr>
          <w:b/>
        </w:rPr>
        <w:t>References</w:t>
      </w:r>
    </w:p>
    <w:p>
      <w:r>
        <w:t>Reporter and Translator prototypes are available under gov/vanisetu/prototype. The available SRS reference records Reporter Workspace M5 and Translator Workspace M10 expectations, including assigned slot visibility, partial submission/recovery, two-pane translator review, HV/EV derivatives, and regional footnote preservation.</w:t>
      </w:r>
    </w:p>
    <w:p>
      <w:pPr>
        <w:pStyle w:val="Heading1"/>
      </w:pPr>
      <w:r>
        <w:rPr>
          <w:b/>
        </w:rPr>
        <w:t>Integration Result</w:t>
      </w:r>
    </w:p>
    <w:p>
      <w:r>
        <w:t>Reporter moved from 82% to approximately 95% for v1.1 hardening scope. Translator moved from 78% to approximately 90% for v1.1 hardening scope. Operational gates remain open for microphone hardware and Bhashini production credentials.</w:t>
      </w:r>
    </w:p>
    <w:p>
      <w:pPr>
        <w:pStyle w:val="Heading1"/>
      </w:pPr>
      <w:r>
        <w:rPr>
          <w:b/>
        </w:rPr>
        <w:t>Evidence</w:t>
      </w:r>
    </w:p>
    <w:p>
      <w:r>
        <w:t>Backend verification: Laravel feature suite reached 163 passing tests. Frontend verification: Vitest reached 78 passing tests and npm run build succeeds. ML gateway verification: pytest reached 18 passing tests and local curl probes for diarisation, forced alignment, regional language detection, and NMT batch returned HTTP 200. Audit verification remains segment-aware and passes.</w:t>
      </w:r>
    </w:p>
    <w:p>
      <w:pPr>
        <w:pStyle w:val="Heading1"/>
      </w:pPr>
      <w:r>
        <w:rPr>
          <w:b/>
        </w:rPr>
        <w:t>Audit And Governance</w:t>
      </w:r>
    </w:p>
    <w:p>
      <w:r>
        <w:t>Audit verification now validates reporter, translator, committee, and committee.in_camera chains independently. Existing entries default to on_record where no segment is present. In-camera remains segregated below committee.</w:t>
      </w:r>
    </w:p>
    <w:p>
      <w:pPr>
        <w:pStyle w:val="Heading1"/>
      </w:pPr>
      <w:r>
        <w:rPr>
          <w:b/>
        </w:rPr>
        <w:t>Open Gates</w:t>
      </w:r>
    </w:p>
    <w:p>
      <w:r>
        <w:t>PENDING_HUMAN: browser microphone validation on the target workstation. PENDING_HUMAN: production Bhashini credentials and service-level validation.</w:t>
      </w:r>
    </w:p>
    <w:p>
      <w:pPr>
        <w:pStyle w:val="Heading1"/>
      </w:pPr>
      <w:r>
        <w:rPr>
          <w:b/>
        </w:rPr>
        <w:t>Verdict</w:t>
      </w:r>
    </w:p>
    <w:p>
      <w:r>
        <w:t>Track A is integrated and evidenced for controlled UAT preparation, but full v1 UAT readiness is not claimed until the operational gates are closed.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</w:styles>
</file>