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B5C"/>
          <w:sz w:val="34"/>
          <w:szCs w:val="34"/>
        </w:rPr>
        <w:t xml:space="preserve">BC HOUSING COMPLETIONS FORECAST</w:t>
      </w:r>
    </w:p>
    <w:p>
      <w:pPr>
        <w:pBdr>
          <w:bottom w:val="single" w:color="2E7D6E" w:sz="12"/>
        </w:pBdr>
        <w:spacing w:after="160"/>
      </w:pPr>
      <w:r>
        <w:rPr>
          <w:color w:val="595959"/>
          <w:sz w:val="22"/>
          <w:szCs w:val="22"/>
        </w:rPr>
        <w:t xml:space="preserve">Model Card — Pooled Ridge v13  |  Prepared July 2026</w:t>
      </w:r>
    </w:p>
    <w:p>
      <w:pPr>
        <w:pStyle w:val="Heading2"/>
        <w:spacing w:after="80" w:before="200"/>
      </w:pPr>
      <w:r>
        <w:rPr>
          <w:color w:val="2E7D6E"/>
        </w:rPr>
        <w:t xml:space="preserve">What this model does</w:t>
      </w:r>
    </w:p>
    <w:p>
      <w:pPr>
        <w:spacing w:after="100" w:line="276"/>
      </w:pPr>
      <w:r>
        <w:rPr>
          <w:sz w:val="21"/>
          <w:szCs w:val="21"/>
        </w:rPr>
        <w:t xml:space="preserve">Produces monthly forecasts of CMHC housing completions (Total, Multi-Unit, and Single-Detached) for the seven CMHC-covered regional districts in British Columbia plus a provincial aggregate — 24 series in total — over a 36-month horizon, with calibrated uncertainty bands, economic scenarios, and an interactive rate what-if.</w:t>
      </w:r>
    </w:p>
    <w:p>
      <w:pPr>
        <w:pStyle w:val="Heading2"/>
        <w:spacing w:after="80" w:before="200"/>
      </w:pPr>
      <w:r>
        <w:rPr>
          <w:color w:val="2E7D6E"/>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shd w:fill="F2F5F8" w:val="clear"/>
            <w:tcMar>
              <w:top w:type="dxa" w:w="60"/>
              <w:left w:type="dxa" w:w="100"/>
              <w:bottom w:type="dxa" w:w="60"/>
              <w:right w:type="dxa" w:w="100"/>
            </w:tcMar>
          </w:tcPr>
          <w:p>
            <w:r>
              <w:rPr>
                <w:b/>
                <w:bCs/>
                <w:color w:val="1F3B5C"/>
                <w:sz w:val="20"/>
                <w:szCs w:val="20"/>
              </w:rPr>
              <w:t xml:space="preserve">Forecast target</w:t>
            </w:r>
          </w:p>
        </w:tc>
        <w:tc>
          <w:tcPr>
            <w:tcW w:type="dxa" w:w="6260"/>
            <w:shd w:fill="F2F5F8" w:val="clear"/>
            <w:tcMar>
              <w:top w:type="dxa" w:w="60"/>
              <w:left w:type="dxa" w:w="100"/>
              <w:bottom w:type="dxa" w:w="60"/>
              <w:right w:type="dxa" w:w="100"/>
            </w:tcMar>
          </w:tcPr>
          <w:p>
            <w:r>
              <w:rPr>
                <w:sz w:val="20"/>
                <w:szCs w:val="20"/>
              </w:rPr>
              <w:t xml:space="preserve">3-month-smoothed monthly CMHC completions, Jan 2026 – Dec 2028</w:t>
            </w:r>
          </w:p>
        </w:tc>
      </w:tr>
      <w:tr>
        <w:tc>
          <w:tcPr>
            <w:tcW w:type="dxa" w:w="3100"/>
            <w:tcMar>
              <w:top w:type="dxa" w:w="60"/>
              <w:left w:type="dxa" w:w="100"/>
              <w:bottom w:type="dxa" w:w="60"/>
              <w:right w:type="dxa" w:w="100"/>
            </w:tcMar>
          </w:tcPr>
          <w:p>
            <w:r>
              <w:rPr>
                <w:b/>
                <w:bCs/>
                <w:color w:val="1F3B5C"/>
                <w:sz w:val="20"/>
                <w:szCs w:val="20"/>
              </w:rPr>
              <w:t xml:space="preserve">Method</w:t>
            </w:r>
          </w:p>
        </w:tc>
        <w:tc>
          <w:tcPr>
            <w:tcW w:type="dxa" w:w="6260"/>
            <w:tcMar>
              <w:top w:type="dxa" w:w="60"/>
              <w:left w:type="dxa" w:w="100"/>
              <w:bottom w:type="dxa" w:w="60"/>
              <w:right w:type="dxa" w:w="100"/>
            </w:tcMar>
          </w:tcPr>
          <w:p>
            <w:r>
              <w:rPr>
                <w:sz w:val="20"/>
                <w:szCs w:val="20"/>
              </w:rPr>
              <w:t xml:space="preserve">One pooled cross-district Ridge regression per dwelling type, on level-scaled units, with 8 features (recent completions, under-construction pipeline at 6 and 12 months, seasonality, 5-year mortgage-rate momentum), damped recursion, and a clipped bias correction</w:t>
            </w:r>
          </w:p>
        </w:tc>
      </w:tr>
      <w:tr>
        <w:tc>
          <w:tcPr>
            <w:tcW w:type="dxa" w:w="3100"/>
            <w:shd w:fill="F2F5F8" w:val="clear"/>
            <w:tcMar>
              <w:top w:type="dxa" w:w="60"/>
              <w:left w:type="dxa" w:w="100"/>
              <w:bottom w:type="dxa" w:w="60"/>
              <w:right w:type="dxa" w:w="100"/>
            </w:tcMar>
          </w:tcPr>
          <w:p>
            <w:r>
              <w:rPr>
                <w:b/>
                <w:bCs/>
                <w:color w:val="1F3B5C"/>
                <w:sz w:val="20"/>
                <w:szCs w:val="20"/>
              </w:rPr>
              <w:t xml:space="preserve">Training data</w:t>
            </w:r>
          </w:p>
        </w:tc>
        <w:tc>
          <w:tcPr>
            <w:tcW w:type="dxa" w:w="6260"/>
            <w:shd w:fill="F2F5F8" w:val="clear"/>
            <w:tcMar>
              <w:top w:type="dxa" w:w="60"/>
              <w:left w:type="dxa" w:w="100"/>
              <w:bottom w:type="dxa" w:w="60"/>
              <w:right w:type="dxa" w:w="100"/>
            </w:tcMar>
          </w:tcPr>
          <w:p>
            <w:r>
              <w:rPr>
                <w:sz w:val="20"/>
                <w:szCs w:val="20"/>
              </w:rPr>
              <w:t xml:space="preserve">72 months (Jan 2020 – Dec 2025), CMHC + BC economic indicators</w:t>
            </w:r>
          </w:p>
        </w:tc>
      </w:tr>
      <w:tr>
        <w:tc>
          <w:tcPr>
            <w:tcW w:type="dxa" w:w="3100"/>
            <w:tcMar>
              <w:top w:type="dxa" w:w="60"/>
              <w:left w:type="dxa" w:w="100"/>
              <w:bottom w:type="dxa" w:w="60"/>
              <w:right w:type="dxa" w:w="100"/>
            </w:tcMar>
          </w:tcPr>
          <w:p>
            <w:r>
              <w:rPr>
                <w:b/>
                <w:bCs/>
                <w:color w:val="1F3B5C"/>
                <w:sz w:val="20"/>
                <w:szCs w:val="20"/>
              </w:rPr>
              <w:t xml:space="preserve">Headline accuracy</w:t>
            </w:r>
          </w:p>
        </w:tc>
        <w:tc>
          <w:tcPr>
            <w:tcW w:type="dxa" w:w="6260"/>
            <w:tcMar>
              <w:top w:type="dxa" w:w="60"/>
              <w:left w:type="dxa" w:w="100"/>
              <w:bottom w:type="dxa" w:w="60"/>
              <w:right w:type="dxa" w:w="100"/>
            </w:tcMar>
          </w:tcPr>
          <w:p>
            <w:r>
              <w:rPr>
                <w:sz w:val="20"/>
                <w:szCs w:val="20"/>
              </w:rPr>
              <w:t xml:space="preserve">Volume-weighted error (WAPE) of 15.1% on 12 months of genuinely unseen data, vs 27.5% for a seasonal-naive benchmark — a 45% error reduction. 22 of 24 series beat the benchmark.</w:t>
            </w:r>
          </w:p>
        </w:tc>
      </w:tr>
      <w:tr>
        <w:tc>
          <w:tcPr>
            <w:tcW w:type="dxa" w:w="3100"/>
            <w:shd w:fill="F2F5F8" w:val="clear"/>
            <w:tcMar>
              <w:top w:type="dxa" w:w="60"/>
              <w:left w:type="dxa" w:w="100"/>
              <w:bottom w:type="dxa" w:w="60"/>
              <w:right w:type="dxa" w:w="100"/>
            </w:tcMar>
          </w:tcPr>
          <w:p>
            <w:r>
              <w:rPr>
                <w:b/>
                <w:bCs/>
                <w:color w:val="1F3B5C"/>
                <w:sz w:val="20"/>
                <w:szCs w:val="20"/>
              </w:rPr>
              <w:t xml:space="preserve">Uncertainty</w:t>
            </w:r>
          </w:p>
        </w:tc>
        <w:tc>
          <w:tcPr>
            <w:tcW w:type="dxa" w:w="6260"/>
            <w:shd w:fill="F2F5F8" w:val="clear"/>
            <w:tcMar>
              <w:top w:type="dxa" w:w="60"/>
              <w:left w:type="dxa" w:w="100"/>
              <w:bottom w:type="dxa" w:w="60"/>
              <w:right w:type="dxa" w:w="100"/>
            </w:tcMar>
          </w:tcPr>
          <w:p>
            <w:r>
              <w:rPr>
                <w:sz w:val="20"/>
                <w:szCs w:val="20"/>
              </w:rPr>
              <w:t xml:space="preserve">Empirical (conformal) 50 / 80 / 95% prediction intervals, calibrated on the unseen holdout: realized coverage 52%, 83%, and 98% respectively</w:t>
            </w:r>
          </w:p>
        </w:tc>
      </w:tr>
      <w:tr>
        <w:tc>
          <w:tcPr>
            <w:tcW w:type="dxa" w:w="3100"/>
            <w:tcMar>
              <w:top w:type="dxa" w:w="60"/>
              <w:left w:type="dxa" w:w="100"/>
              <w:bottom w:type="dxa" w:w="60"/>
              <w:right w:type="dxa" w:w="100"/>
            </w:tcMar>
          </w:tcPr>
          <w:p>
            <w:r>
              <w:rPr>
                <w:b/>
                <w:bCs/>
                <w:color w:val="1F3B5C"/>
                <w:sz w:val="20"/>
                <w:szCs w:val="20"/>
              </w:rPr>
              <w:t xml:space="preserve">Scenarios</w:t>
            </w:r>
          </w:p>
        </w:tc>
        <w:tc>
          <w:tcPr>
            <w:tcW w:type="dxa" w:w="6260"/>
            <w:tcMar>
              <w:top w:type="dxa" w:w="60"/>
              <w:left w:type="dxa" w:w="100"/>
              <w:bottom w:type="dxa" w:w="60"/>
              <w:right w:type="dxa" w:w="100"/>
            </w:tcMar>
          </w:tcPr>
          <w:p>
            <w:r>
              <w:rPr>
                <w:sz w:val="20"/>
                <w:szCs w:val="20"/>
              </w:rPr>
              <w:t xml:space="preserve">Baseline (rates flat), Downside (+100 bp phased over 6 months), Upside (−100 bp); plus a continuous rate what-if slider in the dashboard</w:t>
            </w:r>
          </w:p>
        </w:tc>
      </w:tr>
      <w:tr>
        <w:tc>
          <w:tcPr>
            <w:tcW w:type="dxa" w:w="3100"/>
            <w:shd w:fill="F2F5F8" w:val="clear"/>
            <w:tcMar>
              <w:top w:type="dxa" w:w="60"/>
              <w:left w:type="dxa" w:w="100"/>
              <w:bottom w:type="dxa" w:w="60"/>
              <w:right w:type="dxa" w:w="100"/>
            </w:tcMar>
          </w:tcPr>
          <w:p>
            <w:r>
              <w:rPr>
                <w:b/>
                <w:bCs/>
                <w:color w:val="1F3B5C"/>
                <w:sz w:val="20"/>
                <w:szCs w:val="20"/>
              </w:rPr>
              <w:t xml:space="preserve">Validation discipline</w:t>
            </w:r>
          </w:p>
        </w:tc>
        <w:tc>
          <w:tcPr>
            <w:tcW w:type="dxa" w:w="6260"/>
            <w:shd w:fill="F2F5F8" w:val="clear"/>
            <w:tcMar>
              <w:top w:type="dxa" w:w="60"/>
              <w:left w:type="dxa" w:w="100"/>
              <w:bottom w:type="dxa" w:w="60"/>
              <w:right w:type="dxa" w:w="100"/>
            </w:tcMar>
          </w:tcPr>
          <w:p>
            <w:r>
              <w:rPr>
                <w:sz w:val="20"/>
                <w:szCs w:val="20"/>
              </w:rPr>
              <w:t xml:space="preserve">All model and hyperparameter selection done strictly before the holdout; the reported holdout was never touched during fitting</w:t>
            </w:r>
          </w:p>
        </w:tc>
      </w:tr>
    </w:tbl>
    <w:p>
      <w:pPr>
        <w:pStyle w:val="Heading2"/>
        <w:spacing w:after="80" w:before="200"/>
      </w:pPr>
      <w:r>
        <w:rPr>
          <w:color w:val="2E7D6E"/>
        </w:rPr>
        <w:t xml:space="preserve">Why the design looks this way</w:t>
      </w:r>
    </w:p>
    <w:p>
      <w:pPr>
        <w:spacing w:after="100" w:line="276"/>
      </w:pPr>
      <w:r>
        <w:rPr>
          <w:sz w:val="21"/>
          <w:szCs w:val="21"/>
        </w:rPr>
        <w:t xml:space="preserve">An earlier version fit a separate flexible model per district and appeared excellent in-sample (R² = 0.94) but failed badly on unseen data — with only 2–3 observations per model parameter, it was memorizing noise. The production model deliberately trades flexibility for reliability: pooling districts multiplies the training sample roughly sevenfold, the feature set is cut to eight robust drivers, and every forecast is benchmarked against the naive alternative before shipping. The result is a model that is less impressive on paper it has already seen and far more accurate on months it has not.</w:t>
      </w:r>
    </w:p>
    <w:p>
      <w:pPr>
        <w:pStyle w:val="Heading2"/>
        <w:spacing w:after="80" w:before="200"/>
      </w:pPr>
      <w:r>
        <w:rPr>
          <w:color w:val="2E7D6E"/>
        </w:rPr>
        <w:t xml:space="preserve">How to read the uncertainty bands</w:t>
      </w:r>
    </w:p>
    <w:p>
      <w:pPr>
        <w:spacing w:after="100" w:line="276"/>
      </w:pPr>
      <w:r>
        <w:rPr>
          <w:sz w:val="21"/>
          <w:szCs w:val="21"/>
        </w:rPr>
        <w:t xml:space="preserve">The bands are built from the model's actual measured errors across eight rolling backtests, not from statistical assumptions. An 80% band means that, on the most recent 12 months of data the model never saw, roughly 8 in 10 actuals landed inside a band of that width. Bands widen with horizon — honestly reflecting that month 30 is harder to predict than month 3.</w:t>
      </w:r>
    </w:p>
    <w:p>
      <w:pPr>
        <w:pStyle w:val="Heading2"/>
        <w:spacing w:after="80" w:before="200"/>
      </w:pPr>
      <w:r>
        <w:rPr>
          <w:color w:val="2E7D6E"/>
        </w:rPr>
        <w:t xml:space="preserve">The pipeline logic</w:t>
      </w:r>
    </w:p>
    <w:p>
      <w:pPr>
        <w:spacing w:after="100" w:line="276"/>
      </w:pPr>
      <w:r>
        <w:rPr>
          <w:sz w:val="21"/>
          <w:szCs w:val="21"/>
        </w:rPr>
        <w:t xml:space="preserve">Units under construction today are the single strongest predictor of completions 6–18 months out. Historically, about 70% of Metro Vancouver's under-construction stock converts to completions within 18 months (77% province-wide). With roughly 83,000 units currently under construction in the covered districts, the pipeline itself implies around 64,000 completions over the next 18 months — closely in line with the model's forecast of about 69,000. The forecast is therefore anchored to physical reality, not extrapolated trend.</w:t>
      </w:r>
    </w:p>
    <w:p>
      <w:pPr>
        <w:pStyle w:val="Heading2"/>
        <w:spacing w:after="80" w:before="200"/>
      </w:pPr>
      <w:r>
        <w:rPr>
          <w:color w:val="2E7D6E"/>
        </w:rPr>
        <w:t xml:space="preserve">Known limitations — read before relying on the numbers</w:t>
      </w:r>
    </w:p>
    <w:p>
      <w:pPr>
        <w:pStyle w:val="ListParagraph"/>
        <w:numPr>
          <w:ilvl w:val="0"/>
          <w:numId w:val="2"/>
        </w:numPr>
        <w:spacing w:after="60" w:line="264"/>
      </w:pPr>
      <w:r>
        <w:rPr>
          <w:b/>
          <w:bCs/>
          <w:sz w:val="21"/>
          <w:szCs w:val="21"/>
        </w:rPr>
        <w:t xml:space="preserve">Burst-reported districts. </w:t>
      </w:r>
      <w:r>
        <w:rPr>
          <w:sz w:val="21"/>
          <w:szCs w:val="21"/>
        </w:rPr>
        <w:t xml:space="preserve">Fraser-Fort George reports completions in irregular bursts (months of zeros, then large releases). Monthly point forecasts there are unreliable; use annual sums and the wide empirical bands provided.</w:t>
      </w:r>
    </w:p>
    <w:p>
      <w:pPr>
        <w:pStyle w:val="ListParagraph"/>
        <w:numPr>
          <w:ilvl w:val="0"/>
          <w:numId w:val="2"/>
        </w:numPr>
        <w:spacing w:after="60" w:line="264"/>
      </w:pPr>
      <w:r>
        <w:rPr>
          <w:b/>
          <w:bCs/>
          <w:sz w:val="21"/>
          <w:szCs w:val="21"/>
        </w:rPr>
        <w:t xml:space="preserve">Short history. </w:t>
      </w:r>
      <w:r>
        <w:rPr>
          <w:sz w:val="21"/>
          <w:szCs w:val="21"/>
        </w:rPr>
        <w:t xml:space="preserve">Six years of data covers only one full rate cycle. Confidence in behaviour under conditions unlike 2020–2025 is necessarily lower.</w:t>
      </w:r>
    </w:p>
    <w:p>
      <w:pPr>
        <w:pStyle w:val="ListParagraph"/>
        <w:numPr>
          <w:ilvl w:val="0"/>
          <w:numId w:val="2"/>
        </w:numPr>
        <w:spacing w:after="60" w:line="264"/>
      </w:pPr>
      <w:r>
        <w:rPr>
          <w:b/>
          <w:bCs/>
          <w:sz w:val="21"/>
          <w:szCs w:val="21"/>
        </w:rPr>
        <w:t xml:space="preserve">Regime changes. </w:t>
      </w:r>
      <w:r>
        <w:rPr>
          <w:sz w:val="21"/>
          <w:szCs w:val="21"/>
        </w:rPr>
        <w:t xml:space="preserve">Policy shocks (zoning reform, major subsidy programs) are not in the data and cannot be forecast; scenarios and the what-if slider are the tool for exploring them.</w:t>
      </w:r>
    </w:p>
    <w:p>
      <w:pPr>
        <w:pStyle w:val="ListParagraph"/>
        <w:numPr>
          <w:ilvl w:val="0"/>
          <w:numId w:val="2"/>
        </w:numPr>
        <w:spacing w:after="60" w:line="264"/>
      </w:pPr>
      <w:r>
        <w:rPr>
          <w:b/>
          <w:bCs/>
          <w:sz w:val="21"/>
          <w:szCs w:val="21"/>
        </w:rPr>
        <w:t xml:space="preserve">Flat-pipeline assumption. </w:t>
      </w:r>
      <w:r>
        <w:rPr>
          <w:sz w:val="21"/>
          <w:szCs w:val="21"/>
        </w:rPr>
        <w:t xml:space="preserve">Under-construction stock is held at current levels over the horizon; a construction-start collapse would push outcomes toward the lower bands.</w:t>
      </w:r>
    </w:p>
    <w:p>
      <w:pPr>
        <w:pStyle w:val="Heading2"/>
        <w:spacing w:after="80" w:before="200"/>
      </w:pPr>
      <w:r>
        <w:rPr>
          <w:color w:val="2E7D6E"/>
        </w:rPr>
        <w:t xml:space="preserve">Governance</w:t>
      </w:r>
    </w:p>
    <w:p>
      <w:pPr>
        <w:spacing w:after="100" w:line="276"/>
      </w:pPr>
      <w:r>
        <w:rPr>
          <w:sz w:val="21"/>
          <w:szCs w:val="21"/>
        </w:rPr>
        <w:t xml:space="preserve">Retrain quarterly as new CMHC months are released (single self-contained script, no manual steps). Monitor realized values against the 80% bands: more than ~3 of 12 months outside the band on the large districts signals the model should be re-examined.</w:t>
      </w:r>
    </w:p>
    <w:sectPr>
      <w:pgSz w:w="12240" w:h="15840" w:orient="portrait"/>
      <w:pgMar w:top="9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2026-07-02T00:42:28.010Z</dcterms:created>
  <dcterms:modified xsi:type="dcterms:W3CDTF">2026-07-02T00:42:28.010Z</dcterms:modified>
</cp:coreProperties>
</file>

<file path=docProps/custom.xml><?xml version="1.0" encoding="utf-8"?>
<Properties xmlns="http://schemas.openxmlformats.org/officeDocument/2006/custom-properties" xmlns:vt="http://schemas.openxmlformats.org/officeDocument/2006/docPropsVTypes"/>
</file>