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CMHC, Ask an Expert: Why housing starts matter</w:t>
      </w:r>
    </w:p>
    <w:p w:rsidR="00000000" w:rsidDel="00000000" w:rsidP="00000000" w:rsidRDefault="00000000" w:rsidRPr="00000000" w14:paraId="00000002">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heading=h.8lec0ssyji48" w:id="0"/>
      <w:bookmarkEnd w:id="0"/>
      <w:r w:rsidDel="00000000" w:rsidR="00000000" w:rsidRPr="00000000">
        <w:rPr>
          <w:rFonts w:ascii="Times New Roman" w:cs="Times New Roman" w:eastAsia="Times New Roman" w:hAnsi="Times New Roman"/>
          <w:b w:val="1"/>
          <w:bCs w:val="1"/>
          <w:sz w:val="26"/>
          <w:szCs w:val="26"/>
          <w:rtl w:val="0"/>
        </w:rPr>
        <w:t xml:space="preserve">What the CMHC article says</w:t>
      </w:r>
    </w:p>
    <w:p w:rsidR="00000000" w:rsidDel="00000000" w:rsidP="00000000" w:rsidRDefault="00000000" w:rsidRPr="00000000" w14:paraId="0000000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CMHC explains that housing starts are one of the most important indicators in Canada’s housing market because they provide a reliable picture of real construction activity and future additions to housing supply. CMHC’s Starts and Completions Survey collects monthly housing starts and completions data, and it is explicitly not a survey of construction intentions—it tracks homes that are actually being built.</w:t>
      </w:r>
    </w:p>
    <w:p w:rsidR="00000000" w:rsidDel="00000000" w:rsidP="00000000" w:rsidRDefault="00000000" w:rsidRPr="00000000" w14:paraId="00000004">
      <w:pPr>
        <w:pStyle w:val="Heading3"/>
        <w:keepNext w:val="0"/>
        <w:keepLines w:val="0"/>
        <w:spacing w:before="280" w:lineRule="auto"/>
        <w:rPr>
          <w:rFonts w:ascii="Calibri" w:cs="Calibri" w:eastAsia="Calibri" w:hAnsi="Calibri"/>
          <w:b w:val="1"/>
          <w:bCs w:val="1"/>
          <w:color w:val="000000"/>
          <w:sz w:val="26"/>
          <w:szCs w:val="26"/>
        </w:rPr>
      </w:pPr>
      <w:bookmarkStart w:colFirst="0" w:colLast="0" w:name="_heading=h.svjts4i4zu5y" w:id="1"/>
      <w:bookmarkEnd w:id="1"/>
      <w:r w:rsidDel="00000000" w:rsidR="00000000" w:rsidRPr="00000000">
        <w:rPr>
          <w:rFonts w:ascii="Calibri" w:cs="Calibri" w:eastAsia="Calibri" w:hAnsi="Calibri"/>
          <w:b w:val="1"/>
          <w:bCs w:val="1"/>
          <w:color w:val="000000"/>
          <w:sz w:val="26"/>
          <w:szCs w:val="26"/>
          <w:rtl w:val="0"/>
        </w:rPr>
        <w:t xml:space="preserve">CMHC definition of a “housing start”</w:t>
      </w:r>
    </w:p>
    <w:p w:rsidR="00000000" w:rsidDel="00000000" w:rsidP="00000000" w:rsidRDefault="00000000" w:rsidRPr="00000000" w14:paraId="00000005">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CMHC defines a housing start as the point when 100% of the concrete has been poured for the entire footing around the residential structure (or an equivalent construction stage if there is no basement). This definition is used because it confirms the project has moved beyond early stages like planning and excavation and indicates that construction is truly underway. </w:t>
      </w:r>
    </w:p>
    <w:p w:rsidR="00000000" w:rsidDel="00000000" w:rsidP="00000000" w:rsidRDefault="00000000" w:rsidRPr="00000000" w14:paraId="00000006">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CMHC notes that construction can stall after site clearing or excavation, so using this “full footing poured” standard makes housing starts a more consistent and comparable measure across regions and time.</w:t>
      </w:r>
    </w:p>
    <w:p w:rsidR="00000000" w:rsidDel="00000000" w:rsidP="00000000" w:rsidRDefault="00000000" w:rsidRPr="00000000" w14:paraId="00000007">
      <w:pPr>
        <w:pStyle w:val="Heading3"/>
        <w:keepNext w:val="0"/>
        <w:keepLines w:val="0"/>
        <w:spacing w:before="280" w:lineRule="auto"/>
        <w:rPr>
          <w:rFonts w:ascii="Calibri" w:cs="Calibri" w:eastAsia="Calibri" w:hAnsi="Calibri"/>
          <w:b w:val="1"/>
          <w:bCs w:val="1"/>
          <w:color w:val="000000"/>
          <w:sz w:val="26"/>
          <w:szCs w:val="26"/>
        </w:rPr>
      </w:pPr>
      <w:bookmarkStart w:colFirst="0" w:colLast="0" w:name="_heading=h.hwrsk3bzupk" w:id="2"/>
      <w:bookmarkEnd w:id="2"/>
      <w:r w:rsidDel="00000000" w:rsidR="00000000" w:rsidRPr="00000000">
        <w:rPr>
          <w:rFonts w:ascii="Calibri" w:cs="Calibri" w:eastAsia="Calibri" w:hAnsi="Calibri"/>
          <w:b w:val="1"/>
          <w:bCs w:val="1"/>
          <w:color w:val="000000"/>
          <w:sz w:val="26"/>
          <w:szCs w:val="26"/>
          <w:rtl w:val="0"/>
        </w:rPr>
        <w:t xml:space="preserve">Why parkade construction is not counted as a housing start</w:t>
      </w:r>
    </w:p>
    <w:p w:rsidR="00000000" w:rsidDel="00000000" w:rsidP="00000000" w:rsidRDefault="00000000" w:rsidRPr="00000000" w14:paraId="00000008">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The article also clarifies that parkade (underground parking) construction is not automatically recorded as a housing start, because it may support multiple buildings with different purposes (commercial + residential), and residential units may start much later. In the survey, CMHC focuses on the start of residential units specifically, not shared infrastructure work.</w:t>
      </w:r>
    </w:p>
    <w:p w:rsidR="00000000" w:rsidDel="00000000" w:rsidP="00000000" w:rsidRDefault="00000000" w:rsidRPr="00000000" w14:paraId="00000009">
      <w:pPr>
        <w:pStyle w:val="Heading3"/>
        <w:keepNext w:val="0"/>
        <w:keepLines w:val="0"/>
        <w:spacing w:before="280" w:lineRule="auto"/>
        <w:rPr>
          <w:rFonts w:ascii="Calibri" w:cs="Calibri" w:eastAsia="Calibri" w:hAnsi="Calibri"/>
          <w:b w:val="1"/>
          <w:bCs w:val="1"/>
          <w:color w:val="000000"/>
          <w:sz w:val="26"/>
          <w:szCs w:val="26"/>
        </w:rPr>
      </w:pPr>
      <w:bookmarkStart w:colFirst="0" w:colLast="0" w:name="_heading=h.o24e74y0yyji" w:id="3"/>
      <w:bookmarkEnd w:id="3"/>
      <w:r w:rsidDel="00000000" w:rsidR="00000000" w:rsidRPr="00000000">
        <w:rPr>
          <w:rFonts w:ascii="Calibri" w:cs="Calibri" w:eastAsia="Calibri" w:hAnsi="Calibri"/>
          <w:b w:val="1"/>
          <w:bCs w:val="1"/>
          <w:color w:val="000000"/>
          <w:sz w:val="26"/>
          <w:szCs w:val="26"/>
          <w:rtl w:val="0"/>
        </w:rPr>
        <w:t xml:space="preserve">Why housing starts matter</w:t>
      </w:r>
    </w:p>
    <w:p w:rsidR="00000000" w:rsidDel="00000000" w:rsidP="00000000" w:rsidRDefault="00000000" w:rsidRPr="00000000" w14:paraId="0000000A">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CMHC explains housing starts are useful for:</w:t>
      </w:r>
    </w:p>
    <w:p w:rsidR="00000000" w:rsidDel="00000000" w:rsidP="00000000" w:rsidRDefault="00000000" w:rsidRPr="00000000" w14:paraId="0000000B">
      <w:pPr>
        <w:numPr>
          <w:ilvl w:val="0"/>
          <w:numId w:val="2"/>
        </w:numPr>
        <w:spacing w:befor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assessing upcoming housing supply</w:t>
      </w:r>
    </w:p>
    <w:p w:rsidR="00000000" w:rsidDel="00000000" w:rsidP="00000000" w:rsidRDefault="00000000" w:rsidRPr="00000000" w14:paraId="0000000C">
      <w:pPr>
        <w:numPr>
          <w:ilvl w:val="0"/>
          <w:numId w:val="2"/>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supporting analysis, forecasts, and market insights</w:t>
      </w:r>
    </w:p>
    <w:p w:rsidR="00000000" w:rsidDel="00000000" w:rsidP="00000000" w:rsidRDefault="00000000" w:rsidRPr="00000000" w14:paraId="0000000D">
      <w:pPr>
        <w:numPr>
          <w:ilvl w:val="0"/>
          <w:numId w:val="2"/>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understanding residential construction’s contribution to the economy (GDP)</w:t>
      </w:r>
    </w:p>
    <w:p w:rsidR="00000000" w:rsidDel="00000000" w:rsidP="00000000" w:rsidRDefault="00000000" w:rsidRPr="00000000" w14:paraId="0000000E">
      <w:pPr>
        <w:numPr>
          <w:ilvl w:val="0"/>
          <w:numId w:val="2"/>
        </w:numPr>
        <w:spacing w:after="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evaluating housing market supply-demand conditions</w:t>
      </w:r>
    </w:p>
    <w:p w:rsidR="00000000" w:rsidDel="00000000" w:rsidP="00000000" w:rsidRDefault="00000000" w:rsidRPr="00000000" w14:paraId="0000000F">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0">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1">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2">
      <w:pPr>
        <w:rPr>
          <w:rFonts w:ascii="Calibri" w:cs="Calibri" w:eastAsia="Calibri" w:hAnsi="Calibri"/>
          <w:b w:val="1"/>
          <w:bCs w:val="1"/>
        </w:rPr>
      </w:pPr>
      <w:bookmarkStart w:colFirst="0" w:colLast="0" w:name="_heading=h.a9442ursunyj" w:id="4"/>
      <w:bookmarkEnd w:id="4"/>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15">
      <w:pPr>
        <w:jc w:val="both"/>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16">
      <w:pPr>
        <w:jc w:val="both"/>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British Columbia’s Monthly New Homes Registry Report. Prepared by BC Housing’s Research Centre</w:t>
      </w:r>
    </w:p>
    <w:p w:rsidR="00000000" w:rsidDel="00000000" w:rsidP="00000000" w:rsidRDefault="00000000" w:rsidRPr="00000000" w14:paraId="00000017">
      <w:pPr>
        <w:pStyle w:val="Heading2"/>
        <w:keepNext w:val="0"/>
        <w:keepLines w:val="0"/>
        <w:spacing w:after="80" w:lineRule="auto"/>
        <w:jc w:val="both"/>
        <w:rPr>
          <w:rFonts w:ascii="Calibri" w:cs="Calibri" w:eastAsia="Calibri" w:hAnsi="Calibri"/>
          <w:b w:val="1"/>
          <w:bCs w:val="1"/>
          <w:sz w:val="26"/>
          <w:szCs w:val="26"/>
        </w:rPr>
      </w:pPr>
      <w:bookmarkStart w:colFirst="0" w:colLast="0" w:name="_heading=h.vi63ultz5dlk" w:id="5"/>
      <w:bookmarkEnd w:id="5"/>
      <w:r w:rsidDel="00000000" w:rsidR="00000000" w:rsidRPr="00000000">
        <w:rPr>
          <w:rFonts w:ascii="Calibri" w:cs="Calibri" w:eastAsia="Calibri" w:hAnsi="Calibri"/>
          <w:b w:val="1"/>
          <w:bCs w:val="1"/>
          <w:sz w:val="26"/>
          <w:szCs w:val="26"/>
          <w:rtl w:val="0"/>
        </w:rPr>
        <w:t xml:space="preserve">What BC Housing’s “New Homes Data” page says</w:t>
      </w:r>
    </w:p>
    <w:p w:rsidR="00000000" w:rsidDel="00000000" w:rsidP="00000000" w:rsidRDefault="00000000" w:rsidRPr="00000000" w14:paraId="00000018">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The BC Housing Research Centre – New Homes Data page is a public data portal that provides access to British Columbia’s Monthly New Homes Registry Report. BC Housing describes these reports as providing key indicators of economic activity in British Columbia.</w:t>
      </w:r>
    </w:p>
    <w:p w:rsidR="00000000" w:rsidDel="00000000" w:rsidP="00000000" w:rsidRDefault="00000000" w:rsidRPr="00000000" w14:paraId="00000019">
      <w:pPr>
        <w:pStyle w:val="Heading3"/>
        <w:keepNext w:val="0"/>
        <w:keepLines w:val="0"/>
        <w:spacing w:before="280" w:lineRule="auto"/>
        <w:jc w:val="both"/>
        <w:rPr>
          <w:rFonts w:ascii="Calibri" w:cs="Calibri" w:eastAsia="Calibri" w:hAnsi="Calibri"/>
          <w:b w:val="1"/>
          <w:bCs w:val="1"/>
          <w:color w:val="000000"/>
          <w:sz w:val="26"/>
          <w:szCs w:val="26"/>
        </w:rPr>
      </w:pPr>
      <w:bookmarkStart w:colFirst="0" w:colLast="0" w:name="_heading=h.mejt7b2qis5r" w:id="6"/>
      <w:bookmarkEnd w:id="6"/>
      <w:r w:rsidDel="00000000" w:rsidR="00000000" w:rsidRPr="00000000">
        <w:rPr>
          <w:rFonts w:ascii="Calibri" w:cs="Calibri" w:eastAsia="Calibri" w:hAnsi="Calibri"/>
          <w:b w:val="1"/>
          <w:bCs w:val="1"/>
          <w:color w:val="000000"/>
          <w:sz w:val="26"/>
          <w:szCs w:val="26"/>
          <w:rtl w:val="0"/>
        </w:rPr>
        <w:t xml:space="preserve">What the Monthly New Homes Registry Report contains</w:t>
      </w:r>
    </w:p>
    <w:p w:rsidR="00000000" w:rsidDel="00000000" w:rsidP="00000000" w:rsidRDefault="00000000" w:rsidRPr="00000000" w14:paraId="0000001A">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BC Housing explains that the Monthly New Homes Registry Report provides information on registered new homes, broken down by:</w:t>
      </w:r>
    </w:p>
    <w:p w:rsidR="00000000" w:rsidDel="00000000" w:rsidP="00000000" w:rsidRDefault="00000000" w:rsidRPr="00000000" w14:paraId="0000001B">
      <w:pPr>
        <w:numPr>
          <w:ilvl w:val="0"/>
          <w:numId w:val="3"/>
        </w:numPr>
        <w:spacing w:befor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building type</w:t>
      </w:r>
    </w:p>
    <w:p w:rsidR="00000000" w:rsidDel="00000000" w:rsidP="00000000" w:rsidRDefault="00000000" w:rsidRPr="00000000" w14:paraId="0000001C">
      <w:pPr>
        <w:numPr>
          <w:ilvl w:val="0"/>
          <w:numId w:val="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building size</w:t>
      </w:r>
    </w:p>
    <w:p w:rsidR="00000000" w:rsidDel="00000000" w:rsidP="00000000" w:rsidRDefault="00000000" w:rsidRPr="00000000" w14:paraId="0000001D">
      <w:pPr>
        <w:numPr>
          <w:ilvl w:val="0"/>
          <w:numId w:val="3"/>
        </w:numPr>
        <w:spacing w:after="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location</w:t>
      </w:r>
    </w:p>
    <w:p w:rsidR="00000000" w:rsidDel="00000000" w:rsidP="00000000" w:rsidRDefault="00000000" w:rsidRPr="00000000" w14:paraId="0000001E">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The page also includes downloadable reports by month (e.g., December 2025, November 2025, etc.). </w:t>
      </w:r>
    </w:p>
    <w:p w:rsidR="00000000" w:rsidDel="00000000" w:rsidP="00000000" w:rsidRDefault="00000000" w:rsidRPr="00000000" w14:paraId="0000001F">
      <w:pPr>
        <w:pStyle w:val="Heading2"/>
        <w:keepNext w:val="0"/>
        <w:keepLines w:val="0"/>
        <w:spacing w:after="80" w:lineRule="auto"/>
        <w:rPr>
          <w:rFonts w:ascii="Calibri" w:cs="Calibri" w:eastAsia="Calibri" w:hAnsi="Calibri"/>
          <w:b w:val="1"/>
          <w:bCs w:val="1"/>
          <w:sz w:val="26"/>
          <w:szCs w:val="26"/>
        </w:rPr>
      </w:pPr>
      <w:bookmarkStart w:colFirst="0" w:colLast="0" w:name="_heading=h.m3mise5e26eu" w:id="7"/>
      <w:bookmarkEnd w:id="7"/>
      <w:r w:rsidDel="00000000" w:rsidR="00000000" w:rsidRPr="00000000">
        <w:rPr>
          <w:rFonts w:ascii="Calibri" w:cs="Calibri" w:eastAsia="Calibri" w:hAnsi="Calibri"/>
          <w:b w:val="1"/>
          <w:bCs w:val="1"/>
          <w:sz w:val="26"/>
          <w:szCs w:val="26"/>
          <w:rtl w:val="0"/>
        </w:rPr>
        <w:t xml:space="preserve">Key context from the report: what “new home registrations” represent</w:t>
      </w:r>
    </w:p>
    <w:p w:rsidR="00000000" w:rsidDel="00000000" w:rsidP="00000000" w:rsidRDefault="00000000" w:rsidRPr="00000000" w14:paraId="00000020">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In the report context, BC Housing clarifies that:</w:t>
      </w:r>
    </w:p>
    <w:p w:rsidR="00000000" w:rsidDel="00000000" w:rsidP="00000000" w:rsidRDefault="00000000" w:rsidRPr="00000000" w14:paraId="00000021">
      <w:pPr>
        <w:numPr>
          <w:ilvl w:val="0"/>
          <w:numId w:val="1"/>
        </w:numPr>
        <w:spacing w:before="240" w:lineRule="auto"/>
        <w:ind w:left="72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new home registrations occur before</w:t>
      </w:r>
      <w:r w:rsidDel="00000000" w:rsidR="00000000" w:rsidRPr="00000000">
        <w:rPr>
          <w:rFonts w:ascii="Calibri" w:cs="Calibri" w:eastAsia="Calibri" w:hAnsi="Calibri"/>
          <w:rtl w:val="0"/>
        </w:rPr>
        <w:t xml:space="preserve"> the issuance of </w:t>
      </w:r>
      <w:r w:rsidDel="00000000" w:rsidR="00000000" w:rsidRPr="00000000">
        <w:rPr>
          <w:rFonts w:ascii="Calibri" w:cs="Calibri" w:eastAsia="Calibri" w:hAnsi="Calibri"/>
          <w:b w:val="1"/>
          <w:bCs w:val="1"/>
          <w:rtl w:val="0"/>
        </w:rPr>
        <w:t xml:space="preserve">building permits</w:t>
      </w:r>
      <w:r w:rsidDel="00000000" w:rsidR="00000000" w:rsidRPr="00000000">
        <w:rPr>
          <w:rFonts w:ascii="Calibri" w:cs="Calibri" w:eastAsia="Calibri" w:hAnsi="Calibri"/>
          <w:rtl w:val="0"/>
        </w:rPr>
        <w:t xml:space="preserve"> and before </w:t>
      </w:r>
      <w:r w:rsidDel="00000000" w:rsidR="00000000" w:rsidRPr="00000000">
        <w:rPr>
          <w:rFonts w:ascii="Calibri" w:cs="Calibri" w:eastAsia="Calibri" w:hAnsi="Calibri"/>
          <w:b w:val="1"/>
          <w:bCs w:val="1"/>
          <w:rtl w:val="0"/>
        </w:rPr>
        <w:t xml:space="preserve">housing starts</w:t>
      </w:r>
      <w:r w:rsidDel="00000000" w:rsidR="00000000" w:rsidRPr="00000000">
        <w:rPr>
          <w:rtl w:val="0"/>
        </w:rPr>
      </w:r>
    </w:p>
    <w:p w:rsidR="00000000" w:rsidDel="00000000" w:rsidP="00000000" w:rsidRDefault="00000000" w:rsidRPr="00000000" w14:paraId="00000022">
      <w:pPr>
        <w:numPr>
          <w:ilvl w:val="0"/>
          <w:numId w:val="1"/>
        </w:numPr>
        <w:spacing w:after="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because registrations can change over time, they should be treated as </w:t>
      </w:r>
      <w:r w:rsidDel="00000000" w:rsidR="00000000" w:rsidRPr="00000000">
        <w:rPr>
          <w:rFonts w:ascii="Calibri" w:cs="Calibri" w:eastAsia="Calibri" w:hAnsi="Calibri"/>
          <w:b w:val="1"/>
          <w:bCs w:val="1"/>
          <w:rtl w:val="0"/>
        </w:rPr>
        <w:t xml:space="preserve">planned or proposed projects</w:t>
      </w:r>
      <w:r w:rsidDel="00000000" w:rsidR="00000000" w:rsidRPr="00000000">
        <w:rPr>
          <w:rFonts w:ascii="Calibri" w:cs="Calibri" w:eastAsia="Calibri" w:hAnsi="Calibri"/>
          <w:rtl w:val="0"/>
        </w:rPr>
        <w:t xml:space="preserve">, rather than guaranteed construction </w:t>
      </w:r>
    </w:p>
    <w:p w:rsidR="00000000" w:rsidDel="00000000" w:rsidP="00000000" w:rsidRDefault="00000000" w:rsidRPr="00000000" w14:paraId="00000023">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Another description associated with the registry report explains that registry data captures residential construction activity </w:t>
      </w:r>
      <w:r w:rsidDel="00000000" w:rsidR="00000000" w:rsidRPr="00000000">
        <w:rPr>
          <w:rFonts w:ascii="Calibri" w:cs="Calibri" w:eastAsia="Calibri" w:hAnsi="Calibri"/>
          <w:b w:val="1"/>
          <w:bCs w:val="1"/>
          <w:rtl w:val="0"/>
        </w:rPr>
        <w:t xml:space="preserve">at the very beginning of a project</w:t>
      </w:r>
      <w:r w:rsidDel="00000000" w:rsidR="00000000" w:rsidRPr="00000000">
        <w:rPr>
          <w:rFonts w:ascii="Calibri" w:cs="Calibri" w:eastAsia="Calibri" w:hAnsi="Calibri"/>
          <w:rtl w:val="0"/>
        </w:rPr>
        <w:t xml:space="preserve">, before construction begins, and therefore serves as a </w:t>
      </w:r>
      <w:r w:rsidDel="00000000" w:rsidR="00000000" w:rsidRPr="00000000">
        <w:rPr>
          <w:rFonts w:ascii="Calibri" w:cs="Calibri" w:eastAsia="Calibri" w:hAnsi="Calibri"/>
          <w:b w:val="1"/>
          <w:bCs w:val="1"/>
          <w:rtl w:val="0"/>
        </w:rPr>
        <w:t xml:space="preserve">leading indicator</w:t>
      </w:r>
      <w:r w:rsidDel="00000000" w:rsidR="00000000" w:rsidRPr="00000000">
        <w:rPr>
          <w:rFonts w:ascii="Calibri" w:cs="Calibri" w:eastAsia="Calibri" w:hAnsi="Calibri"/>
          <w:rtl w:val="0"/>
        </w:rPr>
        <w:t xml:space="preserve"> of housing activity in B.C.</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2w6xkiB+MbgpKwYhBkpC/ABhmg==">CgMxLjAyDmguOGxlYzBzc3lqaTQ4Mg5oLnN2anRzNGk0enU1eTINaC5od3JzazNienVwazIOaC5vMjRlNzR5MHl5amkyDmguYTk0NDJ1cnN1bnlqMg5oLnZpNjN1bHR6NWRsazIOaC5tZWp0N2IycWlzNXIyDmgubTNtaXNlNWUyNmV1OAByITEweW5RUWhvdHlKTUhMTUdJaDBUMEVXcVBBbXQydW9mTQ==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2026-01-22T03:53:00Z</dcterms:created>
</cp:coreProperties>
</file>